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155575</wp:posOffset>
            </wp:positionH>
            <wp:positionV relativeFrom="page">
              <wp:posOffset>288290</wp:posOffset>
            </wp:positionV>
            <wp:extent cx="7251065"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1065" cy="3302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387985</wp:posOffset>
            </wp:positionV>
            <wp:extent cx="72510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1065" cy="8255"/>
                    </a:xfrm>
                    <a:prstGeom prst="rect">
                      <a:avLst/>
                    </a:prstGeom>
                    <a:noFill/>
                  </pic:spPr>
                </pic:pic>
              </a:graphicData>
            </a:graphic>
          </wp:anchor>
        </w:drawing>
        <w:t>UNITED STATES</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WASHINGTON, D.C. 20549</w:t>
      </w:r>
    </w:p>
    <w:p>
      <w:pPr>
        <w:spacing w:after="0" w:line="177"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10-Q</w:t>
      </w:r>
    </w:p>
    <w:p>
      <w:pPr>
        <w:spacing w:after="0" w:line="169"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27" w:lineRule="exact"/>
        <w:rPr>
          <w:sz w:val="24"/>
          <w:szCs w:val="24"/>
          <w:color w:val="auto"/>
        </w:rPr>
      </w:pPr>
    </w:p>
    <w:p>
      <w:pPr>
        <w:ind w:left="4080" w:right="2480" w:hanging="4075"/>
        <w:spacing w:after="0" w:line="263" w:lineRule="auto"/>
        <w:tabs>
          <w:tab w:leader="none" w:pos="328"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 1934 For the quarterly period ended June 30, 2019</w:t>
      </w:r>
    </w:p>
    <w:p>
      <w:pPr>
        <w:jc w:val="center"/>
        <w:ind w:right="-19"/>
        <w:spacing w:after="0"/>
        <w:rPr>
          <w:sz w:val="20"/>
          <w:szCs w:val="20"/>
          <w:color w:val="auto"/>
        </w:rPr>
      </w:pPr>
      <w:r>
        <w:rPr>
          <w:rFonts w:ascii="Arial" w:cs="Arial" w:eastAsia="Arial" w:hAnsi="Arial"/>
          <w:sz w:val="17"/>
          <w:szCs w:val="17"/>
          <w:b w:val="1"/>
          <w:bCs w:val="1"/>
          <w:color w:val="auto"/>
        </w:rPr>
        <w:t>OR</w:t>
      </w:r>
    </w:p>
    <w:p>
      <w:pPr>
        <w:spacing w:after="0" w:line="213" w:lineRule="exact"/>
        <w:rPr>
          <w:sz w:val="24"/>
          <w:szCs w:val="24"/>
          <w:color w:val="auto"/>
        </w:rPr>
      </w:pPr>
    </w:p>
    <w:p>
      <w:pPr>
        <w:ind w:left="3740" w:right="2440" w:hanging="3735"/>
        <w:spacing w:after="0" w:line="513" w:lineRule="auto"/>
        <w:tabs>
          <w:tab w:leader="none" w:pos="322"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 For the transition period from _________to _________</w:t>
      </w:r>
    </w:p>
    <w:p>
      <w:pPr>
        <w:spacing w:after="0" w:line="1" w:lineRule="exact"/>
        <w:rPr>
          <w:rFonts w:ascii="MS PGothic" w:cs="MS PGothic" w:eastAsia="MS PGothic" w:hAnsi="MS PGothic"/>
          <w:sz w:val="17"/>
          <w:szCs w:val="17"/>
          <w:color w:val="auto"/>
        </w:rPr>
      </w:pPr>
    </w:p>
    <w:p>
      <w:pPr>
        <w:ind w:left="4520"/>
        <w:spacing w:after="0"/>
        <w:rPr>
          <w:rFonts w:ascii="MS PGothic" w:cs="MS PGothic" w:eastAsia="MS PGothic" w:hAnsi="MS PGothic"/>
          <w:sz w:val="17"/>
          <w:szCs w:val="17"/>
          <w:color w:val="auto"/>
        </w:rPr>
      </w:pPr>
      <w:r>
        <w:rPr>
          <w:rFonts w:ascii="Arial" w:cs="Arial" w:eastAsia="Arial" w:hAnsi="Arial"/>
          <w:sz w:val="17"/>
          <w:szCs w:val="17"/>
          <w:b w:val="1"/>
          <w:bCs w:val="1"/>
          <w:color w:val="auto"/>
        </w:rPr>
        <w:t>Commission File Number 0-1665</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KINGSTONE COMPANIES, INC.</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(Exact name of registrant as specified in its charter)</w:t>
      </w:r>
    </w:p>
    <w:p>
      <w:pPr>
        <w:sectPr>
          <w:pgSz w:w="11900" w:h="16838" w:orient="portrait"/>
          <w:cols w:equalWidth="0" w:num="1">
            <w:col w:w="11420"/>
          </w:cols>
          <w:pgMar w:left="240" w:top="675" w:right="239" w:bottom="1440" w:gutter="0" w:footer="0" w:header="0"/>
        </w:sectPr>
      </w:pPr>
    </w:p>
    <w:p>
      <w:pPr>
        <w:spacing w:after="0" w:line="205" w:lineRule="exact"/>
        <w:rPr>
          <w:sz w:val="24"/>
          <w:szCs w:val="24"/>
          <w:color w:val="auto"/>
        </w:rPr>
      </w:pPr>
    </w:p>
    <w:p>
      <w:pPr>
        <w:jc w:val="center"/>
        <w:ind w:right="860"/>
        <w:spacing w:after="0"/>
        <w:rPr>
          <w:sz w:val="20"/>
          <w:szCs w:val="20"/>
          <w:color w:val="auto"/>
        </w:rPr>
      </w:pPr>
      <w:r>
        <w:rPr>
          <w:rFonts w:ascii="Arial" w:cs="Arial" w:eastAsia="Arial" w:hAnsi="Arial"/>
          <w:sz w:val="17"/>
          <w:szCs w:val="17"/>
          <w:b w:val="1"/>
          <w:bCs w:val="1"/>
          <w:color w:val="auto"/>
        </w:rPr>
        <w:t>Delaware</w:t>
      </w:r>
    </w:p>
    <w:p>
      <w:pPr>
        <w:spacing w:after="0" w:line="24" w:lineRule="exact"/>
        <w:rPr>
          <w:sz w:val="24"/>
          <w:szCs w:val="24"/>
          <w:color w:val="auto"/>
        </w:rPr>
      </w:pPr>
    </w:p>
    <w:p>
      <w:pPr>
        <w:jc w:val="center"/>
        <w:ind w:right="860"/>
        <w:spacing w:after="0"/>
        <w:rPr>
          <w:sz w:val="20"/>
          <w:szCs w:val="20"/>
          <w:color w:val="auto"/>
        </w:rPr>
      </w:pPr>
      <w:r>
        <w:rPr>
          <w:rFonts w:ascii="Arial" w:cs="Arial" w:eastAsia="Arial" w:hAnsi="Arial"/>
          <w:sz w:val="15"/>
          <w:szCs w:val="15"/>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320"/>
        <w:spacing w:after="0"/>
        <w:rPr>
          <w:sz w:val="20"/>
          <w:szCs w:val="20"/>
          <w:color w:val="auto"/>
        </w:rPr>
      </w:pPr>
      <w:r>
        <w:rPr>
          <w:rFonts w:ascii="Arial" w:cs="Arial" w:eastAsia="Arial" w:hAnsi="Arial"/>
          <w:sz w:val="17"/>
          <w:szCs w:val="17"/>
          <w:b w:val="1"/>
          <w:bCs w:val="1"/>
          <w:color w:val="auto"/>
        </w:rPr>
        <w:t>36-2476480</w:t>
      </w:r>
    </w:p>
    <w:p>
      <w:pPr>
        <w:spacing w:after="0" w:line="24" w:lineRule="exact"/>
        <w:rPr>
          <w:sz w:val="24"/>
          <w:szCs w:val="24"/>
          <w:color w:val="auto"/>
        </w:rPr>
      </w:pPr>
    </w:p>
    <w:p>
      <w:pPr>
        <w:jc w:val="center"/>
        <w:ind w:right="1320"/>
        <w:spacing w:after="0"/>
        <w:rPr>
          <w:sz w:val="20"/>
          <w:szCs w:val="20"/>
          <w:color w:val="auto"/>
        </w:rPr>
      </w:pPr>
      <w:r>
        <w:rPr>
          <w:rFonts w:ascii="Arial" w:cs="Arial" w:eastAsia="Arial" w:hAnsi="Arial"/>
          <w:sz w:val="15"/>
          <w:szCs w:val="15"/>
          <w:b w:val="1"/>
          <w:bCs w:val="1"/>
          <w:color w:val="auto"/>
        </w:rPr>
        <w:t>(I.R.S. Employer Identification Number)</w:t>
      </w:r>
    </w:p>
    <w:p>
      <w:pPr>
        <w:spacing w:after="0" w:line="200" w:lineRule="exact"/>
        <w:rPr>
          <w:sz w:val="24"/>
          <w:szCs w:val="24"/>
          <w:color w:val="auto"/>
        </w:rPr>
      </w:pPr>
    </w:p>
    <w:p>
      <w:pPr>
        <w:sectPr>
          <w:pgSz w:w="11900" w:h="16838" w:orient="portrait"/>
          <w:cols w:equalWidth="0" w:num="2">
            <w:col w:w="6440" w:space="720"/>
            <w:col w:w="4260"/>
          </w:cols>
          <w:pgMar w:left="240" w:top="675" w:right="239" w:bottom="1440" w:gutter="0" w:footer="0" w:header="0"/>
          <w:type w:val="continuous"/>
        </w:sectPr>
      </w:pPr>
    </w:p>
    <w:p>
      <w:pPr>
        <w:spacing w:after="0" w:line="3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15 Joys Lane</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Kingston, NY 12401</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(Address of principal executive offices)</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(845) 802-7900</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(Registrant’s telephone number, including area code)</w:t>
      </w:r>
    </w:p>
    <w:p>
      <w:pPr>
        <w:spacing w:after="0" w:line="151"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212" w:lineRule="exact"/>
        <w:rPr>
          <w:sz w:val="24"/>
          <w:szCs w:val="24"/>
          <w:color w:val="auto"/>
        </w:rPr>
      </w:pPr>
    </w:p>
    <w:tbl>
      <w:tblPr>
        <w:tblLayout w:type="fixed"/>
        <w:tblInd w:w="10" w:type="dxa"/>
        <w:tblCellMar>
          <w:top w:w="0" w:type="dxa"/>
          <w:left w:w="0" w:type="dxa"/>
          <w:bottom w:w="0" w:type="dxa"/>
          <w:right w:w="0" w:type="dxa"/>
        </w:tblCellMar>
      </w:tblPr>
      <w:tr>
        <w:trPr>
          <w:trHeight w:val="259"/>
        </w:trPr>
        <w:tc>
          <w:tcPr>
            <w:tcW w:w="38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Title of each class</w:t>
            </w:r>
          </w:p>
        </w:tc>
        <w:tc>
          <w:tcPr>
            <w:tcW w:w="3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Trading Symbol(s)</w:t>
            </w:r>
          </w:p>
        </w:tc>
        <w:tc>
          <w:tcPr>
            <w:tcW w:w="3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Name of each exchange on which registered</w:t>
            </w:r>
          </w:p>
        </w:tc>
      </w:tr>
      <w:tr>
        <w:trPr>
          <w:trHeight w:val="199"/>
        </w:trPr>
        <w:tc>
          <w:tcPr>
            <w:tcW w:w="384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Arial" w:cs="Arial" w:eastAsia="Arial" w:hAnsi="Arial"/>
                <w:sz w:val="17"/>
                <w:szCs w:val="17"/>
                <w:color w:val="auto"/>
                <w:w w:val="89"/>
              </w:rPr>
              <w:t>Common Stock, $0.01 par value per share</w:t>
            </w:r>
          </w:p>
        </w:tc>
        <w:tc>
          <w:tcPr>
            <w:tcW w:w="380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7"/>
                <w:szCs w:val="17"/>
                <w:color w:val="auto"/>
              </w:rPr>
              <w:t>KINS</w:t>
            </w:r>
          </w:p>
        </w:tc>
        <w:tc>
          <w:tcPr>
            <w:tcW w:w="380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7"/>
                <w:szCs w:val="17"/>
                <w:color w:val="auto"/>
                <w:w w:val="90"/>
              </w:rPr>
              <w:t>Nasdaq Global Select Market</w:t>
            </w:r>
          </w:p>
        </w:tc>
      </w:tr>
    </w:tbl>
    <w:p>
      <w:pPr>
        <w:spacing w:after="0" w:line="201" w:lineRule="exact"/>
        <w:rPr>
          <w:sz w:val="24"/>
          <w:szCs w:val="24"/>
          <w:color w:val="auto"/>
        </w:rPr>
      </w:pPr>
    </w:p>
    <w:p>
      <w:pPr>
        <w:jc w:val="both"/>
        <w:spacing w:after="0" w:line="21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85" w:lineRule="exact"/>
        <w:rPr>
          <w:sz w:val="24"/>
          <w:szCs w:val="24"/>
          <w:color w:val="auto"/>
        </w:rPr>
      </w:pPr>
    </w:p>
    <w:p>
      <w:pPr>
        <w:ind w:right="60"/>
        <w:spacing w:after="0" w:line="22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84" w:lineRule="exact"/>
        <w:rPr>
          <w:sz w:val="24"/>
          <w:szCs w:val="24"/>
          <w:color w:val="auto"/>
        </w:rPr>
      </w:pPr>
    </w:p>
    <w:p>
      <w:pPr>
        <w:ind w:right="20"/>
        <w:spacing w:after="0" w:line="28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220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2160" w:type="dxa"/>
            <w:vAlign w:val="bottom"/>
          </w:tcPr>
          <w:p>
            <w:pPr>
              <w:ind w:left="660"/>
              <w:spacing w:after="0" w:line="171" w:lineRule="exact"/>
              <w:rPr>
                <w:sz w:val="20"/>
                <w:szCs w:val="20"/>
                <w:color w:val="auto"/>
              </w:rPr>
            </w:pPr>
            <w:r>
              <w:rPr>
                <w:rFonts w:ascii="MS PGothic" w:cs="MS PGothic" w:eastAsia="MS PGothic" w:hAnsi="MS PGothic"/>
                <w:sz w:val="17"/>
                <w:szCs w:val="17"/>
                <w:color w:val="auto"/>
              </w:rPr>
              <w:t>☐</w:t>
            </w:r>
          </w:p>
        </w:tc>
        <w:tc>
          <w:tcPr>
            <w:tcW w:w="3700" w:type="dxa"/>
            <w:vAlign w:val="bottom"/>
          </w:tcPr>
          <w:p>
            <w:pPr>
              <w:ind w:left="1340"/>
              <w:spacing w:after="0"/>
              <w:rPr>
                <w:sz w:val="20"/>
                <w:szCs w:val="20"/>
                <w:color w:val="auto"/>
              </w:rPr>
            </w:pPr>
            <w:r>
              <w:rPr>
                <w:rFonts w:ascii="Arial" w:cs="Arial" w:eastAsia="Arial" w:hAnsi="Arial"/>
                <w:sz w:val="17"/>
                <w:szCs w:val="17"/>
                <w:color w:val="auto"/>
              </w:rPr>
              <w:t>Accelerated filer</w:t>
            </w:r>
          </w:p>
        </w:tc>
        <w:tc>
          <w:tcPr>
            <w:tcW w:w="660" w:type="dxa"/>
            <w:vAlign w:val="bottom"/>
          </w:tcPr>
          <w:p>
            <w:pPr>
              <w:ind w:left="50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09"/>
        </w:trPr>
        <w:tc>
          <w:tcPr>
            <w:tcW w:w="2200" w:type="dxa"/>
            <w:vAlign w:val="bottom"/>
          </w:tcPr>
          <w:p>
            <w:pPr>
              <w:spacing w:after="0"/>
              <w:rPr>
                <w:sz w:val="20"/>
                <w:szCs w:val="20"/>
                <w:color w:val="auto"/>
              </w:rPr>
            </w:pPr>
            <w:r>
              <w:rPr>
                <w:rFonts w:ascii="Arial" w:cs="Arial" w:eastAsia="Arial" w:hAnsi="Arial"/>
                <w:sz w:val="17"/>
                <w:szCs w:val="17"/>
                <w:color w:val="auto"/>
              </w:rPr>
              <w:t>Non-accelerated filer</w:t>
            </w:r>
          </w:p>
        </w:tc>
        <w:tc>
          <w:tcPr>
            <w:tcW w:w="2160" w:type="dxa"/>
            <w:vAlign w:val="bottom"/>
          </w:tcPr>
          <w:p>
            <w:pPr>
              <w:ind w:left="660"/>
              <w:spacing w:after="0" w:line="171" w:lineRule="exact"/>
              <w:rPr>
                <w:sz w:val="20"/>
                <w:szCs w:val="20"/>
                <w:color w:val="auto"/>
              </w:rPr>
            </w:pPr>
            <w:r>
              <w:rPr>
                <w:rFonts w:ascii="MS PGothic" w:cs="MS PGothic" w:eastAsia="MS PGothic" w:hAnsi="MS PGothic"/>
                <w:sz w:val="17"/>
                <w:szCs w:val="17"/>
                <w:color w:val="auto"/>
              </w:rPr>
              <w:t>☐</w:t>
            </w:r>
          </w:p>
        </w:tc>
        <w:tc>
          <w:tcPr>
            <w:tcW w:w="3700" w:type="dxa"/>
            <w:vAlign w:val="bottom"/>
          </w:tcPr>
          <w:p>
            <w:pPr>
              <w:ind w:left="1340"/>
              <w:spacing w:after="0"/>
              <w:rPr>
                <w:sz w:val="20"/>
                <w:szCs w:val="20"/>
                <w:color w:val="auto"/>
              </w:rPr>
            </w:pPr>
            <w:r>
              <w:rPr>
                <w:rFonts w:ascii="Arial" w:cs="Arial" w:eastAsia="Arial" w:hAnsi="Arial"/>
                <w:sz w:val="17"/>
                <w:szCs w:val="17"/>
                <w:color w:val="auto"/>
              </w:rPr>
              <w:t>Smaller reporting company</w:t>
            </w:r>
          </w:p>
        </w:tc>
        <w:tc>
          <w:tcPr>
            <w:tcW w:w="660" w:type="dxa"/>
            <w:vAlign w:val="bottom"/>
          </w:tcPr>
          <w:p>
            <w:pPr>
              <w:ind w:left="50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68"/>
        </w:trPr>
        <w:tc>
          <w:tcPr>
            <w:tcW w:w="220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3700" w:type="dxa"/>
            <w:vAlign w:val="bottom"/>
          </w:tcPr>
          <w:p>
            <w:pPr>
              <w:ind w:left="1340"/>
              <w:spacing w:after="0"/>
              <w:rPr>
                <w:sz w:val="20"/>
                <w:szCs w:val="20"/>
                <w:color w:val="auto"/>
              </w:rPr>
            </w:pPr>
            <w:r>
              <w:rPr>
                <w:rFonts w:ascii="Arial" w:cs="Arial" w:eastAsia="Arial" w:hAnsi="Arial"/>
                <w:sz w:val="17"/>
                <w:szCs w:val="17"/>
                <w:color w:val="auto"/>
              </w:rPr>
              <w:t>Emerging growth company</w:t>
            </w:r>
          </w:p>
        </w:tc>
        <w:tc>
          <w:tcPr>
            <w:tcW w:w="660" w:type="dxa"/>
            <w:vAlign w:val="bottom"/>
          </w:tcPr>
          <w:p>
            <w:pPr>
              <w:ind w:left="50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209" w:lineRule="exact"/>
        <w:rPr>
          <w:sz w:val="24"/>
          <w:szCs w:val="24"/>
          <w:color w:val="auto"/>
        </w:rPr>
      </w:pPr>
    </w:p>
    <w:p>
      <w:pPr>
        <w:ind w:right="240"/>
        <w:spacing w:after="0" w:line="22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85"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55" w:lineRule="exact"/>
        <w:rPr>
          <w:sz w:val="24"/>
          <w:szCs w:val="24"/>
          <w:color w:val="auto"/>
        </w:rPr>
      </w:pPr>
    </w:p>
    <w:p>
      <w:pPr>
        <w:spacing w:after="0"/>
        <w:rPr>
          <w:sz w:val="20"/>
          <w:szCs w:val="20"/>
          <w:color w:val="auto"/>
        </w:rPr>
      </w:pPr>
      <w:r>
        <w:rPr>
          <w:rFonts w:ascii="Arial" w:cs="Arial" w:eastAsia="Arial" w:hAnsi="Arial"/>
          <w:sz w:val="17"/>
          <w:szCs w:val="17"/>
          <w:color w:val="auto"/>
        </w:rPr>
        <w:t>As of August 7, 2019, there were 10,775,550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147320</wp:posOffset>
            </wp:positionV>
            <wp:extent cx="72510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106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221615</wp:posOffset>
            </wp:positionV>
            <wp:extent cx="7251065" cy="33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1065" cy="3302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KINGSTONE COMPANIES,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INDEX</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Borders>
              <w:bottom w:val="single" w:sz="8" w:color="auto"/>
            </w:tcBorders>
          </w:tcPr>
          <w:p>
            <w:pPr>
              <w:ind w:left="220"/>
              <w:spacing w:after="0"/>
              <w:rPr>
                <w:sz w:val="20"/>
                <w:szCs w:val="20"/>
                <w:color w:val="auto"/>
              </w:rPr>
            </w:pPr>
            <w:r>
              <w:rPr>
                <w:rFonts w:ascii="Arial" w:cs="Arial" w:eastAsia="Arial" w:hAnsi="Arial"/>
                <w:sz w:val="17"/>
                <w:szCs w:val="17"/>
                <w:b w:val="1"/>
                <w:bCs w:val="1"/>
                <w:color w:val="auto"/>
              </w:rPr>
              <w:t>PAGE</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0500" w:type="dxa"/>
            <w:vAlign w:val="bottom"/>
            <w:gridSpan w:val="20"/>
            <w:shd w:val="clear" w:color="auto" w:fill="CCEEFF"/>
          </w:tcPr>
          <w:p>
            <w:pPr>
              <w:spacing w:after="0"/>
              <w:rPr>
                <w:sz w:val="20"/>
                <w:szCs w:val="20"/>
                <w:color w:val="auto"/>
              </w:rPr>
            </w:pPr>
            <w:r>
              <w:rPr>
                <w:rFonts w:ascii="Arial" w:cs="Arial" w:eastAsia="Arial" w:hAnsi="Arial"/>
                <w:sz w:val="17"/>
                <w:szCs w:val="17"/>
                <w:b w:val="1"/>
                <w:bCs w:val="1"/>
                <w:color w:val="auto"/>
              </w:rPr>
              <w:t>PART I — FINANCIAL INFORMATION</w:t>
            </w: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20" w:type="dxa"/>
            <w:vAlign w:val="bottom"/>
            <w:tcBorders>
              <w:bottom w:val="single" w:sz="8" w:color="0000EE"/>
            </w:tcBorders>
            <w:gridSpan w:val="8"/>
          </w:tcPr>
          <w:p>
            <w:pPr>
              <w:spacing w:after="0" w:line="170" w:lineRule="exact"/>
              <w:rPr>
                <w:rFonts w:ascii="Arial" w:cs="Arial" w:eastAsia="Arial" w:hAnsi="Arial"/>
                <w:sz w:val="17"/>
                <w:szCs w:val="17"/>
                <w:color w:val="0000EE"/>
                <w:w w:val="90"/>
              </w:rPr>
            </w:pPr>
            <w:hyperlink w:anchor="page4">
              <w:r>
                <w:rPr>
                  <w:rFonts w:ascii="Arial" w:cs="Arial" w:eastAsia="Arial" w:hAnsi="Arial"/>
                  <w:sz w:val="17"/>
                  <w:szCs w:val="17"/>
                  <w:color w:val="0000EE"/>
                  <w:w w:val="90"/>
                </w:rPr>
                <w:t>Item 1 — Financial Statements</w:t>
              </w:r>
            </w:hyperlink>
          </w:p>
        </w:tc>
        <w:tc>
          <w:tcPr>
            <w:tcW w:w="8080" w:type="dxa"/>
            <w:vAlign w:val="bottom"/>
            <w:gridSpan w:val="11"/>
          </w:tcPr>
          <w:p>
            <w:pPr>
              <w:spacing w:after="0"/>
              <w:rPr>
                <w:sz w:val="15"/>
                <w:szCs w:val="15"/>
                <w:color w:val="auto"/>
              </w:rPr>
            </w:pPr>
          </w:p>
        </w:tc>
        <w:tc>
          <w:tcPr>
            <w:tcW w:w="900" w:type="dxa"/>
            <w:vAlign w:val="bottom"/>
          </w:tcPr>
          <w:p>
            <w:pPr>
              <w:jc w:val="center"/>
              <w:spacing w:after="0" w:line="170"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6460" w:type="dxa"/>
            <w:vAlign w:val="bottom"/>
            <w:tcBorders>
              <w:bottom w:val="single" w:sz="8" w:color="0000EE"/>
            </w:tcBorders>
            <w:gridSpan w:val="13"/>
            <w:shd w:val="clear" w:color="auto" w:fill="CCEEFF"/>
          </w:tcPr>
          <w:p>
            <w:pPr>
              <w:spacing w:after="0" w:line="180" w:lineRule="exact"/>
              <w:rPr>
                <w:rFonts w:ascii="Arial" w:cs="Arial" w:eastAsia="Arial" w:hAnsi="Arial"/>
                <w:sz w:val="17"/>
                <w:szCs w:val="17"/>
                <w:color w:val="0000EE"/>
                <w:w w:val="88"/>
              </w:rPr>
            </w:pPr>
            <w:hyperlink w:anchor="page4">
              <w:r>
                <w:rPr>
                  <w:rFonts w:ascii="Arial" w:cs="Arial" w:eastAsia="Arial" w:hAnsi="Arial"/>
                  <w:sz w:val="17"/>
                  <w:szCs w:val="17"/>
                  <w:color w:val="0000EE"/>
                  <w:w w:val="88"/>
                </w:rPr>
                <w:t>Condensed Consolidated Balance Sheets at June 30, 2019 (Unaudited) and December 31, 2018</w:t>
              </w:r>
            </w:hyperlink>
          </w:p>
        </w:tc>
        <w:tc>
          <w:tcPr>
            <w:tcW w:w="3420" w:type="dxa"/>
            <w:vAlign w:val="bottom"/>
            <w:tcBorders>
              <w:bottom w:val="single" w:sz="8" w:color="CCEEFF"/>
            </w:tcBorders>
            <w:gridSpan w:val="5"/>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80"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80" w:type="dxa"/>
            <w:vAlign w:val="bottom"/>
            <w:gridSpan w:val="18"/>
          </w:tcPr>
          <w:p>
            <w:pPr>
              <w:spacing w:after="0" w:line="170" w:lineRule="exact"/>
              <w:rPr>
                <w:rFonts w:ascii="Arial" w:cs="Arial" w:eastAsia="Arial" w:hAnsi="Arial"/>
                <w:sz w:val="17"/>
                <w:szCs w:val="17"/>
                <w:color w:val="0000EE"/>
                <w:w w:val="93"/>
              </w:rPr>
            </w:pPr>
            <w:hyperlink w:anchor="page5">
              <w:r>
                <w:rPr>
                  <w:rFonts w:ascii="Arial" w:cs="Arial" w:eastAsia="Arial" w:hAnsi="Arial"/>
                  <w:sz w:val="17"/>
                  <w:szCs w:val="17"/>
                  <w:color w:val="0000EE"/>
                  <w:w w:val="93"/>
                </w:rPr>
                <w:t>Condensed Consolidated Statements of Operations and Comprehensive Income (Loss) for the three months and six months ended June 30,</w:t>
              </w:r>
            </w:hyperlink>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520" w:type="dxa"/>
            <w:vAlign w:val="bottom"/>
            <w:gridSpan w:val="21"/>
          </w:tcPr>
          <w:p>
            <w:pPr>
              <w:spacing w:after="0" w:line="189" w:lineRule="exact"/>
              <w:rPr>
                <w:rFonts w:ascii="Arial" w:cs="Arial" w:eastAsia="Arial" w:hAnsi="Arial"/>
                <w:sz w:val="17"/>
                <w:szCs w:val="17"/>
                <w:color w:val="0000EE"/>
              </w:rPr>
            </w:pPr>
            <w:hyperlink w:anchor="page5">
              <w:r>
                <w:rPr>
                  <w:rFonts w:ascii="Arial" w:cs="Arial" w:eastAsia="Arial" w:hAnsi="Arial"/>
                  <w:sz w:val="17"/>
                  <w:szCs w:val="17"/>
                  <w:color w:val="0000EE"/>
                </w:rPr>
                <w:t>2019 (Unaudited) and 2018 (Unaudited)</w:t>
              </w:r>
            </w:hyperlink>
          </w:p>
        </w:tc>
        <w:tc>
          <w:tcPr>
            <w:tcW w:w="900" w:type="dxa"/>
            <w:vAlign w:val="bottom"/>
          </w:tcPr>
          <w:p>
            <w:pPr>
              <w:jc w:val="center"/>
              <w:spacing w:after="0" w:line="189" w:lineRule="exact"/>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76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300" w:type="dxa"/>
            <w:vAlign w:val="bottom"/>
            <w:tcBorders>
              <w:right w:val="single" w:sz="8" w:color="0000EE"/>
            </w:tcBorders>
            <w:shd w:val="clear" w:color="auto" w:fill="0000EE"/>
          </w:tcPr>
          <w:p>
            <w:pPr>
              <w:spacing w:after="0"/>
              <w:rPr>
                <w:sz w:val="2"/>
                <w:szCs w:val="2"/>
                <w:color w:val="auto"/>
              </w:rPr>
            </w:pPr>
          </w:p>
        </w:tc>
        <w:tc>
          <w:tcPr>
            <w:tcW w:w="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80" w:type="dxa"/>
            <w:vAlign w:val="bottom"/>
            <w:gridSpan w:val="18"/>
            <w:shd w:val="clear" w:color="auto" w:fill="CCEEFF"/>
          </w:tcPr>
          <w:p>
            <w:pPr>
              <w:spacing w:after="0" w:line="180" w:lineRule="exact"/>
              <w:rPr>
                <w:rFonts w:ascii="Arial" w:cs="Arial" w:eastAsia="Arial" w:hAnsi="Arial"/>
                <w:sz w:val="17"/>
                <w:szCs w:val="17"/>
                <w:color w:val="0000EE"/>
                <w:w w:val="92"/>
              </w:rPr>
            </w:pPr>
            <w:hyperlink w:anchor="page6">
              <w:r>
                <w:rPr>
                  <w:rFonts w:ascii="Arial" w:cs="Arial" w:eastAsia="Arial" w:hAnsi="Arial"/>
                  <w:sz w:val="17"/>
                  <w:szCs w:val="17"/>
                  <w:color w:val="0000EE"/>
                  <w:w w:val="92"/>
                </w:rPr>
                <w:t>Condensed Consolidated Statements of Stockholders’ Equity for the three months and six months ended June 30, 2019 (Unaudited) and 2018</w:t>
              </w:r>
            </w:hyperlink>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500" w:type="dxa"/>
            <w:vAlign w:val="bottom"/>
            <w:gridSpan w:val="20"/>
            <w:shd w:val="clear" w:color="auto" w:fill="CCEEFF"/>
          </w:tcPr>
          <w:p>
            <w:pPr>
              <w:spacing w:after="0" w:line="189" w:lineRule="exact"/>
              <w:rPr>
                <w:rFonts w:ascii="Arial" w:cs="Arial" w:eastAsia="Arial" w:hAnsi="Arial"/>
                <w:sz w:val="17"/>
                <w:szCs w:val="17"/>
                <w:color w:val="0000EE"/>
              </w:rPr>
            </w:pPr>
            <w:hyperlink w:anchor="page6">
              <w:r>
                <w:rPr>
                  <w:rFonts w:ascii="Arial" w:cs="Arial" w:eastAsia="Arial" w:hAnsi="Arial"/>
                  <w:sz w:val="17"/>
                  <w:szCs w:val="17"/>
                  <w:color w:val="0000EE"/>
                </w:rPr>
                <w:t>(Unaudited)</w:t>
              </w:r>
            </w:hyperlink>
          </w:p>
        </w:tc>
        <w:tc>
          <w:tcPr>
            <w:tcW w:w="90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1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20" w:type="dxa"/>
            <w:vAlign w:val="bottom"/>
            <w:tcBorders>
              <w:bottom w:val="single" w:sz="8" w:color="0000EE"/>
            </w:tcBorders>
            <w:gridSpan w:val="15"/>
          </w:tcPr>
          <w:p>
            <w:pPr>
              <w:spacing w:after="0" w:line="170" w:lineRule="exact"/>
              <w:rPr>
                <w:rFonts w:ascii="Arial" w:cs="Arial" w:eastAsia="Arial" w:hAnsi="Arial"/>
                <w:sz w:val="17"/>
                <w:szCs w:val="17"/>
                <w:color w:val="0000EE"/>
                <w:w w:val="89"/>
              </w:rPr>
            </w:pPr>
            <w:hyperlink w:anchor="page9">
              <w:r>
                <w:rPr>
                  <w:rFonts w:ascii="Arial" w:cs="Arial" w:eastAsia="Arial" w:hAnsi="Arial"/>
                  <w:sz w:val="17"/>
                  <w:szCs w:val="17"/>
                  <w:color w:val="0000EE"/>
                  <w:w w:val="89"/>
                </w:rPr>
                <w:t>Condensed Consolidated Statements of Cash Flows for the six months ended June 30, 2019 (Unaudited) and 2018 (Unaudited)</w:t>
              </w:r>
            </w:hyperlink>
          </w:p>
        </w:tc>
        <w:tc>
          <w:tcPr>
            <w:tcW w:w="1260" w:type="dxa"/>
            <w:vAlign w:val="bottom"/>
            <w:gridSpan w:val="3"/>
          </w:tcPr>
          <w:p>
            <w:pPr>
              <w:spacing w:after="0"/>
              <w:rPr>
                <w:sz w:val="15"/>
                <w:szCs w:val="15"/>
                <w:color w:val="auto"/>
              </w:rPr>
            </w:pPr>
          </w:p>
        </w:tc>
        <w:tc>
          <w:tcPr>
            <w:tcW w:w="900" w:type="dxa"/>
            <w:vAlign w:val="bottom"/>
          </w:tcPr>
          <w:p>
            <w:pPr>
              <w:jc w:val="center"/>
              <w:spacing w:after="0" w:line="170" w:lineRule="exact"/>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80" w:type="dxa"/>
            <w:vAlign w:val="bottom"/>
            <w:gridSpan w:val="18"/>
            <w:shd w:val="clear" w:color="auto" w:fill="CCEEFF"/>
          </w:tcPr>
          <w:p>
            <w:pPr>
              <w:spacing w:after="0" w:line="180" w:lineRule="exact"/>
              <w:rPr>
                <w:rFonts w:ascii="Arial" w:cs="Arial" w:eastAsia="Arial" w:hAnsi="Arial"/>
                <w:sz w:val="17"/>
                <w:szCs w:val="17"/>
                <w:color w:val="0000EE"/>
              </w:rPr>
            </w:pPr>
            <w:hyperlink w:anchor="page10">
              <w:r>
                <w:rPr>
                  <w:rFonts w:ascii="Arial" w:cs="Arial" w:eastAsia="Arial" w:hAnsi="Arial"/>
                  <w:sz w:val="17"/>
                  <w:szCs w:val="17"/>
                  <w:color w:val="0000EE"/>
                </w:rPr>
                <w:t>Notes to Condensed Consolidated Financial Statements (Unaudited)</w:t>
              </w:r>
            </w:hyperlink>
          </w:p>
        </w:tc>
        <w:tc>
          <w:tcPr>
            <w:tcW w:w="900" w:type="dxa"/>
            <w:vAlign w:val="bottom"/>
            <w:shd w:val="clear" w:color="auto" w:fill="CCEEFF"/>
          </w:tcPr>
          <w:p>
            <w:pPr>
              <w:jc w:val="center"/>
              <w:spacing w:after="0" w:line="180"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76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300" w:type="dxa"/>
            <w:vAlign w:val="bottom"/>
            <w:tcBorders>
              <w:right w:val="single" w:sz="8" w:color="0000EE"/>
            </w:tcBorders>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192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1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0" w:type="dxa"/>
            <w:vAlign w:val="bottom"/>
            <w:tcBorders>
              <w:bottom w:val="single" w:sz="8" w:color="0000EE"/>
            </w:tcBorders>
            <w:gridSpan w:val="15"/>
          </w:tcPr>
          <w:p>
            <w:pPr>
              <w:spacing w:after="0" w:line="170" w:lineRule="exact"/>
              <w:rPr>
                <w:rFonts w:ascii="Arial" w:cs="Arial" w:eastAsia="Arial" w:hAnsi="Arial"/>
                <w:sz w:val="17"/>
                <w:szCs w:val="17"/>
                <w:color w:val="0000EE"/>
                <w:w w:val="91"/>
              </w:rPr>
            </w:pPr>
            <w:hyperlink w:anchor="page44">
              <w:r>
                <w:rPr>
                  <w:rFonts w:ascii="Arial" w:cs="Arial" w:eastAsia="Arial" w:hAnsi="Arial"/>
                  <w:sz w:val="17"/>
                  <w:szCs w:val="17"/>
                  <w:color w:val="0000EE"/>
                  <w:w w:val="91"/>
                </w:rPr>
                <w:t>Item 2 — Management’s Discussion and Analysis of Financial Condition and Results of Operations</w:t>
              </w:r>
            </w:hyperlink>
          </w:p>
        </w:tc>
        <w:tc>
          <w:tcPr>
            <w:tcW w:w="3400" w:type="dxa"/>
            <w:vAlign w:val="bottom"/>
            <w:gridSpan w:val="4"/>
          </w:tcPr>
          <w:p>
            <w:pPr>
              <w:spacing w:after="0"/>
              <w:rPr>
                <w:sz w:val="15"/>
                <w:szCs w:val="15"/>
                <w:color w:val="auto"/>
              </w:rPr>
            </w:pPr>
          </w:p>
        </w:tc>
        <w:tc>
          <w:tcPr>
            <w:tcW w:w="900" w:type="dxa"/>
            <w:vAlign w:val="bottom"/>
          </w:tcPr>
          <w:p>
            <w:pPr>
              <w:jc w:val="center"/>
              <w:spacing w:after="0" w:line="170" w:lineRule="exact"/>
              <w:rPr>
                <w:sz w:val="20"/>
                <w:szCs w:val="20"/>
                <w:color w:val="auto"/>
              </w:rPr>
            </w:pPr>
            <w:r>
              <w:rPr>
                <w:rFonts w:ascii="Arial" w:cs="Arial" w:eastAsia="Arial" w:hAnsi="Arial"/>
                <w:sz w:val="17"/>
                <w:szCs w:val="17"/>
                <w:color w:val="auto"/>
                <w:w w:val="94"/>
              </w:rPr>
              <w:t>41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4820" w:type="dxa"/>
            <w:vAlign w:val="bottom"/>
            <w:tcBorders>
              <w:bottom w:val="single" w:sz="8" w:color="0000EE"/>
            </w:tcBorders>
            <w:gridSpan w:val="12"/>
            <w:shd w:val="clear" w:color="auto" w:fill="CCEEFF"/>
          </w:tcPr>
          <w:p>
            <w:pPr>
              <w:spacing w:after="0" w:line="180" w:lineRule="exact"/>
              <w:rPr>
                <w:rFonts w:ascii="Arial" w:cs="Arial" w:eastAsia="Arial" w:hAnsi="Arial"/>
                <w:sz w:val="17"/>
                <w:szCs w:val="17"/>
                <w:color w:val="0000EE"/>
                <w:w w:val="92"/>
              </w:rPr>
            </w:pPr>
            <w:hyperlink w:anchor="page77">
              <w:r>
                <w:rPr>
                  <w:rFonts w:ascii="Arial" w:cs="Arial" w:eastAsia="Arial" w:hAnsi="Arial"/>
                  <w:sz w:val="17"/>
                  <w:szCs w:val="17"/>
                  <w:color w:val="0000EE"/>
                  <w:w w:val="92"/>
                </w:rPr>
                <w:t>Item 3 — Quantitative and Qualitative Disclosures About Market Risk</w:t>
              </w:r>
            </w:hyperlink>
          </w:p>
        </w:tc>
        <w:tc>
          <w:tcPr>
            <w:tcW w:w="5380" w:type="dxa"/>
            <w:vAlign w:val="bottom"/>
            <w:tcBorders>
              <w:bottom w:val="single" w:sz="8" w:color="CCEEFF"/>
            </w:tcBorders>
            <w:gridSpan w:val="7"/>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80" w:lineRule="exact"/>
              <w:rPr>
                <w:sz w:val="20"/>
                <w:szCs w:val="20"/>
                <w:color w:val="auto"/>
              </w:rPr>
            </w:pPr>
            <w:r>
              <w:rPr>
                <w:rFonts w:ascii="Arial" w:cs="Arial" w:eastAsia="Arial" w:hAnsi="Arial"/>
                <w:sz w:val="17"/>
                <w:szCs w:val="17"/>
                <w:color w:val="auto"/>
                <w:w w:val="94"/>
              </w:rPr>
              <w:t>74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0" w:type="dxa"/>
            <w:vAlign w:val="bottom"/>
            <w:gridSpan w:val="19"/>
          </w:tcPr>
          <w:p>
            <w:pPr>
              <w:spacing w:after="0" w:line="170" w:lineRule="exact"/>
              <w:rPr>
                <w:rFonts w:ascii="Arial" w:cs="Arial" w:eastAsia="Arial" w:hAnsi="Arial"/>
                <w:sz w:val="17"/>
                <w:szCs w:val="17"/>
                <w:color w:val="0000EE"/>
              </w:rPr>
            </w:pPr>
            <w:hyperlink w:anchor="page78">
              <w:r>
                <w:rPr>
                  <w:rFonts w:ascii="Arial" w:cs="Arial" w:eastAsia="Arial" w:hAnsi="Arial"/>
                  <w:sz w:val="17"/>
                  <w:szCs w:val="17"/>
                  <w:color w:val="0000EE"/>
                </w:rPr>
                <w:t>Item 4 — Controls and Procedures</w:t>
              </w:r>
            </w:hyperlink>
          </w:p>
        </w:tc>
        <w:tc>
          <w:tcPr>
            <w:tcW w:w="900" w:type="dxa"/>
            <w:vAlign w:val="bottom"/>
          </w:tcPr>
          <w:p>
            <w:pPr>
              <w:jc w:val="center"/>
              <w:spacing w:after="0" w:line="170" w:lineRule="exact"/>
              <w:rPr>
                <w:sz w:val="20"/>
                <w:szCs w:val="20"/>
                <w:color w:val="auto"/>
              </w:rPr>
            </w:pPr>
            <w:r>
              <w:rPr>
                <w:rFonts w:ascii="Arial" w:cs="Arial" w:eastAsia="Arial" w:hAnsi="Arial"/>
                <w:sz w:val="17"/>
                <w:szCs w:val="17"/>
                <w:color w:val="auto"/>
                <w:w w:val="94"/>
              </w:rPr>
              <w:t>75</w:t>
            </w: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760" w:type="dxa"/>
            <w:vAlign w:val="bottom"/>
            <w:tcBorders>
              <w:top w:val="single" w:sz="8" w:color="0000EE"/>
            </w:tcBorders>
            <w:shd w:val="clear" w:color="auto" w:fill="CCEEFF"/>
          </w:tcPr>
          <w:p>
            <w:pPr>
              <w:spacing w:after="0"/>
              <w:rPr>
                <w:sz w:val="19"/>
                <w:szCs w:val="19"/>
                <w:color w:val="auto"/>
              </w:rPr>
            </w:pPr>
          </w:p>
        </w:tc>
        <w:tc>
          <w:tcPr>
            <w:tcW w:w="420" w:type="dxa"/>
            <w:vAlign w:val="bottom"/>
            <w:tcBorders>
              <w:top w:val="single" w:sz="8" w:color="0000EE"/>
            </w:tcBorders>
            <w:shd w:val="clear" w:color="auto" w:fill="CCEEFF"/>
          </w:tcPr>
          <w:p>
            <w:pPr>
              <w:spacing w:after="0"/>
              <w:rPr>
                <w:sz w:val="19"/>
                <w:szCs w:val="19"/>
                <w:color w:val="auto"/>
              </w:rPr>
            </w:pPr>
          </w:p>
        </w:tc>
        <w:tc>
          <w:tcPr>
            <w:tcW w:w="26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160" w:type="dxa"/>
            <w:vAlign w:val="bottom"/>
            <w:tcBorders>
              <w:top w:val="single" w:sz="8" w:color="0000EE"/>
            </w:tcBorders>
            <w:shd w:val="clear" w:color="auto" w:fill="CCEEFF"/>
          </w:tcPr>
          <w:p>
            <w:pPr>
              <w:spacing w:after="0"/>
              <w:rPr>
                <w:sz w:val="19"/>
                <w:szCs w:val="19"/>
                <w:color w:val="auto"/>
              </w:rPr>
            </w:pPr>
          </w:p>
        </w:tc>
        <w:tc>
          <w:tcPr>
            <w:tcW w:w="300" w:type="dxa"/>
            <w:vAlign w:val="bottom"/>
            <w:tcBorders>
              <w:top w:val="single" w:sz="8" w:color="0000EE"/>
              <w:right w:val="single" w:sz="8" w:color="CCEEFF"/>
            </w:tcBorders>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0500" w:type="dxa"/>
            <w:vAlign w:val="bottom"/>
            <w:gridSpan w:val="20"/>
          </w:tcPr>
          <w:p>
            <w:pPr>
              <w:spacing w:after="0"/>
              <w:rPr>
                <w:sz w:val="20"/>
                <w:szCs w:val="20"/>
                <w:color w:val="auto"/>
              </w:rPr>
            </w:pPr>
            <w:r>
              <w:rPr>
                <w:rFonts w:ascii="Arial" w:cs="Arial" w:eastAsia="Arial" w:hAnsi="Arial"/>
                <w:sz w:val="17"/>
                <w:szCs w:val="17"/>
                <w:b w:val="1"/>
                <w:bCs w:val="1"/>
                <w:color w:val="auto"/>
              </w:rPr>
              <w:t>PART II — OTHER INFORMATION</w:t>
            </w:r>
          </w:p>
        </w:tc>
        <w:tc>
          <w:tcPr>
            <w:tcW w:w="900" w:type="dxa"/>
            <w:vAlign w:val="bottom"/>
          </w:tcPr>
          <w:p>
            <w:pPr>
              <w:jc w:val="center"/>
              <w:spacing w:after="0"/>
              <w:rPr>
                <w:sz w:val="20"/>
                <w:szCs w:val="20"/>
                <w:color w:val="auto"/>
              </w:rPr>
            </w:pPr>
            <w:r>
              <w:rPr>
                <w:rFonts w:ascii="Arial" w:cs="Arial" w:eastAsia="Arial" w:hAnsi="Arial"/>
                <w:sz w:val="17"/>
                <w:szCs w:val="17"/>
                <w:color w:val="auto"/>
                <w:w w:val="94"/>
              </w:rPr>
              <w:t>76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960" w:type="dxa"/>
            <w:vAlign w:val="bottom"/>
            <w:tcBorders>
              <w:bottom w:val="single" w:sz="8" w:color="0000EE"/>
            </w:tcBorders>
            <w:gridSpan w:val="7"/>
            <w:shd w:val="clear" w:color="auto" w:fill="CCEEFF"/>
          </w:tcPr>
          <w:p>
            <w:pPr>
              <w:spacing w:after="0" w:line="170" w:lineRule="exact"/>
              <w:rPr>
                <w:rFonts w:ascii="Arial" w:cs="Arial" w:eastAsia="Arial" w:hAnsi="Arial"/>
                <w:sz w:val="17"/>
                <w:szCs w:val="17"/>
                <w:color w:val="0000EE"/>
                <w:w w:val="90"/>
              </w:rPr>
            </w:pPr>
            <w:hyperlink w:anchor="page79">
              <w:r>
                <w:rPr>
                  <w:rFonts w:ascii="Arial" w:cs="Arial" w:eastAsia="Arial" w:hAnsi="Arial"/>
                  <w:sz w:val="17"/>
                  <w:szCs w:val="17"/>
                  <w:color w:val="0000EE"/>
                  <w:w w:val="90"/>
                </w:rPr>
                <w:t>Item 1 — Legal Proceedings</w:t>
              </w:r>
            </w:hyperlink>
          </w:p>
        </w:tc>
        <w:tc>
          <w:tcPr>
            <w:tcW w:w="8240" w:type="dxa"/>
            <w:vAlign w:val="bottom"/>
            <w:tcBorders>
              <w:bottom w:val="single" w:sz="8" w:color="CCEEFF"/>
            </w:tcBorders>
            <w:gridSpan w:val="12"/>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center"/>
              <w:spacing w:after="0" w:line="170" w:lineRule="exact"/>
              <w:rPr>
                <w:sz w:val="20"/>
                <w:szCs w:val="20"/>
                <w:color w:val="auto"/>
              </w:rPr>
            </w:pPr>
            <w:r>
              <w:rPr>
                <w:rFonts w:ascii="Arial" w:cs="Arial" w:eastAsia="Arial" w:hAnsi="Arial"/>
                <w:sz w:val="17"/>
                <w:szCs w:val="17"/>
                <w:color w:val="auto"/>
                <w:w w:val="94"/>
              </w:rPr>
              <w:t>76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tcBorders>
              <w:bottom w:val="single" w:sz="8" w:color="0000EE"/>
            </w:tcBorders>
            <w:gridSpan w:val="5"/>
          </w:tcPr>
          <w:p>
            <w:pPr>
              <w:spacing w:after="0" w:line="170" w:lineRule="exact"/>
              <w:rPr>
                <w:rFonts w:ascii="Arial" w:cs="Arial" w:eastAsia="Arial" w:hAnsi="Arial"/>
                <w:sz w:val="17"/>
                <w:szCs w:val="17"/>
                <w:color w:val="0000EE"/>
                <w:w w:val="92"/>
              </w:rPr>
            </w:pPr>
            <w:hyperlink w:anchor="page79">
              <w:r>
                <w:rPr>
                  <w:rFonts w:ascii="Arial" w:cs="Arial" w:eastAsia="Arial" w:hAnsi="Arial"/>
                  <w:sz w:val="17"/>
                  <w:szCs w:val="17"/>
                  <w:color w:val="0000EE"/>
                  <w:w w:val="92"/>
                </w:rPr>
                <w:t>Item 1A — Risk Factors</w:t>
              </w:r>
            </w:hyperlink>
          </w:p>
        </w:tc>
        <w:tc>
          <w:tcPr>
            <w:tcW w:w="8520" w:type="dxa"/>
            <w:vAlign w:val="bottom"/>
            <w:gridSpan w:val="14"/>
          </w:tcPr>
          <w:p>
            <w:pPr>
              <w:spacing w:after="0"/>
              <w:rPr>
                <w:sz w:val="15"/>
                <w:szCs w:val="15"/>
                <w:color w:val="auto"/>
              </w:rPr>
            </w:pPr>
          </w:p>
        </w:tc>
        <w:tc>
          <w:tcPr>
            <w:tcW w:w="900" w:type="dxa"/>
            <w:vAlign w:val="bottom"/>
          </w:tcPr>
          <w:p>
            <w:pPr>
              <w:jc w:val="center"/>
              <w:spacing w:after="0" w:line="170" w:lineRule="exact"/>
              <w:rPr>
                <w:sz w:val="20"/>
                <w:szCs w:val="20"/>
                <w:color w:val="auto"/>
              </w:rPr>
            </w:pPr>
            <w:r>
              <w:rPr>
                <w:rFonts w:ascii="Arial" w:cs="Arial" w:eastAsia="Arial" w:hAnsi="Arial"/>
                <w:sz w:val="17"/>
                <w:szCs w:val="17"/>
                <w:color w:val="auto"/>
                <w:w w:val="94"/>
              </w:rPr>
              <w:t>76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0" w:type="dxa"/>
            <w:vAlign w:val="bottom"/>
            <w:gridSpan w:val="19"/>
            <w:shd w:val="clear" w:color="auto" w:fill="CCEEFF"/>
          </w:tcPr>
          <w:p>
            <w:pPr>
              <w:spacing w:after="0" w:line="180" w:lineRule="exact"/>
              <w:rPr>
                <w:rFonts w:ascii="Arial" w:cs="Arial" w:eastAsia="Arial" w:hAnsi="Arial"/>
                <w:sz w:val="17"/>
                <w:szCs w:val="17"/>
                <w:color w:val="0000EE"/>
              </w:rPr>
            </w:pPr>
            <w:hyperlink w:anchor="page79">
              <w:r>
                <w:rPr>
                  <w:rFonts w:ascii="Arial" w:cs="Arial" w:eastAsia="Arial" w:hAnsi="Arial"/>
                  <w:sz w:val="17"/>
                  <w:szCs w:val="17"/>
                  <w:color w:val="0000EE"/>
                </w:rPr>
                <w:t>Item 2 — Unregistered Sales of Equity Securities and Use of Proceeds</w:t>
              </w:r>
            </w:hyperlink>
          </w:p>
        </w:tc>
        <w:tc>
          <w:tcPr>
            <w:tcW w:w="900" w:type="dxa"/>
            <w:vAlign w:val="bottom"/>
            <w:shd w:val="clear" w:color="auto" w:fill="CCEEFF"/>
          </w:tcPr>
          <w:p>
            <w:pPr>
              <w:jc w:val="center"/>
              <w:spacing w:after="0" w:line="180" w:lineRule="exact"/>
              <w:rPr>
                <w:sz w:val="20"/>
                <w:szCs w:val="20"/>
                <w:color w:val="auto"/>
              </w:rPr>
            </w:pPr>
            <w:r>
              <w:rPr>
                <w:rFonts w:ascii="Arial" w:cs="Arial" w:eastAsia="Arial" w:hAnsi="Arial"/>
                <w:sz w:val="17"/>
                <w:szCs w:val="17"/>
                <w:color w:val="auto"/>
                <w:w w:val="94"/>
              </w:rPr>
              <w:t>76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4800" w:type="dxa"/>
            <w:vAlign w:val="bottom"/>
            <w:tcBorders>
              <w:top w:val="single" w:sz="8" w:color="0000EE"/>
            </w:tcBorders>
            <w:gridSpan w:val="11"/>
          </w:tcPr>
          <w:p>
            <w:pPr>
              <w:spacing w:after="0" w:line="170" w:lineRule="exact"/>
              <w:rPr>
                <w:rFonts w:ascii="Arial" w:cs="Arial" w:eastAsia="Arial" w:hAnsi="Arial"/>
                <w:sz w:val="17"/>
                <w:szCs w:val="17"/>
                <w:color w:val="0000EE"/>
              </w:rPr>
            </w:pPr>
            <w:hyperlink w:anchor="page79">
              <w:r>
                <w:rPr>
                  <w:rFonts w:ascii="Arial" w:cs="Arial" w:eastAsia="Arial" w:hAnsi="Arial"/>
                  <w:sz w:val="17"/>
                  <w:szCs w:val="17"/>
                  <w:color w:val="0000EE"/>
                </w:rPr>
                <w:t>Item 3 — Defaults Upon Senior Securities</w:t>
              </w:r>
            </w:hyperlink>
          </w:p>
        </w:tc>
        <w:tc>
          <w:tcPr>
            <w:tcW w:w="5400" w:type="dxa"/>
            <w:vAlign w:val="bottom"/>
            <w:tcBorders>
              <w:top w:val="single" w:sz="8" w:color="CCEEFF"/>
            </w:tcBorders>
            <w:gridSpan w:val="8"/>
          </w:tcPr>
          <w:p>
            <w:pPr>
              <w:spacing w:after="0"/>
              <w:rPr>
                <w:sz w:val="15"/>
                <w:szCs w:val="15"/>
                <w:color w:val="auto"/>
              </w:rPr>
            </w:pPr>
          </w:p>
        </w:tc>
        <w:tc>
          <w:tcPr>
            <w:tcW w:w="900" w:type="dxa"/>
            <w:vAlign w:val="bottom"/>
            <w:tcBorders>
              <w:top w:val="single" w:sz="8" w:color="CCEEFF"/>
            </w:tcBorders>
          </w:tcPr>
          <w:p>
            <w:pPr>
              <w:jc w:val="center"/>
              <w:spacing w:after="0" w:line="170" w:lineRule="exact"/>
              <w:rPr>
                <w:sz w:val="20"/>
                <w:szCs w:val="20"/>
                <w:color w:val="auto"/>
              </w:rPr>
            </w:pPr>
            <w:r>
              <w:rPr>
                <w:rFonts w:ascii="Arial" w:cs="Arial" w:eastAsia="Arial" w:hAnsi="Arial"/>
                <w:sz w:val="17"/>
                <w:szCs w:val="17"/>
                <w:color w:val="auto"/>
                <w:w w:val="94"/>
              </w:rPr>
              <w:t>76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80" w:type="dxa"/>
            <w:vAlign w:val="bottom"/>
            <w:tcBorders>
              <w:top w:val="single" w:sz="8" w:color="0000EE"/>
            </w:tcBorders>
            <w:gridSpan w:val="10"/>
            <w:shd w:val="clear" w:color="auto" w:fill="CCEEFF"/>
          </w:tcPr>
          <w:p>
            <w:pPr>
              <w:spacing w:after="0" w:line="180" w:lineRule="exact"/>
              <w:rPr>
                <w:rFonts w:ascii="Arial" w:cs="Arial" w:eastAsia="Arial" w:hAnsi="Arial"/>
                <w:sz w:val="17"/>
                <w:szCs w:val="17"/>
                <w:color w:val="0000EE"/>
              </w:rPr>
            </w:pPr>
            <w:hyperlink w:anchor="page79">
              <w:r>
                <w:rPr>
                  <w:rFonts w:ascii="Arial" w:cs="Arial" w:eastAsia="Arial" w:hAnsi="Arial"/>
                  <w:sz w:val="17"/>
                  <w:szCs w:val="17"/>
                  <w:color w:val="0000EE"/>
                </w:rPr>
                <w:t>Item 4 — Mine Safety Disclosures</w:t>
              </w:r>
            </w:hyperlink>
          </w:p>
        </w:tc>
        <w:tc>
          <w:tcPr>
            <w:tcW w:w="7320" w:type="dxa"/>
            <w:vAlign w:val="bottom"/>
            <w:gridSpan w:val="9"/>
            <w:shd w:val="clear" w:color="auto" w:fill="CCEEFF"/>
          </w:tcPr>
          <w:p>
            <w:pPr>
              <w:spacing w:after="0"/>
              <w:rPr>
                <w:sz w:val="17"/>
                <w:szCs w:val="17"/>
                <w:color w:val="auto"/>
              </w:rPr>
            </w:pPr>
          </w:p>
        </w:tc>
        <w:tc>
          <w:tcPr>
            <w:tcW w:w="900" w:type="dxa"/>
            <w:vAlign w:val="bottom"/>
            <w:shd w:val="clear" w:color="auto" w:fill="CCEEFF"/>
          </w:tcPr>
          <w:p>
            <w:pPr>
              <w:jc w:val="center"/>
              <w:spacing w:after="0" w:line="180" w:lineRule="exact"/>
              <w:rPr>
                <w:sz w:val="20"/>
                <w:szCs w:val="20"/>
                <w:color w:val="auto"/>
              </w:rPr>
            </w:pPr>
            <w:r>
              <w:rPr>
                <w:rFonts w:ascii="Arial" w:cs="Arial" w:eastAsia="Arial" w:hAnsi="Arial"/>
                <w:sz w:val="17"/>
                <w:szCs w:val="17"/>
                <w:color w:val="auto"/>
                <w:w w:val="94"/>
              </w:rPr>
              <w:t>76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1940" w:type="dxa"/>
            <w:vAlign w:val="bottom"/>
            <w:tcBorders>
              <w:top w:val="single" w:sz="8" w:color="0000EE"/>
              <w:bottom w:val="single" w:sz="8" w:color="0000EE"/>
            </w:tcBorders>
            <w:gridSpan w:val="6"/>
          </w:tcPr>
          <w:p>
            <w:pPr>
              <w:spacing w:after="0" w:line="170" w:lineRule="exact"/>
              <w:rPr>
                <w:rFonts w:ascii="Arial" w:cs="Arial" w:eastAsia="Arial" w:hAnsi="Arial"/>
                <w:sz w:val="17"/>
                <w:szCs w:val="17"/>
                <w:color w:val="0000EE"/>
                <w:w w:val="93"/>
              </w:rPr>
            </w:pPr>
            <w:hyperlink w:anchor="page79">
              <w:r>
                <w:rPr>
                  <w:rFonts w:ascii="Arial" w:cs="Arial" w:eastAsia="Arial" w:hAnsi="Arial"/>
                  <w:sz w:val="17"/>
                  <w:szCs w:val="17"/>
                  <w:color w:val="0000EE"/>
                  <w:w w:val="93"/>
                </w:rPr>
                <w:t>Item 5 — Other Information</w:t>
              </w:r>
            </w:hyperlink>
          </w:p>
        </w:tc>
        <w:tc>
          <w:tcPr>
            <w:tcW w:w="480" w:type="dxa"/>
            <w:vAlign w:val="bottom"/>
            <w:tcBorders>
              <w:top w:val="single" w:sz="8" w:color="0000EE"/>
            </w:tcBorders>
            <w:gridSpan w:val="3"/>
          </w:tcPr>
          <w:p>
            <w:pPr>
              <w:spacing w:after="0"/>
              <w:rPr>
                <w:sz w:val="15"/>
                <w:szCs w:val="15"/>
                <w:color w:val="auto"/>
              </w:rPr>
            </w:pPr>
          </w:p>
        </w:tc>
        <w:tc>
          <w:tcPr>
            <w:tcW w:w="7780" w:type="dxa"/>
            <w:vAlign w:val="bottom"/>
            <w:tcBorders>
              <w:top w:val="single" w:sz="8" w:color="CCEEFF"/>
            </w:tcBorders>
            <w:gridSpan w:val="10"/>
          </w:tcPr>
          <w:p>
            <w:pPr>
              <w:spacing w:after="0"/>
              <w:rPr>
                <w:sz w:val="15"/>
                <w:szCs w:val="15"/>
                <w:color w:val="auto"/>
              </w:rPr>
            </w:pPr>
          </w:p>
        </w:tc>
        <w:tc>
          <w:tcPr>
            <w:tcW w:w="900" w:type="dxa"/>
            <w:vAlign w:val="bottom"/>
            <w:tcBorders>
              <w:top w:val="single" w:sz="8" w:color="CCEEFF"/>
            </w:tcBorders>
          </w:tcPr>
          <w:p>
            <w:pPr>
              <w:jc w:val="center"/>
              <w:spacing w:after="0" w:line="170" w:lineRule="exact"/>
              <w:rPr>
                <w:sz w:val="20"/>
                <w:szCs w:val="20"/>
                <w:color w:val="auto"/>
              </w:rPr>
            </w:pPr>
            <w:r>
              <w:rPr>
                <w:rFonts w:ascii="Arial" w:cs="Arial" w:eastAsia="Arial" w:hAnsi="Arial"/>
                <w:sz w:val="17"/>
                <w:szCs w:val="17"/>
                <w:color w:val="auto"/>
                <w:w w:val="94"/>
              </w:rPr>
              <w:t>76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0000EE"/>
            </w:tcBorders>
            <w:gridSpan w:val="4"/>
            <w:shd w:val="clear" w:color="auto" w:fill="CCEEFF"/>
          </w:tcPr>
          <w:p>
            <w:pPr>
              <w:spacing w:after="0" w:line="180" w:lineRule="exact"/>
              <w:rPr>
                <w:rFonts w:ascii="Arial" w:cs="Arial" w:eastAsia="Arial" w:hAnsi="Arial"/>
                <w:sz w:val="17"/>
                <w:szCs w:val="17"/>
                <w:color w:val="0000EE"/>
                <w:w w:val="93"/>
              </w:rPr>
            </w:pPr>
            <w:hyperlink w:anchor="page80">
              <w:r>
                <w:rPr>
                  <w:rFonts w:ascii="Arial" w:cs="Arial" w:eastAsia="Arial" w:hAnsi="Arial"/>
                  <w:sz w:val="17"/>
                  <w:szCs w:val="17"/>
                  <w:color w:val="0000EE"/>
                  <w:w w:val="93"/>
                </w:rPr>
                <w:t>Item 6 — Exhibits</w:t>
              </w:r>
            </w:hyperlink>
          </w:p>
        </w:tc>
        <w:tc>
          <w:tcPr>
            <w:tcW w:w="8940" w:type="dxa"/>
            <w:vAlign w:val="bottom"/>
            <w:tcBorders>
              <w:bottom w:val="single" w:sz="8" w:color="CCEEFF"/>
            </w:tcBorders>
            <w:gridSpan w:val="15"/>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80" w:lineRule="exact"/>
              <w:rPr>
                <w:sz w:val="20"/>
                <w:szCs w:val="20"/>
                <w:color w:val="auto"/>
              </w:rPr>
            </w:pPr>
            <w:r>
              <w:rPr>
                <w:rFonts w:ascii="Arial" w:cs="Arial" w:eastAsia="Arial" w:hAnsi="Arial"/>
                <w:sz w:val="17"/>
                <w:szCs w:val="17"/>
                <w:color w:val="auto"/>
                <w:w w:val="94"/>
              </w:rPr>
              <w:t>77</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500" w:type="dxa"/>
            <w:vAlign w:val="bottom"/>
            <w:gridSpan w:val="20"/>
          </w:tcPr>
          <w:p>
            <w:pPr>
              <w:spacing w:after="0" w:line="170" w:lineRule="exact"/>
              <w:rPr>
                <w:rFonts w:ascii="Arial" w:cs="Arial" w:eastAsia="Arial" w:hAnsi="Arial"/>
                <w:sz w:val="17"/>
                <w:szCs w:val="17"/>
                <w:color w:val="0000EE"/>
              </w:rPr>
            </w:pPr>
            <w:hyperlink w:anchor="page81">
              <w:r>
                <w:rPr>
                  <w:rFonts w:ascii="Arial" w:cs="Arial" w:eastAsia="Arial" w:hAnsi="Arial"/>
                  <w:sz w:val="17"/>
                  <w:szCs w:val="17"/>
                  <w:color w:val="0000EE"/>
                </w:rPr>
                <w:t>Signatures</w:t>
              </w:r>
            </w:hyperlink>
          </w:p>
        </w:tc>
        <w:tc>
          <w:tcPr>
            <w:tcW w:w="900" w:type="dxa"/>
            <w:vAlign w:val="bottom"/>
          </w:tcPr>
          <w:p>
            <w:pPr>
              <w:jc w:val="center"/>
              <w:spacing w:after="0" w:line="170" w:lineRule="exact"/>
              <w:rPr>
                <w:sz w:val="20"/>
                <w:szCs w:val="20"/>
                <w:color w:val="auto"/>
              </w:rPr>
            </w:pPr>
            <w:r>
              <w:rPr>
                <w:rFonts w:ascii="Arial" w:cs="Arial" w:eastAsia="Arial" w:hAnsi="Arial"/>
                <w:sz w:val="17"/>
                <w:szCs w:val="17"/>
                <w:color w:val="auto"/>
                <w:w w:val="94"/>
              </w:rPr>
              <w:t>78</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u w:val="single" w:color="auto"/>
          <w:color w:val="auto"/>
        </w:rPr>
        <w:t>Forward-Looking Statements</w:t>
      </w:r>
    </w:p>
    <w:p>
      <w:pPr>
        <w:spacing w:after="0" w:line="162"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This Quarterly Report contains forward-looking statements within the meaning of the Private Securities Litigation Reform Act of 1995. The events described in forward-looking statements contained in this Quarterly Report may not occur. Generally, these statements relate to business plans or strategies, projected or anticipated results or other consequences of our plans or strategies, projected or anticipated results from acquisitions to be made by us, or projections involving anticipated revenues, earnings, costs or other aspects of our operating results. The words “may,” “will,” “expect,” “believe,” “anticipate,” “project,” “plan,” “intend,” “estimate,” and “continue,” and their opposites and similar expressions are intended to identify forward-looking statements. We caution you that these statements are not guarantees of future performance or events and are subject to a number of uncertainties, risks and other influences, many of which are beyond our control, which may influence the accuracy of the statements and the projections upon which the statements are based. Factors which may cause actual results and outcomes to differ materially from those contained in the forward-looking statements include, but are not limited to the risks and uncertainties discussed in Part I Item 1A of our Annual Report on Form 10-K for the year ended December 31, 2018.</w:t>
      </w:r>
    </w:p>
    <w:p>
      <w:pPr>
        <w:spacing w:after="0" w:line="10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Any one or more of these uncertainties, risks and other influences could materially affect our results of operations and whether forward-looking statements made by us ultimately prove to be accurate. Our actual results, performance and achievements could differ materially from those expressed or implied in these forward-looking statements. We undertake no obligation to publicly update or revise any forward-looking statements, whether from new information, future events or otherwise except as required by law.</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color w:val="auto"/>
        </w:rPr>
        <w:t xml:space="preserve">PART I. </w:t>
      </w:r>
      <w:r>
        <w:rPr>
          <w:rFonts w:ascii="Arial" w:cs="Arial" w:eastAsia="Arial" w:hAnsi="Arial"/>
          <w:sz w:val="17"/>
          <w:szCs w:val="17"/>
          <w:b w:val="1"/>
          <w:bCs w:val="1"/>
          <w:u w:val="single" w:color="auto"/>
          <w:color w:val="auto"/>
        </w:rPr>
        <w:t>FINANCIAL INFORMATION</w:t>
      </w:r>
    </w:p>
    <w:p>
      <w:pPr>
        <w:spacing w:after="0" w:line="158"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5"/>
          <w:szCs w:val="15"/>
          <w:b w:val="1"/>
          <w:bCs w:val="1"/>
          <w:u w:val="single" w:color="auto"/>
          <w:color w:val="auto"/>
        </w:rPr>
        <w:t>Financial Statements</w:t>
      </w:r>
      <w:r>
        <w:rPr>
          <w:rFonts w:ascii="Arial" w:cs="Arial" w:eastAsia="Arial" w:hAnsi="Arial"/>
          <w:sz w:val="15"/>
          <w:szCs w:val="15"/>
          <w:color w:val="auto"/>
        </w:rPr>
        <w:t>.</w:t>
      </w:r>
    </w:p>
    <w:p>
      <w:pPr>
        <w:spacing w:after="0" w:line="158" w:lineRule="exact"/>
        <w:rPr>
          <w:sz w:val="20"/>
          <w:szCs w:val="20"/>
          <w:color w:val="auto"/>
        </w:rPr>
      </w:pPr>
    </w:p>
    <w:p>
      <w:pPr>
        <w:ind w:left="7240"/>
        <w:spacing w:after="0"/>
        <w:rPr>
          <w:sz w:val="20"/>
          <w:szCs w:val="20"/>
          <w:color w:val="auto"/>
        </w:rPr>
      </w:pPr>
      <w:r>
        <w:rPr>
          <w:rFonts w:ascii="Arial" w:cs="Arial" w:eastAsia="Arial" w:hAnsi="Arial"/>
          <w:sz w:val="16"/>
          <w:szCs w:val="16"/>
          <w:b w:val="1"/>
          <w:bCs w:val="1"/>
          <w:color w:val="auto"/>
        </w:rPr>
        <w:t>KINGSTONE COMPANIES, INC. AND SUBSIDIARIES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251065"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June 30,</w:t>
            </w:r>
          </w:p>
        </w:tc>
        <w:tc>
          <w:tcPr>
            <w:tcW w:w="120" w:type="dxa"/>
            <w:vAlign w:val="bottom"/>
          </w:tcPr>
          <w:p>
            <w:pPr>
              <w:spacing w:after="0"/>
              <w:rPr>
                <w:sz w:val="16"/>
                <w:szCs w:val="16"/>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2019</w:t>
            </w: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7"/>
                <w:szCs w:val="17"/>
                <w:color w:val="auto"/>
                <w:w w:val="90"/>
              </w:rPr>
              <w:t>(unaudited)</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800" w:type="dxa"/>
            <w:vAlign w:val="bottom"/>
          </w:tcPr>
          <w:p>
            <w:pPr>
              <w:ind w:left="20"/>
              <w:spacing w:after="0"/>
              <w:rPr>
                <w:sz w:val="20"/>
                <w:szCs w:val="20"/>
                <w:color w:val="auto"/>
              </w:rPr>
            </w:pPr>
            <w:r>
              <w:rPr>
                <w:rFonts w:ascii="Arial" w:cs="Arial" w:eastAsia="Arial" w:hAnsi="Arial"/>
                <w:sz w:val="17"/>
                <w:szCs w:val="17"/>
                <w:b w:val="1"/>
                <w:bCs w:val="1"/>
                <w:color w:val="auto"/>
              </w:rPr>
              <w:t>Asset</w:t>
            </w:r>
            <w:r>
              <w:rPr>
                <w:rFonts w:ascii="Arial" w:cs="Arial" w:eastAsia="Arial" w:hAnsi="Arial"/>
                <w:sz w:val="17"/>
                <w:szCs w:val="17"/>
                <w:color w:val="auto"/>
              </w:rPr>
              <w:t>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ind w:left="140"/>
              <w:spacing w:after="0"/>
              <w:rPr>
                <w:sz w:val="20"/>
                <w:szCs w:val="20"/>
                <w:color w:val="auto"/>
              </w:rPr>
            </w:pPr>
            <w:r>
              <w:rPr>
                <w:rFonts w:ascii="Arial" w:cs="Arial" w:eastAsia="Arial" w:hAnsi="Arial"/>
                <w:sz w:val="17"/>
                <w:szCs w:val="17"/>
                <w:color w:val="auto"/>
              </w:rPr>
              <w:t>Fixed-maturity securities, held-to-maturity, at amortized cost (fair value of</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$4,114,072 at June 30, 2019 and $4,426,416 at December 31, 2018)</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3,824,620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4,222,855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00" w:type="dxa"/>
            <w:vAlign w:val="bottom"/>
          </w:tcPr>
          <w:p>
            <w:pPr>
              <w:ind w:left="140"/>
              <w:spacing w:after="0"/>
              <w:rPr>
                <w:sz w:val="20"/>
                <w:szCs w:val="20"/>
                <w:color w:val="auto"/>
              </w:rPr>
            </w:pPr>
            <w:r>
              <w:rPr>
                <w:rFonts w:ascii="Arial" w:cs="Arial" w:eastAsia="Arial" w:hAnsi="Arial"/>
                <w:sz w:val="17"/>
                <w:szCs w:val="17"/>
                <w:color w:val="auto"/>
              </w:rPr>
              <w:t>Fixed-maturity securities, available-for-sale, at fair value (amortized cost of</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$160,085,628 at June 30, 2019 and $155,431,261 at December 31, 2018)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164,334,869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151,777,516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00" w:type="dxa"/>
            <w:vAlign w:val="bottom"/>
          </w:tcPr>
          <w:p>
            <w:pPr>
              <w:ind w:left="140"/>
              <w:spacing w:after="0"/>
              <w:rPr>
                <w:sz w:val="20"/>
                <w:szCs w:val="20"/>
                <w:color w:val="auto"/>
              </w:rPr>
            </w:pPr>
            <w:r>
              <w:rPr>
                <w:rFonts w:ascii="Arial" w:cs="Arial" w:eastAsia="Arial" w:hAnsi="Arial"/>
                <w:sz w:val="17"/>
                <w:szCs w:val="17"/>
                <w:color w:val="auto"/>
              </w:rPr>
              <w:t>Equity securities, at fair value (cost of $22,254,788 at June 30, 2019 and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$18,305,986 at December 31, 2018)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22,738,950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16,572,616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tcPr>
          <w:p>
            <w:pPr>
              <w:ind w:left="140"/>
              <w:spacing w:after="0"/>
              <w:rPr>
                <w:sz w:val="20"/>
                <w:szCs w:val="20"/>
                <w:color w:val="auto"/>
              </w:rPr>
            </w:pPr>
            <w:r>
              <w:rPr>
                <w:rFonts w:ascii="Arial" w:cs="Arial" w:eastAsia="Arial" w:hAnsi="Arial"/>
                <w:sz w:val="17"/>
                <w:szCs w:val="17"/>
                <w:color w:val="auto"/>
              </w:rPr>
              <w:t>Other investments</w:t>
            </w: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2,335,874</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1,855,225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Total investments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193,234,313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174,428,212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00" w:type="dxa"/>
            <w:vAlign w:val="bottom"/>
          </w:tcPr>
          <w:p>
            <w:pPr>
              <w:ind w:left="140"/>
              <w:spacing w:after="0"/>
              <w:rPr>
                <w:sz w:val="20"/>
                <w:szCs w:val="20"/>
                <w:color w:val="auto"/>
              </w:rPr>
            </w:pPr>
            <w:r>
              <w:rPr>
                <w:rFonts w:ascii="Arial" w:cs="Arial" w:eastAsia="Arial" w:hAnsi="Arial"/>
                <w:sz w:val="17"/>
                <w:szCs w:val="17"/>
                <w:color w:val="auto"/>
              </w:rPr>
              <w:t>Cash and cash equivalents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18,895,805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21,138,403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Premiums receivable,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14,958,200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13,961,599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00" w:type="dxa"/>
            <w:vAlign w:val="bottom"/>
          </w:tcPr>
          <w:p>
            <w:pPr>
              <w:ind w:left="140"/>
              <w:spacing w:after="0"/>
              <w:rPr>
                <w:sz w:val="20"/>
                <w:szCs w:val="20"/>
                <w:color w:val="auto"/>
              </w:rPr>
            </w:pPr>
            <w:r>
              <w:rPr>
                <w:rFonts w:ascii="Arial" w:cs="Arial" w:eastAsia="Arial" w:hAnsi="Arial"/>
                <w:sz w:val="17"/>
                <w:szCs w:val="17"/>
                <w:color w:val="auto"/>
              </w:rPr>
              <w:t>Reinsurance receivables,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28,643,360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26,367,115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Deferred policy acquisition costs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19,413,809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17,907,737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00" w:type="dxa"/>
            <w:vAlign w:val="bottom"/>
          </w:tcPr>
          <w:p>
            <w:pPr>
              <w:ind w:left="140"/>
              <w:spacing w:after="0"/>
              <w:rPr>
                <w:sz w:val="20"/>
                <w:szCs w:val="20"/>
                <w:color w:val="auto"/>
              </w:rPr>
            </w:pPr>
            <w:r>
              <w:rPr>
                <w:rFonts w:ascii="Arial" w:cs="Arial" w:eastAsia="Arial" w:hAnsi="Arial"/>
                <w:sz w:val="17"/>
                <w:szCs w:val="17"/>
                <w:color w:val="auto"/>
              </w:rPr>
              <w:t>Intangible assets,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500,000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670,000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Property and equipment,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7,350,068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6,056,929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00" w:type="dxa"/>
            <w:vAlign w:val="bottom"/>
          </w:tcPr>
          <w:p>
            <w:pPr>
              <w:ind w:left="140"/>
              <w:spacing w:after="0"/>
              <w:rPr>
                <w:sz w:val="20"/>
                <w:szCs w:val="20"/>
                <w:color w:val="auto"/>
              </w:rPr>
            </w:pPr>
            <w:r>
              <w:rPr>
                <w:rFonts w:ascii="Arial" w:cs="Arial" w:eastAsia="Arial" w:hAnsi="Arial"/>
                <w:sz w:val="17"/>
                <w:szCs w:val="17"/>
                <w:color w:val="auto"/>
              </w:rPr>
              <w:t>Deferred income taxes,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216,474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354,233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Other assets</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6,256,815</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5,867,850</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7"/>
                <w:szCs w:val="17"/>
                <w:b w:val="1"/>
                <w:bCs w:val="1"/>
                <w:color w:val="auto"/>
              </w:rPr>
              <w:t>Total assets</w:t>
            </w:r>
          </w:p>
        </w:tc>
        <w:tc>
          <w:tcPr>
            <w:tcW w:w="140" w:type="dxa"/>
            <w:vAlign w:val="bottom"/>
            <w:gridSpan w:val="2"/>
          </w:tcPr>
          <w:p>
            <w:pPr>
              <w:jc w:val="right"/>
              <w:ind w:right="40"/>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w w:val="99"/>
              </w:rPr>
              <w:t>289,468,844</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7"/>
                <w:szCs w:val="17"/>
                <w:color w:val="auto"/>
                <w:w w:val="99"/>
              </w:rPr>
              <w:t>266,752,078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restart"/>
          </w:tcPr>
          <w:p>
            <w:pPr>
              <w:spacing w:after="0"/>
              <w:rPr>
                <w:sz w:val="17"/>
                <w:szCs w:val="17"/>
                <w:color w:val="auto"/>
              </w:rPr>
            </w:pPr>
          </w:p>
        </w:tc>
        <w:tc>
          <w:tcPr>
            <w:tcW w:w="8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7"/>
                <w:szCs w:val="17"/>
                <w:b w:val="1"/>
                <w:bCs w:val="1"/>
                <w:color w:val="auto"/>
              </w:rPr>
              <w:t>Liabilitie</w:t>
            </w:r>
            <w:r>
              <w:rPr>
                <w:rFonts w:ascii="Arial" w:cs="Arial" w:eastAsia="Arial" w:hAnsi="Arial"/>
                <w:sz w:val="17"/>
                <w:szCs w:val="17"/>
                <w:color w:val="auto"/>
              </w:rPr>
              <w: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Loss and loss adjustment expense reserves</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69,675,120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56,197,106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00" w:type="dxa"/>
            <w:vAlign w:val="bottom"/>
          </w:tcPr>
          <w:p>
            <w:pPr>
              <w:ind w:left="140"/>
              <w:spacing w:after="0"/>
              <w:rPr>
                <w:sz w:val="20"/>
                <w:szCs w:val="20"/>
                <w:color w:val="auto"/>
              </w:rPr>
            </w:pPr>
            <w:r>
              <w:rPr>
                <w:rFonts w:ascii="Arial" w:cs="Arial" w:eastAsia="Arial" w:hAnsi="Arial"/>
                <w:sz w:val="17"/>
                <w:szCs w:val="17"/>
                <w:color w:val="auto"/>
              </w:rPr>
              <w:t>Unearned premiums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85,488,146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79,032,131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Advance premiums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3,468,225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2,107,629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00" w:type="dxa"/>
            <w:vAlign w:val="bottom"/>
          </w:tcPr>
          <w:p>
            <w:pPr>
              <w:ind w:left="140"/>
              <w:spacing w:after="0"/>
              <w:rPr>
                <w:sz w:val="20"/>
                <w:szCs w:val="20"/>
                <w:color w:val="auto"/>
              </w:rPr>
            </w:pPr>
            <w:r>
              <w:rPr>
                <w:rFonts w:ascii="Arial" w:cs="Arial" w:eastAsia="Arial" w:hAnsi="Arial"/>
                <w:sz w:val="17"/>
                <w:szCs w:val="17"/>
                <w:color w:val="auto"/>
              </w:rPr>
              <w:t>Reinsurance balances payable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2,806,903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1,933,376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Deferred ceding commission revenue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3,100,156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2,686,677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00" w:type="dxa"/>
            <w:vAlign w:val="bottom"/>
          </w:tcPr>
          <w:p>
            <w:pPr>
              <w:ind w:left="140"/>
              <w:spacing w:after="0"/>
              <w:rPr>
                <w:sz w:val="20"/>
                <w:szCs w:val="20"/>
                <w:color w:val="auto"/>
              </w:rPr>
            </w:pPr>
            <w:r>
              <w:rPr>
                <w:rFonts w:ascii="Arial" w:cs="Arial" w:eastAsia="Arial" w:hAnsi="Arial"/>
                <w:sz w:val="17"/>
                <w:szCs w:val="17"/>
                <w:color w:val="auto"/>
              </w:rPr>
              <w:t>Accounts payable, accrued expenses and other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7,877,191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6,819,231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Income taxes payable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tcPr>
          <w:p>
            <w:pPr>
              <w:ind w:left="140"/>
              <w:spacing w:after="0"/>
              <w:rPr>
                <w:sz w:val="20"/>
                <w:szCs w:val="20"/>
                <w:color w:val="auto"/>
              </w:rPr>
            </w:pPr>
            <w:r>
              <w:rPr>
                <w:rFonts w:ascii="Arial" w:cs="Arial" w:eastAsia="Arial" w:hAnsi="Arial"/>
                <w:sz w:val="17"/>
                <w:szCs w:val="17"/>
                <w:color w:val="auto"/>
              </w:rPr>
              <w:t>Long-term debt, net</w:t>
            </w: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29,383,341</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29,295,251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 liabilitie</w:t>
            </w:r>
            <w:r>
              <w:rPr>
                <w:rFonts w:ascii="Arial" w:cs="Arial" w:eastAsia="Arial" w:hAnsi="Arial"/>
                <w:sz w:val="17"/>
                <w:szCs w:val="17"/>
                <w:color w:val="auto"/>
              </w:rPr>
              <w:t>s</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201,799,082</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178,086,436</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Commitments and Contingencies (note 11)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Stockholders' Equity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00" w:type="dxa"/>
            <w:vAlign w:val="bottom"/>
          </w:tcPr>
          <w:p>
            <w:pPr>
              <w:ind w:left="140"/>
              <w:spacing w:after="0"/>
              <w:rPr>
                <w:sz w:val="20"/>
                <w:szCs w:val="20"/>
                <w:color w:val="auto"/>
              </w:rPr>
            </w:pPr>
            <w:r>
              <w:rPr>
                <w:rFonts w:ascii="Arial" w:cs="Arial" w:eastAsia="Arial" w:hAnsi="Arial"/>
                <w:sz w:val="17"/>
                <w:szCs w:val="17"/>
                <w:color w:val="auto"/>
              </w:rPr>
              <w:t>Preferred stock, $.01 par value; authorized 2,500,000 shares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Common stock, $.01 par value; authorized 20,000,000 shares; issued 11,802,087 shares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00" w:type="dxa"/>
            <w:vAlign w:val="bottom"/>
          </w:tcPr>
          <w:p>
            <w:pPr>
              <w:ind w:left="300"/>
              <w:spacing w:after="0"/>
              <w:rPr>
                <w:sz w:val="20"/>
                <w:szCs w:val="20"/>
                <w:color w:val="auto"/>
              </w:rPr>
            </w:pPr>
            <w:r>
              <w:rPr>
                <w:rFonts w:ascii="Arial" w:cs="Arial" w:eastAsia="Arial" w:hAnsi="Arial"/>
                <w:sz w:val="17"/>
                <w:szCs w:val="17"/>
                <w:color w:val="auto"/>
              </w:rPr>
              <w:t>at June 30, 2019 and 11,775,148 shares at December 31, 2018; outstanding</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10,774,648 shares at June 30, 2019 and 10,747,709 shares at December 31, 2018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118,020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117,751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00" w:type="dxa"/>
            <w:vAlign w:val="bottom"/>
          </w:tcPr>
          <w:p>
            <w:pPr>
              <w:ind w:left="140"/>
              <w:spacing w:after="0"/>
              <w:rPr>
                <w:sz w:val="20"/>
                <w:szCs w:val="20"/>
                <w:color w:val="auto"/>
              </w:rPr>
            </w:pPr>
            <w:r>
              <w:rPr>
                <w:rFonts w:ascii="Arial" w:cs="Arial" w:eastAsia="Arial" w:hAnsi="Arial"/>
                <w:sz w:val="17"/>
                <w:szCs w:val="17"/>
                <w:color w:val="auto"/>
              </w:rPr>
              <w:t>Capital in excess of par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68,373,590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67,763,940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Accumulated other comprehensive income (loss)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3,359,047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(2,884,313)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tcPr>
          <w:p>
            <w:pPr>
              <w:ind w:left="140"/>
              <w:spacing w:after="0"/>
              <w:rPr>
                <w:sz w:val="20"/>
                <w:szCs w:val="20"/>
                <w:color w:val="auto"/>
              </w:rPr>
            </w:pPr>
            <w:r>
              <w:rPr>
                <w:rFonts w:ascii="Arial" w:cs="Arial" w:eastAsia="Arial" w:hAnsi="Arial"/>
                <w:sz w:val="17"/>
                <w:szCs w:val="17"/>
                <w:color w:val="auto"/>
              </w:rPr>
              <w:t>Retained earnings</w:t>
            </w: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18,531,657</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26,380,816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90,382,314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91,378,194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00" w:type="dxa"/>
            <w:vAlign w:val="bottom"/>
          </w:tcPr>
          <w:p>
            <w:pPr>
              <w:ind w:left="140"/>
              <w:spacing w:after="0"/>
              <w:rPr>
                <w:sz w:val="20"/>
                <w:szCs w:val="20"/>
                <w:color w:val="auto"/>
              </w:rPr>
            </w:pPr>
            <w:r>
              <w:rPr>
                <w:rFonts w:ascii="Arial" w:cs="Arial" w:eastAsia="Arial" w:hAnsi="Arial"/>
                <w:sz w:val="17"/>
                <w:szCs w:val="17"/>
                <w:color w:val="auto"/>
              </w:rPr>
              <w:t>Treasury stock, at cost, 1,027,439 shares at June 30, 2019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and at December 31, 2018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(2,712,552)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(2,712,552)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7"/>
                <w:szCs w:val="17"/>
                <w:b w:val="1"/>
                <w:bCs w:val="1"/>
                <w:color w:val="auto"/>
              </w:rPr>
              <w:t>Total stockholders' equity</w:t>
            </w: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87,669,762</w:t>
            </w: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88,665,642</w:t>
            </w: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7"/>
                <w:szCs w:val="17"/>
                <w:b w:val="1"/>
                <w:bCs w:val="1"/>
                <w:color w:val="auto"/>
              </w:rPr>
              <w:t>Total liabilities and stockholders' equity</w:t>
            </w:r>
          </w:p>
        </w:tc>
        <w:tc>
          <w:tcPr>
            <w:tcW w:w="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289,468,844</w:t>
            </w:r>
          </w:p>
        </w:tc>
        <w:tc>
          <w:tcPr>
            <w:tcW w:w="2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266,752,078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4" w:name="page5"/>
    <w:bookmarkEnd w:id="4"/>
    <w:p>
      <w:pPr>
        <w:ind w:left="7240"/>
        <w:spacing w:after="0"/>
        <w:rPr>
          <w:sz w:val="20"/>
          <w:szCs w:val="20"/>
          <w:color w:val="auto"/>
        </w:rPr>
      </w:pPr>
      <w:r>
        <w:rPr>
          <w:rFonts w:ascii="Arial" w:cs="Arial" w:eastAsia="Arial" w:hAnsi="Arial"/>
          <w:sz w:val="16"/>
          <w:szCs w:val="16"/>
          <w:b w:val="1"/>
          <w:bCs w:val="1"/>
          <w:color w:val="auto"/>
        </w:rPr>
        <w:t>KINGSTONE COMPANIES, INC. AND SUBSIDIARIES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Statements of Operations and Comprehensive Income (Loss)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251065"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For the Three Months Ended</w:t>
            </w:r>
          </w:p>
        </w:tc>
        <w:tc>
          <w:tcPr>
            <w:tcW w:w="200" w:type="dxa"/>
            <w:vAlign w:val="bottom"/>
          </w:tcPr>
          <w:p>
            <w:pPr>
              <w:spacing w:after="0"/>
              <w:rPr>
                <w:sz w:val="16"/>
                <w:szCs w:val="16"/>
                <w:color w:val="auto"/>
              </w:rPr>
            </w:pPr>
          </w:p>
        </w:tc>
        <w:tc>
          <w:tcPr>
            <w:tcW w:w="23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86"/>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0"/>
        </w:trPr>
        <w:tc>
          <w:tcPr>
            <w:tcW w:w="5320" w:type="dxa"/>
            <w:vAlign w:val="bottom"/>
            <w:gridSpan w:val="2"/>
          </w:tcPr>
          <w:p>
            <w:pPr>
              <w:spacing w:after="0"/>
              <w:rPr>
                <w:sz w:val="20"/>
                <w:szCs w:val="20"/>
                <w:color w:val="auto"/>
              </w:rPr>
            </w:pPr>
            <w:r>
              <w:rPr>
                <w:rFonts w:ascii="Arial" w:cs="Arial" w:eastAsia="Arial" w:hAnsi="Arial"/>
                <w:sz w:val="17"/>
                <w:szCs w:val="17"/>
                <w:b w:val="1"/>
                <w:bCs w:val="1"/>
                <w:color w:val="auto"/>
              </w:rPr>
              <w:t>Revenue</w:t>
            </w:r>
            <w:r>
              <w:rPr>
                <w:rFonts w:ascii="Arial" w:cs="Arial" w:eastAsia="Arial" w:hAnsi="Arial"/>
                <w:sz w:val="17"/>
                <w:szCs w:val="17"/>
                <w:color w:val="auto"/>
              </w:rPr>
              <w:t>s</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premiums earned</w:t>
            </w:r>
          </w:p>
        </w:tc>
        <w:tc>
          <w:tcPr>
            <w:tcW w:w="960" w:type="dxa"/>
            <w:vAlign w:val="bottom"/>
            <w:gridSpan w:val="2"/>
            <w:shd w:val="clear" w:color="auto" w:fill="CCEEFF"/>
          </w:tcPr>
          <w:p>
            <w:pPr>
              <w:jc w:val="right"/>
              <w:ind w:right="46"/>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31,201,279</w:t>
            </w: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24,104,614</w:t>
            </w: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60,797,168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46,942,231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7"/>
                <w:szCs w:val="17"/>
                <w:color w:val="auto"/>
              </w:rPr>
              <w:t>Ceding commission revenue</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675,695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1,691,168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1,953,378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3,386,326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investment income</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1,719,769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1,556,866</w:t>
            </w: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3,343,481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2,940,855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7"/>
                <w:szCs w:val="17"/>
                <w:color w:val="auto"/>
              </w:rPr>
              <w:t>Net gains (losses) on investments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678,655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(106,733)</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2,714,018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(629,860)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Other income</w:t>
            </w:r>
          </w:p>
        </w:tc>
        <w:tc>
          <w:tcPr>
            <w:tcW w:w="7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329,972</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300,271</w:t>
            </w:r>
          </w:p>
        </w:tc>
        <w:tc>
          <w:tcPr>
            <w:tcW w:w="280" w:type="dxa"/>
            <w:vAlign w:val="bottom"/>
            <w:tcBorders>
              <w:bottom w:val="single" w:sz="8" w:color="CCEEFF"/>
              <w:right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695,873</w:t>
            </w: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608,504</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00" w:type="dxa"/>
            <w:vAlign w:val="bottom"/>
          </w:tcPr>
          <w:p>
            <w:pPr>
              <w:ind w:left="300"/>
              <w:spacing w:after="0"/>
              <w:rPr>
                <w:sz w:val="20"/>
                <w:szCs w:val="20"/>
                <w:color w:val="auto"/>
              </w:rPr>
            </w:pPr>
            <w:r>
              <w:rPr>
                <w:rFonts w:ascii="Arial" w:cs="Arial" w:eastAsia="Arial" w:hAnsi="Arial"/>
                <w:sz w:val="17"/>
                <w:szCs w:val="17"/>
                <w:color w:val="auto"/>
              </w:rPr>
              <w:t>Total revenues</w:t>
            </w:r>
          </w:p>
        </w:tc>
        <w:tc>
          <w:tcPr>
            <w:tcW w:w="7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34,605,370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27,546,186</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69,503,918</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53,248,056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7"/>
                <w:szCs w:val="17"/>
                <w:b w:val="1"/>
                <w:bCs w:val="1"/>
                <w:color w:val="auto"/>
              </w:rPr>
              <w:t>Expense</w:t>
            </w:r>
            <w:r>
              <w:rPr>
                <w:rFonts w:ascii="Arial" w:cs="Arial" w:eastAsia="Arial" w:hAnsi="Arial"/>
                <w:sz w:val="17"/>
                <w:szCs w:val="17"/>
                <w:color w:val="auto"/>
              </w:rPr>
              <w:t>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Loss and loss adjustment expenses</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17,672,308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11,176,085</w:t>
            </w: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46,806,532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28,442,415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7"/>
                <w:szCs w:val="17"/>
                <w:color w:val="auto"/>
              </w:rPr>
              <w:t>Commission expense</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7,299,173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6,017,189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14,152,589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11,817,137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underwriting expenses</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5,416,449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5,075,986</w:t>
            </w: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11,552,440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10,107,489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7"/>
                <w:szCs w:val="17"/>
                <w:color w:val="auto"/>
              </w:rPr>
              <w:t>Other operating expenses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1,097,468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843,816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2,068,640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1,090,674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Depreciation and amortization</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627,669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424,161</w:t>
            </w: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1,230,001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833,592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7"/>
                <w:szCs w:val="17"/>
                <w:color w:val="auto"/>
              </w:rPr>
              <w:t>Interest expense</w:t>
            </w:r>
          </w:p>
        </w:tc>
        <w:tc>
          <w:tcPr>
            <w:tcW w:w="7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456,545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451,962</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913,090</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908,507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Total expenses</w:t>
            </w:r>
          </w:p>
        </w:tc>
        <w:tc>
          <w:tcPr>
            <w:tcW w:w="7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32,569,612</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23,989,199</w:t>
            </w:r>
          </w:p>
        </w:tc>
        <w:tc>
          <w:tcPr>
            <w:tcW w:w="280" w:type="dxa"/>
            <w:vAlign w:val="bottom"/>
            <w:tcBorders>
              <w:bottom w:val="single" w:sz="8" w:color="CCEEFF"/>
              <w:right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76,723,292</w:t>
            </w: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53,199,814</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Income (loss) before taxes</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2,035,758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3,556,987</w:t>
            </w: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(7,219,374)</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48,242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7"/>
                <w:szCs w:val="17"/>
                <w:color w:val="auto"/>
              </w:rPr>
              <w:t>Income tax expense (benefit)</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396,378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799,690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(1,523,564)</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8,879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income (loss)</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1,639,380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2,757,297</w:t>
            </w: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(5,695,810)</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3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Other comprehensive income (loss), net of tax</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7"/>
                <w:szCs w:val="17"/>
                <w:color w:val="auto"/>
              </w:rPr>
              <w:t>Gross change in unrealized gains (losses)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on available-for-sale-securities</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3,679,475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(1,475,767)</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7,868,191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(4,349,246)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Reclassification adjustment for losses</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00" w:type="dxa"/>
            <w:vAlign w:val="bottom"/>
          </w:tcPr>
          <w:p>
            <w:pPr>
              <w:ind w:left="300"/>
              <w:spacing w:after="0"/>
              <w:rPr>
                <w:sz w:val="20"/>
                <w:szCs w:val="20"/>
                <w:color w:val="auto"/>
              </w:rPr>
            </w:pPr>
            <w:r>
              <w:rPr>
                <w:rFonts w:ascii="Arial" w:cs="Arial" w:eastAsia="Arial" w:hAnsi="Arial"/>
                <w:sz w:val="17"/>
                <w:szCs w:val="17"/>
                <w:color w:val="auto"/>
              </w:rPr>
              <w:t>included in net income</w:t>
            </w:r>
          </w:p>
        </w:tc>
        <w:tc>
          <w:tcPr>
            <w:tcW w:w="7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76,126</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34,795</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319,899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shd w:val="clear" w:color="auto" w:fill="CCEEFF"/>
          </w:tcPr>
          <w:p>
            <w:pPr>
              <w:ind w:left="460"/>
              <w:spacing w:after="0"/>
              <w:rPr>
                <w:sz w:val="20"/>
                <w:szCs w:val="20"/>
                <w:color w:val="auto"/>
              </w:rPr>
            </w:pPr>
            <w:r>
              <w:rPr>
                <w:rFonts w:ascii="Arial" w:cs="Arial" w:eastAsia="Arial" w:hAnsi="Arial"/>
                <w:sz w:val="17"/>
                <w:szCs w:val="17"/>
                <w:color w:val="auto"/>
              </w:rPr>
              <w:t>Net change in unrealized gains (losses)</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3,691,839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(1,399,641)</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7,902,986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(4,029,347)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7"/>
                <w:szCs w:val="17"/>
                <w:color w:val="auto"/>
              </w:rPr>
              <w:t>Income tax benefit (expense) related to items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of other comprehensive income (loss)</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(775,285)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293,723</w:t>
            </w: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(1,659,626)</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845,961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3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7"/>
                <w:szCs w:val="17"/>
                <w:b w:val="1"/>
                <w:bCs w:val="1"/>
                <w:color w:val="auto"/>
              </w:rPr>
              <w:t>Other comprehensive income (loss), net of tax</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2,916,554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(1,105,918)</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6,243,360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(3,183,386)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7"/>
                <w:szCs w:val="17"/>
                <w:b w:val="1"/>
                <w:bCs w:val="1"/>
                <w:color w:val="auto"/>
              </w:rPr>
              <w:t>Comprehensive income (loss)</w:t>
            </w:r>
          </w:p>
        </w:tc>
        <w:tc>
          <w:tcPr>
            <w:tcW w:w="960" w:type="dxa"/>
            <w:vAlign w:val="bottom"/>
            <w:gridSpan w:val="2"/>
          </w:tcPr>
          <w:p>
            <w:pPr>
              <w:jc w:val="right"/>
              <w:ind w:right="46"/>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4,555,934</w:t>
            </w:r>
          </w:p>
        </w:tc>
        <w:tc>
          <w:tcPr>
            <w:tcW w:w="16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1,651,379</w:t>
            </w:r>
          </w:p>
        </w:tc>
        <w:tc>
          <w:tcPr>
            <w:tcW w:w="280" w:type="dxa"/>
            <w:vAlign w:val="bottom"/>
          </w:tcPr>
          <w:p>
            <w:pPr>
              <w:spacing w:after="0"/>
              <w:rPr>
                <w:sz w:val="18"/>
                <w:szCs w:val="18"/>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547,550</w:t>
            </w:r>
          </w:p>
        </w:tc>
        <w:tc>
          <w:tcPr>
            <w:tcW w:w="260" w:type="dxa"/>
            <w:vAlign w:val="bottom"/>
          </w:tcPr>
          <w:p>
            <w:pPr>
              <w:spacing w:after="0"/>
              <w:rPr>
                <w:sz w:val="18"/>
                <w:szCs w:val="18"/>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(3,144,023)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restart"/>
          </w:tcPr>
          <w:p>
            <w:pPr>
              <w:spacing w:after="0"/>
              <w:rPr>
                <w:sz w:val="17"/>
                <w:szCs w:val="17"/>
                <w:color w:val="auto"/>
              </w:rPr>
            </w:pPr>
          </w:p>
        </w:tc>
        <w:tc>
          <w:tcPr>
            <w:tcW w:w="5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7"/>
                <w:szCs w:val="17"/>
                <w:b w:val="1"/>
                <w:bCs w:val="1"/>
                <w:color w:val="auto"/>
              </w:rPr>
              <w:t>Earnings (loss) per common share:</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Basic</w:t>
            </w: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0.15</w:t>
            </w:r>
          </w:p>
        </w:tc>
        <w:tc>
          <w:tcPr>
            <w:tcW w:w="16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0.26</w:t>
            </w:r>
          </w:p>
        </w:tc>
        <w:tc>
          <w:tcPr>
            <w:tcW w:w="28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(0.53)</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5300" w:type="dxa"/>
            <w:vAlign w:val="bottom"/>
          </w:tcPr>
          <w:p>
            <w:pPr>
              <w:ind w:left="140"/>
              <w:spacing w:after="0"/>
              <w:rPr>
                <w:sz w:val="20"/>
                <w:szCs w:val="20"/>
                <w:color w:val="auto"/>
              </w:rPr>
            </w:pPr>
            <w:r>
              <w:rPr>
                <w:rFonts w:ascii="Arial" w:cs="Arial" w:eastAsia="Arial" w:hAnsi="Arial"/>
                <w:sz w:val="17"/>
                <w:szCs w:val="17"/>
                <w:color w:val="auto"/>
              </w:rPr>
              <w:t>Diluted</w:t>
            </w:r>
          </w:p>
        </w:tc>
        <w:tc>
          <w:tcPr>
            <w:tcW w:w="760" w:type="dxa"/>
            <w:vAlign w:val="bottom"/>
          </w:tcPr>
          <w:p>
            <w:pPr>
              <w:spacing w:after="0"/>
              <w:rPr>
                <w:sz w:val="17"/>
                <w:szCs w:val="17"/>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0.15</w:t>
            </w:r>
          </w:p>
        </w:tc>
        <w:tc>
          <w:tcPr>
            <w:tcW w:w="160" w:type="dxa"/>
            <w:vAlign w:val="bottom"/>
          </w:tcPr>
          <w:p>
            <w:pPr>
              <w:spacing w:after="0"/>
              <w:rPr>
                <w:sz w:val="17"/>
                <w:szCs w:val="17"/>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0.25</w:t>
            </w:r>
          </w:p>
        </w:tc>
        <w:tc>
          <w:tcPr>
            <w:tcW w:w="280" w:type="dxa"/>
            <w:vAlign w:val="bottom"/>
          </w:tcPr>
          <w:p>
            <w:pPr>
              <w:spacing w:after="0"/>
              <w:rPr>
                <w:sz w:val="17"/>
                <w:szCs w:val="17"/>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(0.53)</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restart"/>
          </w:tcPr>
          <w:p>
            <w:pPr>
              <w:spacing w:after="0"/>
              <w:rPr>
                <w:sz w:val="17"/>
                <w:szCs w:val="17"/>
                <w:color w:val="auto"/>
              </w:rPr>
            </w:pPr>
          </w:p>
        </w:tc>
        <w:tc>
          <w:tcPr>
            <w:tcW w:w="5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7"/>
                <w:szCs w:val="17"/>
                <w:b w:val="1"/>
                <w:bCs w:val="1"/>
                <w:color w:val="auto"/>
              </w:rPr>
              <w:t>Weighted average common shares outstanding</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Basic</w:t>
            </w:r>
          </w:p>
        </w:tc>
        <w:tc>
          <w:tcPr>
            <w:tcW w:w="7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10,771,717</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10,664,806</w:t>
            </w:r>
          </w:p>
        </w:tc>
        <w:tc>
          <w:tcPr>
            <w:tcW w:w="280" w:type="dxa"/>
            <w:vAlign w:val="bottom"/>
            <w:tcBorders>
              <w:bottom w:val="single" w:sz="8" w:color="CCEEFF"/>
              <w:right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10,764,824</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10,667,385</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00" w:type="dxa"/>
            <w:vAlign w:val="bottom"/>
          </w:tcPr>
          <w:p>
            <w:pPr>
              <w:ind w:left="140"/>
              <w:spacing w:after="0"/>
              <w:rPr>
                <w:sz w:val="20"/>
                <w:szCs w:val="20"/>
                <w:color w:val="auto"/>
              </w:rPr>
            </w:pPr>
            <w:r>
              <w:rPr>
                <w:rFonts w:ascii="Arial" w:cs="Arial" w:eastAsia="Arial" w:hAnsi="Arial"/>
                <w:sz w:val="17"/>
                <w:szCs w:val="17"/>
                <w:color w:val="auto"/>
              </w:rPr>
              <w:t>Diluted</w:t>
            </w:r>
          </w:p>
        </w:tc>
        <w:tc>
          <w:tcPr>
            <w:tcW w:w="7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10,785,064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10,820,322</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10,764,824</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10,828,020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restart"/>
          </w:tcPr>
          <w:p>
            <w:pPr>
              <w:spacing w:after="0"/>
              <w:rPr>
                <w:sz w:val="17"/>
                <w:szCs w:val="17"/>
                <w:color w:val="auto"/>
              </w:rPr>
            </w:pPr>
          </w:p>
        </w:tc>
        <w:tc>
          <w:tcPr>
            <w:tcW w:w="5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7"/>
                <w:szCs w:val="17"/>
                <w:b w:val="1"/>
                <w:bCs w:val="1"/>
                <w:color w:val="auto"/>
              </w:rPr>
              <w:t>Dividends declared and paid per common share</w:t>
            </w:r>
          </w:p>
        </w:tc>
        <w:tc>
          <w:tcPr>
            <w:tcW w:w="960" w:type="dxa"/>
            <w:vAlign w:val="bottom"/>
            <w:gridSpan w:val="2"/>
          </w:tcPr>
          <w:p>
            <w:pPr>
              <w:jc w:val="right"/>
              <w:ind w:right="46"/>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0.1000</w:t>
            </w:r>
          </w:p>
        </w:tc>
        <w:tc>
          <w:tcPr>
            <w:tcW w:w="16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0.1000</w:t>
            </w:r>
          </w:p>
        </w:tc>
        <w:tc>
          <w:tcPr>
            <w:tcW w:w="280" w:type="dxa"/>
            <w:vAlign w:val="bottom"/>
          </w:tcPr>
          <w:p>
            <w:pPr>
              <w:spacing w:after="0"/>
              <w:rPr>
                <w:sz w:val="18"/>
                <w:szCs w:val="18"/>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0.2000</w:t>
            </w:r>
          </w:p>
        </w:tc>
        <w:tc>
          <w:tcPr>
            <w:tcW w:w="260" w:type="dxa"/>
            <w:vAlign w:val="bottom"/>
          </w:tcPr>
          <w:p>
            <w:pPr>
              <w:spacing w:after="0"/>
              <w:rPr>
                <w:sz w:val="18"/>
                <w:szCs w:val="18"/>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0.2000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7"/>
                <w:szCs w:val="17"/>
                <w:i w:val="1"/>
                <w:iCs w:val="1"/>
                <w:color w:val="auto"/>
                <w:w w:val="95"/>
              </w:rPr>
              <w:t>See accompanying notes to condensed consolidated financial statements.</w:t>
            </w:r>
          </w:p>
        </w:tc>
        <w:tc>
          <w:tcPr>
            <w:tcW w:w="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5320" w:type="dxa"/>
            <w:vAlign w:val="bottom"/>
            <w:gridSpan w:val="2"/>
            <w:vMerge w:val="continue"/>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1"/>
        </w:trPr>
        <w:tc>
          <w:tcPr>
            <w:tcW w:w="20" w:type="dxa"/>
            <w:vAlign w:val="bottom"/>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rPr>
              <w:t>2</w:t>
            </w: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99" w:right="239" w:bottom="1440" w:gutter="0" w:footer="0" w:header="0"/>
        </w:sectPr>
      </w:pPr>
    </w:p>
    <w:bookmarkStart w:id="5" w:name="page6"/>
    <w:bookmarkEnd w:id="5"/>
    <w:p>
      <w:pPr>
        <w:ind w:left="7240"/>
        <w:spacing w:after="0"/>
        <w:rPr>
          <w:sz w:val="20"/>
          <w:szCs w:val="20"/>
          <w:color w:val="auto"/>
        </w:rPr>
      </w:pPr>
      <w:r>
        <w:rPr>
          <w:rFonts w:ascii="Arial" w:cs="Arial" w:eastAsia="Arial" w:hAnsi="Arial"/>
          <w:sz w:val="16"/>
          <w:szCs w:val="16"/>
          <w:b w:val="1"/>
          <w:bCs w:val="1"/>
          <w:color w:val="auto"/>
        </w:rPr>
        <w:t>KINGSTONE COMPANIES, INC. AND SUBSIDIARIES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Statements of Stockholders'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251065"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Three months ended June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0"/>
        </w:trPr>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760" w:type="dxa"/>
            <w:vAlign w:val="bottom"/>
            <w:gridSpan w:val="5"/>
          </w:tcPr>
          <w:p>
            <w:pPr>
              <w:ind w:left="460"/>
              <w:spacing w:after="0"/>
              <w:rPr>
                <w:sz w:val="20"/>
                <w:szCs w:val="20"/>
                <w:color w:val="auto"/>
              </w:rPr>
            </w:pPr>
            <w:r>
              <w:rPr>
                <w:rFonts w:ascii="Arial" w:cs="Arial" w:eastAsia="Arial" w:hAnsi="Arial"/>
                <w:sz w:val="14"/>
                <w:szCs w:val="14"/>
                <w:b w:val="1"/>
                <w:bCs w:val="1"/>
                <w:color w:val="auto"/>
              </w:rPr>
              <w:t>Preferred Stock</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in Excess</w:t>
            </w:r>
          </w:p>
        </w:tc>
        <w:tc>
          <w:tcPr>
            <w:tcW w:w="80" w:type="dxa"/>
            <w:vAlign w:val="bottom"/>
          </w:tcPr>
          <w:p>
            <w:pPr>
              <w:spacing w:after="0"/>
              <w:rPr>
                <w:sz w:val="17"/>
                <w:szCs w:val="17"/>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3"/>
              </w:rPr>
              <w:t>Comprehensive</w:t>
            </w:r>
          </w:p>
        </w:tc>
        <w:tc>
          <w:tcPr>
            <w:tcW w:w="80" w:type="dxa"/>
            <w:vAlign w:val="bottom"/>
          </w:tcPr>
          <w:p>
            <w:pPr>
              <w:spacing w:after="0"/>
              <w:rPr>
                <w:sz w:val="17"/>
                <w:szCs w:val="17"/>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Retained</w:t>
            </w:r>
          </w:p>
        </w:tc>
        <w:tc>
          <w:tcPr>
            <w:tcW w:w="204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44"/>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80"/>
              <w:spacing w:after="0" w:line="144" w:lineRule="exact"/>
              <w:rPr>
                <w:sz w:val="20"/>
                <w:szCs w:val="20"/>
                <w:color w:val="auto"/>
              </w:rPr>
            </w:pPr>
            <w:r>
              <w:rPr>
                <w:rFonts w:ascii="Arial" w:cs="Arial" w:eastAsia="Arial" w:hAnsi="Arial"/>
                <w:sz w:val="14"/>
                <w:szCs w:val="14"/>
                <w:b w:val="1"/>
                <w:bCs w:val="1"/>
                <w:color w:val="auto"/>
                <w:w w:val="93"/>
              </w:rPr>
              <w:t>Income</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7"/>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w w:val="98"/>
              </w:rPr>
              <w:t>Shares</w:t>
            </w:r>
          </w:p>
        </w:tc>
        <w:tc>
          <w:tcPr>
            <w:tcW w:w="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 Par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(Loss)</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5"/>
                <w:szCs w:val="15"/>
                <w:color w:val="auto"/>
              </w:rPr>
            </w:pPr>
          </w:p>
        </w:tc>
        <w:tc>
          <w:tcPr>
            <w:tcW w:w="8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r>
      <w:tr>
        <w:trPr>
          <w:trHeight w:val="148"/>
        </w:trPr>
        <w:tc>
          <w:tcPr>
            <w:tcW w:w="20" w:type="dxa"/>
            <w:vAlign w:val="bottom"/>
          </w:tcPr>
          <w:p>
            <w:pPr>
              <w:spacing w:after="0"/>
              <w:rPr>
                <w:sz w:val="12"/>
                <w:szCs w:val="12"/>
                <w:color w:val="auto"/>
              </w:rPr>
            </w:pPr>
          </w:p>
        </w:tc>
        <w:tc>
          <w:tcPr>
            <w:tcW w:w="194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Balance, April 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4"/>
                <w:szCs w:val="14"/>
                <w:color w:val="auto"/>
              </w:rPr>
              <w:t>2018</w:t>
            </w:r>
          </w:p>
        </w:tc>
        <w:tc>
          <w:tcPr>
            <w:tcW w:w="70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11,679,334</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116,793</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68,163,744</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(1,391,063)</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23,780,755</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1,012,669</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(2,509,193)</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88,161,036</w:t>
            </w:r>
          </w:p>
        </w:tc>
      </w:tr>
      <w:tr>
        <w:trPr>
          <w:trHeight w:val="148"/>
        </w:trPr>
        <w:tc>
          <w:tcPr>
            <w:tcW w:w="20" w:type="dxa"/>
            <w:vAlign w:val="bottom"/>
          </w:tcPr>
          <w:p>
            <w:pPr>
              <w:spacing w:after="0"/>
              <w:rPr>
                <w:sz w:val="12"/>
                <w:szCs w:val="12"/>
                <w:color w:val="auto"/>
              </w:rPr>
            </w:pPr>
          </w:p>
        </w:tc>
        <w:tc>
          <w:tcPr>
            <w:tcW w:w="1940" w:type="dxa"/>
            <w:vAlign w:val="bottom"/>
            <w:gridSpan w:val="2"/>
          </w:tcPr>
          <w:p>
            <w:pPr>
              <w:spacing w:after="0" w:line="147" w:lineRule="exact"/>
              <w:rPr>
                <w:sz w:val="20"/>
                <w:szCs w:val="20"/>
                <w:color w:val="auto"/>
              </w:rPr>
            </w:pPr>
            <w:r>
              <w:rPr>
                <w:rFonts w:ascii="Arial" w:cs="Arial" w:eastAsia="Arial" w:hAnsi="Arial"/>
                <w:sz w:val="14"/>
                <w:szCs w:val="14"/>
                <w:color w:val="auto"/>
              </w:rPr>
              <w:t>Stock-based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6"/>
        </w:trPr>
        <w:tc>
          <w:tcPr>
            <w:tcW w:w="1960" w:type="dxa"/>
            <w:vAlign w:val="bottom"/>
            <w:gridSpan w:val="3"/>
          </w:tcPr>
          <w:p>
            <w:pPr>
              <w:spacing w:after="0"/>
              <w:rPr>
                <w:sz w:val="20"/>
                <w:szCs w:val="20"/>
                <w:color w:val="auto"/>
              </w:rPr>
            </w:pPr>
            <w:r>
              <w:rPr>
                <w:rFonts w:ascii="Arial" w:cs="Arial" w:eastAsia="Arial" w:hAnsi="Arial"/>
                <w:sz w:val="14"/>
                <w:szCs w:val="14"/>
                <w:color w:val="auto"/>
              </w:rPr>
              <w:t>compensation</w:t>
            </w:r>
          </w:p>
        </w:tc>
        <w:tc>
          <w:tcPr>
            <w:tcW w:w="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176,109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176,109</w:t>
            </w:r>
          </w:p>
        </w:tc>
      </w:tr>
      <w:tr>
        <w:trPr>
          <w:trHeight w:val="148"/>
        </w:trPr>
        <w:tc>
          <w:tcPr>
            <w:tcW w:w="20" w:type="dxa"/>
            <w:vAlign w:val="bottom"/>
          </w:tcPr>
          <w:p>
            <w:pPr>
              <w:spacing w:after="0"/>
              <w:rPr>
                <w:sz w:val="12"/>
                <w:szCs w:val="12"/>
                <w:color w:val="auto"/>
              </w:rPr>
            </w:pPr>
          </w:p>
        </w:tc>
        <w:tc>
          <w:tcPr>
            <w:tcW w:w="194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Vesting of</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57"/>
        </w:trPr>
        <w:tc>
          <w:tcPr>
            <w:tcW w:w="20" w:type="dxa"/>
            <w:vAlign w:val="bottom"/>
          </w:tcPr>
          <w:p>
            <w:pPr>
              <w:spacing w:after="0"/>
              <w:rPr>
                <w:sz w:val="13"/>
                <w:szCs w:val="13"/>
                <w:color w:val="auto"/>
              </w:rPr>
            </w:pPr>
          </w:p>
        </w:tc>
        <w:tc>
          <w:tcPr>
            <w:tcW w:w="194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restricted stock</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6"/>
        </w:trPr>
        <w:tc>
          <w:tcPr>
            <w:tcW w:w="20" w:type="dxa"/>
            <w:vAlign w:val="bottom"/>
          </w:tcPr>
          <w:p>
            <w:pPr>
              <w:spacing w:after="0"/>
              <w:rPr>
                <w:sz w:val="14"/>
                <w:szCs w:val="14"/>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awards</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3,706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48"/>
        </w:trPr>
        <w:tc>
          <w:tcPr>
            <w:tcW w:w="20" w:type="dxa"/>
            <w:vAlign w:val="bottom"/>
          </w:tcPr>
          <w:p>
            <w:pPr>
              <w:spacing w:after="0"/>
              <w:rPr>
                <w:sz w:val="12"/>
                <w:szCs w:val="12"/>
                <w:color w:val="auto"/>
              </w:rPr>
            </w:pPr>
          </w:p>
        </w:tc>
        <w:tc>
          <w:tcPr>
            <w:tcW w:w="1940" w:type="dxa"/>
            <w:vAlign w:val="bottom"/>
            <w:gridSpan w:val="2"/>
          </w:tcPr>
          <w:p>
            <w:pPr>
              <w:spacing w:after="0" w:line="147" w:lineRule="exact"/>
              <w:rPr>
                <w:sz w:val="20"/>
                <w:szCs w:val="20"/>
                <w:color w:val="auto"/>
              </w:rPr>
            </w:pPr>
            <w:r>
              <w:rPr>
                <w:rFonts w:ascii="Arial" w:cs="Arial" w:eastAsia="Arial" w:hAnsi="Arial"/>
                <w:sz w:val="14"/>
                <w:szCs w:val="14"/>
                <w:color w:val="auto"/>
              </w:rPr>
              <w:t>Shares deducted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7"/>
        </w:trPr>
        <w:tc>
          <w:tcPr>
            <w:tcW w:w="1960" w:type="dxa"/>
            <w:vAlign w:val="bottom"/>
            <w:gridSpan w:val="3"/>
          </w:tcPr>
          <w:p>
            <w:pPr>
              <w:spacing w:after="0" w:line="157" w:lineRule="exact"/>
              <w:rPr>
                <w:sz w:val="20"/>
                <w:szCs w:val="20"/>
                <w:color w:val="auto"/>
              </w:rPr>
            </w:pPr>
            <w:r>
              <w:rPr>
                <w:rFonts w:ascii="Arial" w:cs="Arial" w:eastAsia="Arial" w:hAnsi="Arial"/>
                <w:sz w:val="14"/>
                <w:szCs w:val="14"/>
                <w:color w:val="auto"/>
              </w:rPr>
              <w:t>from restricted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6"/>
        </w:trPr>
        <w:tc>
          <w:tcPr>
            <w:tcW w:w="1960" w:type="dxa"/>
            <w:vAlign w:val="bottom"/>
            <w:gridSpan w:val="3"/>
          </w:tcPr>
          <w:p>
            <w:pPr>
              <w:spacing w:after="0"/>
              <w:rPr>
                <w:sz w:val="20"/>
                <w:szCs w:val="20"/>
                <w:color w:val="auto"/>
              </w:rPr>
            </w:pPr>
            <w:r>
              <w:rPr>
                <w:rFonts w:ascii="Arial" w:cs="Arial" w:eastAsia="Arial" w:hAnsi="Arial"/>
                <w:sz w:val="14"/>
                <w:szCs w:val="14"/>
                <w:color w:val="auto"/>
              </w:rPr>
              <w:t>stock</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8"/>
        </w:trPr>
        <w:tc>
          <w:tcPr>
            <w:tcW w:w="20" w:type="dxa"/>
            <w:vAlign w:val="bottom"/>
          </w:tcPr>
          <w:p>
            <w:pPr>
              <w:spacing w:after="0"/>
              <w:rPr>
                <w:sz w:val="12"/>
                <w:szCs w:val="12"/>
                <w:color w:val="auto"/>
              </w:rPr>
            </w:pPr>
          </w:p>
        </w:tc>
        <w:tc>
          <w:tcPr>
            <w:tcW w:w="194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awards for payment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57"/>
        </w:trPr>
        <w:tc>
          <w:tcPr>
            <w:tcW w:w="20" w:type="dxa"/>
            <w:vAlign w:val="bottom"/>
          </w:tcPr>
          <w:p>
            <w:pPr>
              <w:spacing w:after="0"/>
              <w:rPr>
                <w:sz w:val="13"/>
                <w:szCs w:val="13"/>
                <w:color w:val="auto"/>
              </w:rPr>
            </w:pPr>
          </w:p>
        </w:tc>
        <w:tc>
          <w:tcPr>
            <w:tcW w:w="194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of withholding</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6"/>
        </w:trPr>
        <w:tc>
          <w:tcPr>
            <w:tcW w:w="20" w:type="dxa"/>
            <w:vAlign w:val="bottom"/>
          </w:tcPr>
          <w:p>
            <w:pPr>
              <w:spacing w:after="0"/>
              <w:rPr>
                <w:sz w:val="14"/>
                <w:szCs w:val="14"/>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taxes</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(536)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(9,304)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(9,309)</w:t>
            </w:r>
          </w:p>
        </w:tc>
      </w:tr>
      <w:tr>
        <w:trPr>
          <w:trHeight w:val="148"/>
        </w:trPr>
        <w:tc>
          <w:tcPr>
            <w:tcW w:w="20" w:type="dxa"/>
            <w:vAlign w:val="bottom"/>
          </w:tcPr>
          <w:p>
            <w:pPr>
              <w:spacing w:after="0"/>
              <w:rPr>
                <w:sz w:val="12"/>
                <w:szCs w:val="12"/>
                <w:color w:val="auto"/>
              </w:rPr>
            </w:pPr>
          </w:p>
        </w:tc>
        <w:tc>
          <w:tcPr>
            <w:tcW w:w="1940" w:type="dxa"/>
            <w:vAlign w:val="bottom"/>
            <w:gridSpan w:val="2"/>
          </w:tcPr>
          <w:p>
            <w:pPr>
              <w:spacing w:after="0" w:line="147" w:lineRule="exact"/>
              <w:rPr>
                <w:sz w:val="20"/>
                <w:szCs w:val="20"/>
                <w:color w:val="auto"/>
              </w:rPr>
            </w:pPr>
            <w:r>
              <w:rPr>
                <w:rFonts w:ascii="Arial" w:cs="Arial" w:eastAsia="Arial" w:hAnsi="Arial"/>
                <w:sz w:val="14"/>
                <w:szCs w:val="14"/>
                <w:color w:val="auto"/>
              </w:rPr>
              <w:t>Exercise of stock</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6"/>
        </w:trPr>
        <w:tc>
          <w:tcPr>
            <w:tcW w:w="1960" w:type="dxa"/>
            <w:vAlign w:val="bottom"/>
            <w:gridSpan w:val="3"/>
          </w:tcPr>
          <w:p>
            <w:pPr>
              <w:spacing w:after="0"/>
              <w:rPr>
                <w:sz w:val="20"/>
                <w:szCs w:val="20"/>
                <w:color w:val="auto"/>
              </w:rPr>
            </w:pPr>
            <w:r>
              <w:rPr>
                <w:rFonts w:ascii="Arial" w:cs="Arial" w:eastAsia="Arial" w:hAnsi="Arial"/>
                <w:sz w:val="14"/>
                <w:szCs w:val="14"/>
                <w:color w:val="auto"/>
              </w:rPr>
              <w:t>options</w:t>
            </w:r>
          </w:p>
        </w:tc>
        <w:tc>
          <w:tcPr>
            <w:tcW w:w="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3,400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34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17,272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17,306</w:t>
            </w:r>
          </w:p>
        </w:tc>
      </w:tr>
      <w:tr>
        <w:trPr>
          <w:trHeight w:val="148"/>
        </w:trPr>
        <w:tc>
          <w:tcPr>
            <w:tcW w:w="20" w:type="dxa"/>
            <w:vAlign w:val="bottom"/>
          </w:tcPr>
          <w:p>
            <w:pPr>
              <w:spacing w:after="0"/>
              <w:rPr>
                <w:sz w:val="12"/>
                <w:szCs w:val="12"/>
                <w:color w:val="auto"/>
              </w:rPr>
            </w:pPr>
          </w:p>
        </w:tc>
        <w:tc>
          <w:tcPr>
            <w:tcW w:w="194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Acquisition of</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treasury stock</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11,775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(203,329)</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(203,329)</w:t>
            </w:r>
          </w:p>
        </w:tc>
      </w:tr>
      <w:tr>
        <w:trPr>
          <w:trHeight w:val="157"/>
        </w:trPr>
        <w:tc>
          <w:tcPr>
            <w:tcW w:w="20" w:type="dxa"/>
            <w:vAlign w:val="bottom"/>
          </w:tcPr>
          <w:p>
            <w:pPr>
              <w:spacing w:after="0"/>
              <w:rPr>
                <w:sz w:val="13"/>
                <w:szCs w:val="13"/>
                <w:color w:val="auto"/>
              </w:rPr>
            </w:pPr>
          </w:p>
        </w:tc>
        <w:tc>
          <w:tcPr>
            <w:tcW w:w="1940" w:type="dxa"/>
            <w:vAlign w:val="bottom"/>
            <w:gridSpan w:val="2"/>
          </w:tcPr>
          <w:p>
            <w:pPr>
              <w:spacing w:after="0" w:line="157" w:lineRule="exact"/>
              <w:rPr>
                <w:sz w:val="20"/>
                <w:szCs w:val="20"/>
                <w:color w:val="auto"/>
              </w:rPr>
            </w:pPr>
            <w:r>
              <w:rPr>
                <w:rFonts w:ascii="Arial" w:cs="Arial" w:eastAsia="Arial" w:hAnsi="Arial"/>
                <w:sz w:val="14"/>
                <w:szCs w:val="14"/>
                <w:color w:val="auto"/>
              </w:rPr>
              <w:t>Dividends</w:t>
            </w:r>
          </w:p>
        </w:tc>
        <w:tc>
          <w:tcPr>
            <w:tcW w:w="22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(1,066,384)</w:t>
            </w:r>
          </w:p>
        </w:tc>
        <w:tc>
          <w:tcPr>
            <w:tcW w:w="92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(1,066,384)</w:t>
            </w:r>
          </w:p>
        </w:tc>
      </w:tr>
      <w:tr>
        <w:trPr>
          <w:trHeight w:val="157"/>
        </w:trPr>
        <w:tc>
          <w:tcPr>
            <w:tcW w:w="20" w:type="dxa"/>
            <w:vAlign w:val="bottom"/>
          </w:tcPr>
          <w:p>
            <w:pPr>
              <w:spacing w:after="0"/>
              <w:rPr>
                <w:sz w:val="13"/>
                <w:szCs w:val="13"/>
                <w:color w:val="auto"/>
              </w:rPr>
            </w:pPr>
          </w:p>
        </w:tc>
        <w:tc>
          <w:tcPr>
            <w:tcW w:w="194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Net income</w:t>
            </w:r>
          </w:p>
        </w:tc>
        <w:tc>
          <w:tcPr>
            <w:tcW w:w="22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2,757,297</w:t>
            </w:r>
          </w:p>
        </w:tc>
        <w:tc>
          <w:tcPr>
            <w:tcW w:w="92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tcBorders>
              <w:right w:val="single" w:sz="8" w:color="CCEEFF"/>
            </w:tcBorders>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2,757,297</w:t>
            </w:r>
          </w:p>
        </w:tc>
      </w:tr>
      <w:tr>
        <w:trPr>
          <w:trHeight w:val="148"/>
        </w:trPr>
        <w:tc>
          <w:tcPr>
            <w:tcW w:w="20" w:type="dxa"/>
            <w:vAlign w:val="bottom"/>
          </w:tcPr>
          <w:p>
            <w:pPr>
              <w:spacing w:after="0"/>
              <w:rPr>
                <w:sz w:val="12"/>
                <w:szCs w:val="12"/>
                <w:color w:val="auto"/>
              </w:rPr>
            </w:pPr>
          </w:p>
        </w:tc>
        <w:tc>
          <w:tcPr>
            <w:tcW w:w="1940" w:type="dxa"/>
            <w:vAlign w:val="bottom"/>
            <w:gridSpan w:val="2"/>
          </w:tcPr>
          <w:p>
            <w:pPr>
              <w:spacing w:after="0" w:line="147" w:lineRule="exact"/>
              <w:rPr>
                <w:sz w:val="20"/>
                <w:szCs w:val="20"/>
                <w:color w:val="auto"/>
              </w:rPr>
            </w:pPr>
            <w:r>
              <w:rPr>
                <w:rFonts w:ascii="Arial" w:cs="Arial" w:eastAsia="Arial" w:hAnsi="Arial"/>
                <w:sz w:val="14"/>
                <w:szCs w:val="14"/>
                <w:color w:val="auto"/>
              </w:rPr>
              <w:t>Change in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7"/>
        </w:trPr>
        <w:tc>
          <w:tcPr>
            <w:tcW w:w="1960" w:type="dxa"/>
            <w:vAlign w:val="bottom"/>
            <w:gridSpan w:val="3"/>
          </w:tcPr>
          <w:p>
            <w:pPr>
              <w:spacing w:after="0" w:line="157" w:lineRule="exact"/>
              <w:rPr>
                <w:sz w:val="20"/>
                <w:szCs w:val="20"/>
                <w:color w:val="auto"/>
              </w:rPr>
            </w:pPr>
            <w:r>
              <w:rPr>
                <w:rFonts w:ascii="Arial" w:cs="Arial" w:eastAsia="Arial" w:hAnsi="Arial"/>
                <w:sz w:val="14"/>
                <w:szCs w:val="14"/>
                <w:color w:val="auto"/>
              </w:rPr>
              <w:t>unrealized losses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6"/>
        </w:trPr>
        <w:tc>
          <w:tcPr>
            <w:tcW w:w="1960" w:type="dxa"/>
            <w:vAlign w:val="bottom"/>
            <w:gridSpan w:val="3"/>
          </w:tcPr>
          <w:p>
            <w:pPr>
              <w:spacing w:after="0"/>
              <w:rPr>
                <w:sz w:val="20"/>
                <w:szCs w:val="20"/>
                <w:color w:val="auto"/>
              </w:rPr>
            </w:pPr>
            <w:r>
              <w:rPr>
                <w:rFonts w:ascii="Arial" w:cs="Arial" w:eastAsia="Arial" w:hAnsi="Arial"/>
                <w:sz w:val="14"/>
                <w:szCs w:val="14"/>
                <w:color w:val="auto"/>
              </w:rPr>
              <w:t>on available-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8"/>
        </w:trPr>
        <w:tc>
          <w:tcPr>
            <w:tcW w:w="20" w:type="dxa"/>
            <w:vAlign w:val="bottom"/>
          </w:tcPr>
          <w:p>
            <w:pPr>
              <w:spacing w:after="0"/>
              <w:rPr>
                <w:sz w:val="12"/>
                <w:szCs w:val="12"/>
                <w:color w:val="auto"/>
              </w:rPr>
            </w:pPr>
          </w:p>
        </w:tc>
        <w:tc>
          <w:tcPr>
            <w:tcW w:w="194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for-sale securities,</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73"/>
        </w:trPr>
        <w:tc>
          <w:tcPr>
            <w:tcW w:w="20" w:type="dxa"/>
            <w:vAlign w:val="bottom"/>
          </w:tcPr>
          <w:p>
            <w:pPr>
              <w:spacing w:after="0"/>
              <w:rPr>
                <w:sz w:val="15"/>
                <w:szCs w:val="15"/>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4"/>
                <w:szCs w:val="14"/>
                <w:color w:val="auto"/>
              </w:rPr>
              <w:t>net of tax</w:t>
            </w:r>
          </w:p>
        </w:tc>
        <w:tc>
          <w:tcPr>
            <w:tcW w:w="70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(1,105,918)</w:t>
            </w: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(1,105,918)</w:t>
            </w:r>
          </w:p>
        </w:tc>
      </w:tr>
      <w:tr>
        <w:trPr>
          <w:trHeight w:val="148"/>
        </w:trPr>
        <w:tc>
          <w:tcPr>
            <w:tcW w:w="20" w:type="dxa"/>
            <w:vAlign w:val="bottom"/>
          </w:tcPr>
          <w:p>
            <w:pPr>
              <w:spacing w:after="0"/>
              <w:rPr>
                <w:sz w:val="12"/>
                <w:szCs w:val="12"/>
                <w:color w:val="auto"/>
              </w:rPr>
            </w:pPr>
          </w:p>
        </w:tc>
        <w:tc>
          <w:tcPr>
            <w:tcW w:w="1240" w:type="dxa"/>
            <w:vAlign w:val="bottom"/>
            <w:tcBorders>
              <w:top w:val="single" w:sz="8" w:color="CCEEFF"/>
            </w:tcBorders>
          </w:tcPr>
          <w:p>
            <w:pPr>
              <w:spacing w:after="0" w:line="147" w:lineRule="exact"/>
              <w:rPr>
                <w:sz w:val="20"/>
                <w:szCs w:val="20"/>
                <w:color w:val="auto"/>
              </w:rPr>
            </w:pPr>
            <w:r>
              <w:rPr>
                <w:rFonts w:ascii="Arial" w:cs="Arial" w:eastAsia="Arial" w:hAnsi="Arial"/>
                <w:sz w:val="14"/>
                <w:szCs w:val="14"/>
                <w:color w:val="auto"/>
              </w:rPr>
              <w:t>Balance, June 30,</w:t>
            </w:r>
          </w:p>
        </w:tc>
        <w:tc>
          <w:tcPr>
            <w:tcW w:w="7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r>
      <w:tr>
        <w:trPr>
          <w:trHeight w:val="166"/>
        </w:trPr>
        <w:tc>
          <w:tcPr>
            <w:tcW w:w="1260" w:type="dxa"/>
            <w:vAlign w:val="bottom"/>
            <w:gridSpan w:val="2"/>
          </w:tcPr>
          <w:p>
            <w:pPr>
              <w:spacing w:after="0"/>
              <w:rPr>
                <w:sz w:val="20"/>
                <w:szCs w:val="20"/>
                <w:color w:val="auto"/>
              </w:rPr>
            </w:pPr>
            <w:r>
              <w:rPr>
                <w:rFonts w:ascii="Arial" w:cs="Arial" w:eastAsia="Arial" w:hAnsi="Arial"/>
                <w:sz w:val="14"/>
                <w:szCs w:val="14"/>
                <w:color w:val="auto"/>
              </w:rPr>
              <w:t>2018</w:t>
            </w:r>
          </w:p>
        </w:tc>
        <w:tc>
          <w:tcPr>
            <w:tcW w:w="700" w:type="dxa"/>
            <w:vAlign w:val="bottom"/>
          </w:tcPr>
          <w:p>
            <w:pPr>
              <w:spacing w:after="0"/>
              <w:rPr>
                <w:sz w:val="14"/>
                <w:szCs w:val="14"/>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11,685,904</w:t>
            </w:r>
          </w:p>
        </w:tc>
        <w:tc>
          <w:tcPr>
            <w:tcW w:w="20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116,859</w:t>
            </w: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68,347,784</w:t>
            </w:r>
          </w:p>
        </w:tc>
        <w:tc>
          <w:tcPr>
            <w:tcW w:w="20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(2,496,981)</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25,471,668</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1,024,444</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(2,712,522)</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88,726,808</w:t>
            </w: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7"/>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0"/>
        </w:trPr>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760" w:type="dxa"/>
            <w:vAlign w:val="bottom"/>
            <w:gridSpan w:val="5"/>
          </w:tcPr>
          <w:p>
            <w:pPr>
              <w:ind w:left="460"/>
              <w:spacing w:after="0"/>
              <w:rPr>
                <w:sz w:val="20"/>
                <w:szCs w:val="20"/>
                <w:color w:val="auto"/>
              </w:rPr>
            </w:pPr>
            <w:r>
              <w:rPr>
                <w:rFonts w:ascii="Arial" w:cs="Arial" w:eastAsia="Arial" w:hAnsi="Arial"/>
                <w:sz w:val="14"/>
                <w:szCs w:val="14"/>
                <w:b w:val="1"/>
                <w:bCs w:val="1"/>
                <w:color w:val="auto"/>
              </w:rPr>
              <w:t>Preferred Stock</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in Excess</w:t>
            </w:r>
          </w:p>
        </w:tc>
        <w:tc>
          <w:tcPr>
            <w:tcW w:w="80" w:type="dxa"/>
            <w:vAlign w:val="bottom"/>
          </w:tcPr>
          <w:p>
            <w:pPr>
              <w:spacing w:after="0"/>
              <w:rPr>
                <w:sz w:val="17"/>
                <w:szCs w:val="17"/>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3"/>
              </w:rPr>
              <w:t>Comprehensive</w:t>
            </w:r>
          </w:p>
        </w:tc>
        <w:tc>
          <w:tcPr>
            <w:tcW w:w="80" w:type="dxa"/>
            <w:vAlign w:val="bottom"/>
          </w:tcPr>
          <w:p>
            <w:pPr>
              <w:spacing w:after="0"/>
              <w:rPr>
                <w:sz w:val="17"/>
                <w:szCs w:val="17"/>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Retained</w:t>
            </w:r>
          </w:p>
        </w:tc>
        <w:tc>
          <w:tcPr>
            <w:tcW w:w="204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44"/>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80"/>
              <w:spacing w:after="0" w:line="144" w:lineRule="exact"/>
              <w:rPr>
                <w:sz w:val="20"/>
                <w:szCs w:val="20"/>
                <w:color w:val="auto"/>
              </w:rPr>
            </w:pPr>
            <w:r>
              <w:rPr>
                <w:rFonts w:ascii="Arial" w:cs="Arial" w:eastAsia="Arial" w:hAnsi="Arial"/>
                <w:sz w:val="14"/>
                <w:szCs w:val="14"/>
                <w:b w:val="1"/>
                <w:bCs w:val="1"/>
                <w:color w:val="auto"/>
                <w:w w:val="93"/>
              </w:rPr>
              <w:t>Income</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7"/>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w w:val="98"/>
              </w:rPr>
              <w:t>Shares</w:t>
            </w:r>
          </w:p>
        </w:tc>
        <w:tc>
          <w:tcPr>
            <w:tcW w:w="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 Par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(Loss)</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5"/>
                <w:szCs w:val="15"/>
                <w:color w:val="auto"/>
              </w:rPr>
            </w:pPr>
          </w:p>
        </w:tc>
        <w:tc>
          <w:tcPr>
            <w:tcW w:w="8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r>
      <w:tr>
        <w:trPr>
          <w:trHeight w:val="201"/>
        </w:trPr>
        <w:tc>
          <w:tcPr>
            <w:tcW w:w="20" w:type="dxa"/>
            <w:vAlign w:val="bottom"/>
          </w:tcPr>
          <w:p>
            <w:pPr>
              <w:spacing w:after="0"/>
              <w:rPr>
                <w:sz w:val="17"/>
                <w:szCs w:val="17"/>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April</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7"/>
                <w:szCs w:val="17"/>
                <w:color w:val="auto"/>
              </w:rPr>
              <w:t>1, 2019</w:t>
            </w:r>
          </w:p>
        </w:tc>
        <w:tc>
          <w:tcPr>
            <w:tcW w:w="7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6"/>
              </w:rPr>
              <w:t>11,796,188</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117,962</w:t>
            </w:r>
          </w:p>
        </w:tc>
        <w:tc>
          <w:tcPr>
            <w:tcW w:w="102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w w:val="93"/>
              </w:rPr>
              <w:t>$67,957,604</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442,493</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w w:val="84"/>
              </w:rPr>
              <w:t>$17,969,664</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1,027,439</w:t>
            </w:r>
          </w:p>
        </w:tc>
        <w:tc>
          <w:tcPr>
            <w:tcW w:w="1120" w:type="dxa"/>
            <w:vAlign w:val="bottom"/>
            <w:tcBorders>
              <w:right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7"/>
                <w:szCs w:val="17"/>
                <w:color w:val="auto"/>
                <w:w w:val="99"/>
              </w:rPr>
              <w:t>$(2,712,552)</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w w:val="84"/>
              </w:rPr>
              <w:t>$83,775,171</w:t>
            </w:r>
          </w:p>
        </w:tc>
      </w:tr>
      <w:tr>
        <w:trPr>
          <w:trHeight w:val="201"/>
        </w:trPr>
        <w:tc>
          <w:tcPr>
            <w:tcW w:w="20" w:type="dxa"/>
            <w:vAlign w:val="bottom"/>
          </w:tcPr>
          <w:p>
            <w:pPr>
              <w:spacing w:after="0"/>
              <w:rPr>
                <w:sz w:val="17"/>
                <w:szCs w:val="17"/>
                <w:color w:val="auto"/>
              </w:rPr>
            </w:pPr>
          </w:p>
        </w:tc>
        <w:tc>
          <w:tcPr>
            <w:tcW w:w="1940" w:type="dxa"/>
            <w:vAlign w:val="bottom"/>
            <w:gridSpan w:val="2"/>
          </w:tcPr>
          <w:p>
            <w:pPr>
              <w:spacing w:after="0"/>
              <w:rPr>
                <w:sz w:val="20"/>
                <w:szCs w:val="20"/>
                <w:color w:val="auto"/>
              </w:rPr>
            </w:pPr>
            <w:r>
              <w:rPr>
                <w:rFonts w:ascii="Arial" w:cs="Arial" w:eastAsia="Arial" w:hAnsi="Arial"/>
                <w:sz w:val="17"/>
                <w:szCs w:val="17"/>
                <w:color w:val="auto"/>
              </w:rPr>
              <w:t>Stock-based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960" w:type="dxa"/>
            <w:vAlign w:val="bottom"/>
            <w:gridSpan w:val="3"/>
          </w:tcPr>
          <w:p>
            <w:pPr>
              <w:spacing w:after="0"/>
              <w:rPr>
                <w:sz w:val="20"/>
                <w:szCs w:val="20"/>
                <w:color w:val="auto"/>
              </w:rPr>
            </w:pPr>
            <w:r>
              <w:rPr>
                <w:rFonts w:ascii="Arial" w:cs="Arial" w:eastAsia="Arial" w:hAnsi="Arial"/>
                <w:sz w:val="17"/>
                <w:szCs w:val="17"/>
                <w:color w:val="auto"/>
              </w:rPr>
              <w:t>compensation</w:t>
            </w:r>
          </w:p>
        </w:tc>
        <w:tc>
          <w:tcPr>
            <w:tcW w:w="2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399,325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399,325</w:t>
            </w:r>
          </w:p>
        </w:tc>
      </w:tr>
      <w:tr>
        <w:trPr>
          <w:trHeight w:val="203"/>
        </w:trPr>
        <w:tc>
          <w:tcPr>
            <w:tcW w:w="20" w:type="dxa"/>
            <w:vAlign w:val="bottom"/>
          </w:tcPr>
          <w:p>
            <w:pPr>
              <w:spacing w:after="0"/>
              <w:rPr>
                <w:sz w:val="17"/>
                <w:szCs w:val="17"/>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Vesting of</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restricted stock</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awards</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3,553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20" w:type="dxa"/>
            <w:vAlign w:val="bottom"/>
          </w:tcPr>
          <w:p>
            <w:pPr>
              <w:spacing w:after="0"/>
              <w:rPr>
                <w:sz w:val="17"/>
                <w:szCs w:val="17"/>
                <w:color w:val="auto"/>
              </w:rPr>
            </w:pPr>
          </w:p>
        </w:tc>
        <w:tc>
          <w:tcPr>
            <w:tcW w:w="1940" w:type="dxa"/>
            <w:vAlign w:val="bottom"/>
            <w:gridSpan w:val="2"/>
          </w:tcPr>
          <w:p>
            <w:pPr>
              <w:spacing w:after="0"/>
              <w:rPr>
                <w:sz w:val="20"/>
                <w:szCs w:val="20"/>
                <w:color w:val="auto"/>
              </w:rPr>
            </w:pPr>
            <w:r>
              <w:rPr>
                <w:rFonts w:ascii="Arial" w:cs="Arial" w:eastAsia="Arial" w:hAnsi="Arial"/>
                <w:sz w:val="17"/>
                <w:szCs w:val="17"/>
                <w:color w:val="auto"/>
              </w:rPr>
              <w:t>Shares deducted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1960" w:type="dxa"/>
            <w:vAlign w:val="bottom"/>
            <w:gridSpan w:val="3"/>
          </w:tcPr>
          <w:p>
            <w:pPr>
              <w:spacing w:after="0"/>
              <w:rPr>
                <w:sz w:val="20"/>
                <w:szCs w:val="20"/>
                <w:color w:val="auto"/>
              </w:rPr>
            </w:pPr>
            <w:r>
              <w:rPr>
                <w:rFonts w:ascii="Arial" w:cs="Arial" w:eastAsia="Arial" w:hAnsi="Arial"/>
                <w:sz w:val="17"/>
                <w:szCs w:val="17"/>
                <w:color w:val="auto"/>
              </w:rPr>
              <w:t>from restricted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60" w:type="dxa"/>
            <w:vAlign w:val="bottom"/>
            <w:gridSpan w:val="3"/>
          </w:tcPr>
          <w:p>
            <w:pPr>
              <w:spacing w:after="0"/>
              <w:rPr>
                <w:sz w:val="20"/>
                <w:szCs w:val="20"/>
                <w:color w:val="auto"/>
              </w:rPr>
            </w:pPr>
            <w:r>
              <w:rPr>
                <w:rFonts w:ascii="Arial" w:cs="Arial" w:eastAsia="Arial" w:hAnsi="Arial"/>
                <w:sz w:val="17"/>
                <w:szCs w:val="17"/>
                <w:color w:val="auto"/>
              </w:rPr>
              <w:t>stock</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awards for</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payment of</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withholding</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taxes</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(654)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(6,825)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(6,831)</w:t>
            </w:r>
          </w:p>
        </w:tc>
      </w:tr>
      <w:tr>
        <w:trPr>
          <w:trHeight w:val="201"/>
        </w:trPr>
        <w:tc>
          <w:tcPr>
            <w:tcW w:w="20" w:type="dxa"/>
            <w:vAlign w:val="bottom"/>
          </w:tcPr>
          <w:p>
            <w:pPr>
              <w:spacing w:after="0"/>
              <w:rPr>
                <w:sz w:val="17"/>
                <w:szCs w:val="17"/>
                <w:color w:val="auto"/>
              </w:rPr>
            </w:pPr>
          </w:p>
        </w:tc>
        <w:tc>
          <w:tcPr>
            <w:tcW w:w="1940" w:type="dxa"/>
            <w:vAlign w:val="bottom"/>
            <w:gridSpan w:val="2"/>
          </w:tcPr>
          <w:p>
            <w:pPr>
              <w:spacing w:after="0"/>
              <w:rPr>
                <w:sz w:val="20"/>
                <w:szCs w:val="20"/>
                <w:color w:val="auto"/>
              </w:rPr>
            </w:pPr>
            <w:r>
              <w:rPr>
                <w:rFonts w:ascii="Arial" w:cs="Arial" w:eastAsia="Arial" w:hAnsi="Arial"/>
                <w:sz w:val="17"/>
                <w:szCs w:val="17"/>
                <w:color w:val="auto"/>
              </w:rPr>
              <w:t>Exercise of</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960" w:type="dxa"/>
            <w:vAlign w:val="bottom"/>
            <w:gridSpan w:val="3"/>
          </w:tcPr>
          <w:p>
            <w:pPr>
              <w:spacing w:after="0"/>
              <w:rPr>
                <w:sz w:val="20"/>
                <w:szCs w:val="20"/>
                <w:color w:val="auto"/>
              </w:rPr>
            </w:pPr>
            <w:r>
              <w:rPr>
                <w:rFonts w:ascii="Arial" w:cs="Arial" w:eastAsia="Arial" w:hAnsi="Arial"/>
                <w:sz w:val="17"/>
                <w:szCs w:val="17"/>
                <w:color w:val="auto"/>
              </w:rPr>
              <w:t>stock options</w:t>
            </w:r>
          </w:p>
        </w:tc>
        <w:tc>
          <w:tcPr>
            <w:tcW w:w="2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3,000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23,250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23,280</w:t>
            </w:r>
          </w:p>
        </w:tc>
      </w:tr>
      <w:tr>
        <w:trPr>
          <w:trHeight w:val="212"/>
        </w:trPr>
        <w:tc>
          <w:tcPr>
            <w:tcW w:w="20" w:type="dxa"/>
            <w:vAlign w:val="bottom"/>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Dividends</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9"/>
              </w:rPr>
              <w:t>(1,077,387)</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9"/>
              </w:rPr>
              <w:t>(1,077,387)</w:t>
            </w:r>
          </w:p>
        </w:tc>
      </w:tr>
      <w:tr>
        <w:trPr>
          <w:trHeight w:val="209"/>
        </w:trPr>
        <w:tc>
          <w:tcPr>
            <w:tcW w:w="2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7"/>
                <w:szCs w:val="17"/>
                <w:color w:val="auto"/>
              </w:rPr>
              <w:t>Net income</w:t>
            </w:r>
          </w:p>
        </w:tc>
        <w:tc>
          <w:tcPr>
            <w:tcW w:w="2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w w:val="95"/>
              </w:rPr>
              <w:t>1,639,380</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w w:val="95"/>
              </w:rPr>
              <w:t>1,639,380</w:t>
            </w:r>
          </w:p>
        </w:tc>
      </w:tr>
      <w:tr>
        <w:trPr>
          <w:trHeight w:val="201"/>
        </w:trPr>
        <w:tc>
          <w:tcPr>
            <w:tcW w:w="20" w:type="dxa"/>
            <w:vAlign w:val="bottom"/>
          </w:tcPr>
          <w:p>
            <w:pPr>
              <w:spacing w:after="0"/>
              <w:rPr>
                <w:sz w:val="17"/>
                <w:szCs w:val="17"/>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Change in</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unrealized gains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on available-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1940" w:type="dxa"/>
            <w:vAlign w:val="bottom"/>
            <w:gridSpan w:val="2"/>
          </w:tcPr>
          <w:p>
            <w:pPr>
              <w:spacing w:after="0"/>
              <w:rPr>
                <w:sz w:val="20"/>
                <w:szCs w:val="20"/>
                <w:color w:val="auto"/>
              </w:rPr>
            </w:pPr>
            <w:r>
              <w:rPr>
                <w:rFonts w:ascii="Arial" w:cs="Arial" w:eastAsia="Arial" w:hAnsi="Arial"/>
                <w:sz w:val="17"/>
                <w:szCs w:val="17"/>
                <w:color w:val="auto"/>
              </w:rPr>
              <w:t>for-sale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1960" w:type="dxa"/>
            <w:vAlign w:val="bottom"/>
            <w:gridSpan w:val="3"/>
          </w:tcPr>
          <w:p>
            <w:pPr>
              <w:spacing w:after="0"/>
              <w:rPr>
                <w:sz w:val="20"/>
                <w:szCs w:val="20"/>
                <w:color w:val="auto"/>
              </w:rPr>
            </w:pPr>
            <w:r>
              <w:rPr>
                <w:rFonts w:ascii="Arial" w:cs="Arial" w:eastAsia="Arial" w:hAnsi="Arial"/>
                <w:sz w:val="17"/>
                <w:szCs w:val="17"/>
                <w:color w:val="auto"/>
              </w:rPr>
              <w:t>securities, net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4"/>
        </w:trPr>
        <w:tc>
          <w:tcPr>
            <w:tcW w:w="1260" w:type="dxa"/>
            <w:vAlign w:val="bottom"/>
            <w:gridSpan w:val="2"/>
          </w:tcPr>
          <w:p>
            <w:pPr>
              <w:spacing w:after="0"/>
              <w:rPr>
                <w:sz w:val="20"/>
                <w:szCs w:val="20"/>
                <w:color w:val="auto"/>
              </w:rPr>
            </w:pPr>
            <w:r>
              <w:rPr>
                <w:rFonts w:ascii="Arial" w:cs="Arial" w:eastAsia="Arial" w:hAnsi="Arial"/>
                <w:sz w:val="17"/>
                <w:szCs w:val="17"/>
                <w:color w:val="auto"/>
              </w:rPr>
              <w:t>tax</w:t>
            </w:r>
          </w:p>
        </w:tc>
        <w:tc>
          <w:tcPr>
            <w:tcW w:w="700" w:type="dxa"/>
            <w:vAlign w:val="bottom"/>
          </w:tcPr>
          <w:p>
            <w:pPr>
              <w:spacing w:after="0"/>
              <w:rPr>
                <w:sz w:val="19"/>
                <w:szCs w:val="19"/>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w w:val="89"/>
              </w:rPr>
              <w:t>2,916,554</w:t>
            </w:r>
          </w:p>
        </w:tc>
        <w:tc>
          <w:tcPr>
            <w:tcW w:w="8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w w:val="95"/>
              </w:rPr>
              <w:t>2,916,554</w:t>
            </w:r>
          </w:p>
        </w:tc>
      </w:tr>
      <w:tr>
        <w:trPr>
          <w:trHeight w:val="201"/>
        </w:trPr>
        <w:tc>
          <w:tcPr>
            <w:tcW w:w="20" w:type="dxa"/>
            <w:vAlign w:val="bottom"/>
          </w:tcPr>
          <w:p>
            <w:pPr>
              <w:spacing w:after="0"/>
              <w:rPr>
                <w:sz w:val="17"/>
                <w:szCs w:val="17"/>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7"/>
                <w:szCs w:val="17"/>
                <w:color w:val="auto"/>
              </w:rPr>
              <w:t>Balance, June</w:t>
            </w: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7"/>
                <w:szCs w:val="17"/>
                <w:color w:val="auto"/>
              </w:rPr>
              <w:t>30, 2019</w:t>
            </w:r>
          </w:p>
        </w:tc>
        <w:tc>
          <w:tcPr>
            <w:tcW w:w="70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6"/>
              </w:rPr>
              <w:t>11,802,087</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118,020</w:t>
            </w:r>
          </w:p>
        </w:tc>
        <w:tc>
          <w:tcPr>
            <w:tcW w:w="102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u w:val="single" w:color="auto"/>
                <w:color w:val="auto"/>
                <w:w w:val="93"/>
              </w:rPr>
              <w:t>$</w:t>
            </w:r>
            <w:r>
              <w:rPr>
                <w:rFonts w:ascii="Arial" w:cs="Arial" w:eastAsia="Arial" w:hAnsi="Arial"/>
                <w:sz w:val="17"/>
                <w:szCs w:val="17"/>
                <w:color w:val="auto"/>
                <w:w w:val="93"/>
              </w:rPr>
              <w:t>68,373,320</w:t>
            </w:r>
          </w:p>
        </w:tc>
        <w:tc>
          <w:tcPr>
            <w:tcW w:w="1100" w:type="dxa"/>
            <w:vAlign w:val="bottom"/>
            <w:gridSpan w:val="4"/>
            <w:shd w:val="clear" w:color="auto" w:fill="CCEEFF"/>
          </w:tcPr>
          <w:p>
            <w:pPr>
              <w:jc w:val="right"/>
              <w:ind w:right="200"/>
              <w:spacing w:after="0"/>
              <w:rPr>
                <w:sz w:val="20"/>
                <w:szCs w:val="20"/>
                <w:color w:val="auto"/>
              </w:rPr>
            </w:pPr>
            <w:r>
              <w:rPr>
                <w:rFonts w:ascii="Arial" w:cs="Arial" w:eastAsia="Arial" w:hAnsi="Arial"/>
                <w:sz w:val="17"/>
                <w:szCs w:val="17"/>
                <w:color w:val="auto"/>
                <w:w w:val="97"/>
              </w:rPr>
              <w:t>$ 3,359,047</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u w:val="single" w:color="auto"/>
                <w:color w:val="auto"/>
                <w:w w:val="84"/>
              </w:rPr>
              <w:t>$</w:t>
            </w:r>
            <w:r>
              <w:rPr>
                <w:rFonts w:ascii="Arial" w:cs="Arial" w:eastAsia="Arial" w:hAnsi="Arial"/>
                <w:sz w:val="17"/>
                <w:szCs w:val="17"/>
                <w:color w:val="auto"/>
                <w:w w:val="84"/>
              </w:rPr>
              <w:t>18,531,657</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1,027,439</w:t>
            </w:r>
          </w:p>
        </w:tc>
        <w:tc>
          <w:tcPr>
            <w:tcW w:w="1120" w:type="dxa"/>
            <w:vAlign w:val="bottom"/>
            <w:tcBorders>
              <w:right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7"/>
                <w:szCs w:val="17"/>
                <w:u w:val="single" w:color="auto"/>
                <w:color w:val="auto"/>
                <w:w w:val="99"/>
              </w:rPr>
              <w:t>$</w:t>
            </w:r>
            <w:r>
              <w:rPr>
                <w:rFonts w:ascii="Arial" w:cs="Arial" w:eastAsia="Arial" w:hAnsi="Arial"/>
                <w:sz w:val="17"/>
                <w:szCs w:val="17"/>
                <w:color w:val="auto"/>
                <w:w w:val="99"/>
              </w:rPr>
              <w:t>(2,712,552)</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u w:val="single" w:color="auto"/>
                <w:color w:val="auto"/>
                <w:w w:val="84"/>
              </w:rPr>
              <w:t>$</w:t>
            </w:r>
            <w:r>
              <w:rPr>
                <w:rFonts w:ascii="Arial" w:cs="Arial" w:eastAsia="Arial" w:hAnsi="Arial"/>
                <w:sz w:val="17"/>
                <w:szCs w:val="17"/>
                <w:color w:val="auto"/>
                <w:w w:val="84"/>
              </w:rPr>
              <w:t>87,669,492</w:t>
            </w:r>
          </w:p>
        </w:tc>
      </w:tr>
      <w:tr>
        <w:trPr>
          <w:trHeight w:val="20"/>
        </w:trPr>
        <w:tc>
          <w:tcPr>
            <w:tcW w:w="20" w:type="dxa"/>
            <w:vAlign w:val="bottom"/>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6" w:name="page7"/>
    <w:bookmarkEnd w:id="6"/>
    <w:p>
      <w:pPr>
        <w:ind w:left="7240"/>
        <w:spacing w:after="0"/>
        <w:rPr>
          <w:sz w:val="20"/>
          <w:szCs w:val="20"/>
          <w:color w:val="auto"/>
        </w:rPr>
      </w:pPr>
      <w:r>
        <w:rPr>
          <w:rFonts w:ascii="Arial" w:cs="Arial" w:eastAsia="Arial" w:hAnsi="Arial"/>
          <w:sz w:val="16"/>
          <w:szCs w:val="16"/>
          <w:b w:val="1"/>
          <w:bCs w:val="1"/>
          <w:color w:val="auto"/>
        </w:rPr>
        <w:t>KINGSTONE COMPANIES, INC. AND SUBSIDIARIES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Statements of Stockholders'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251065"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Six months ended June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0"/>
        </w:trPr>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76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rPr>
              <w:t>Preferred Stock</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in Excess</w:t>
            </w:r>
          </w:p>
        </w:tc>
        <w:tc>
          <w:tcPr>
            <w:tcW w:w="80" w:type="dxa"/>
            <w:vAlign w:val="bottom"/>
          </w:tcPr>
          <w:p>
            <w:pPr>
              <w:spacing w:after="0"/>
              <w:rPr>
                <w:sz w:val="17"/>
                <w:szCs w:val="17"/>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3"/>
              </w:rPr>
              <w:t>Comprehensive</w:t>
            </w:r>
          </w:p>
        </w:tc>
        <w:tc>
          <w:tcPr>
            <w:tcW w:w="120" w:type="dxa"/>
            <w:vAlign w:val="bottom"/>
          </w:tcPr>
          <w:p>
            <w:pPr>
              <w:spacing w:after="0"/>
              <w:rPr>
                <w:sz w:val="17"/>
                <w:szCs w:val="17"/>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Retained</w:t>
            </w:r>
          </w:p>
        </w:tc>
        <w:tc>
          <w:tcPr>
            <w:tcW w:w="19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44"/>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300"/>
              <w:spacing w:after="0" w:line="144" w:lineRule="exact"/>
              <w:rPr>
                <w:sz w:val="20"/>
                <w:szCs w:val="20"/>
                <w:color w:val="auto"/>
              </w:rPr>
            </w:pPr>
            <w:r>
              <w:rPr>
                <w:rFonts w:ascii="Arial" w:cs="Arial" w:eastAsia="Arial" w:hAnsi="Arial"/>
                <w:sz w:val="14"/>
                <w:szCs w:val="14"/>
                <w:b w:val="1"/>
                <w:bCs w:val="1"/>
                <w:color w:val="auto"/>
                <w:w w:val="93"/>
              </w:rPr>
              <w:t>Income</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7"/>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w w:val="98"/>
              </w:rPr>
              <w:t>Shares</w:t>
            </w:r>
          </w:p>
        </w:tc>
        <w:tc>
          <w:tcPr>
            <w:tcW w:w="1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 Par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(Loss)</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6"/>
              </w:rPr>
              <w:t>Earnings</w:t>
            </w:r>
          </w:p>
        </w:tc>
        <w:tc>
          <w:tcPr>
            <w:tcW w:w="200" w:type="dxa"/>
            <w:vAlign w:val="bottom"/>
          </w:tcPr>
          <w:p>
            <w:pPr>
              <w:spacing w:after="0"/>
              <w:rPr>
                <w:sz w:val="15"/>
                <w:szCs w:val="15"/>
                <w:color w:val="auto"/>
              </w:rPr>
            </w:pPr>
          </w:p>
        </w:tc>
        <w:tc>
          <w:tcPr>
            <w:tcW w:w="8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r>
      <w:tr>
        <w:trPr>
          <w:trHeight w:val="148"/>
        </w:trPr>
        <w:tc>
          <w:tcPr>
            <w:tcW w:w="20" w:type="dxa"/>
            <w:vAlign w:val="bottom"/>
          </w:tcPr>
          <w:p>
            <w:pPr>
              <w:spacing w:after="0"/>
              <w:rPr>
                <w:sz w:val="12"/>
                <w:szCs w:val="12"/>
                <w:color w:val="auto"/>
              </w:rPr>
            </w:pPr>
          </w:p>
        </w:tc>
        <w:tc>
          <w:tcPr>
            <w:tcW w:w="194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Balance, January 1,</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2018, as reported</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11,618,646</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116,186</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68,380,390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1,100,647</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6"/>
              </w:rPr>
              <w:t>27,152,822</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986,809</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(2,172,299)</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6"/>
              </w:rPr>
              <w:t>94,577,746</w:t>
            </w:r>
          </w:p>
        </w:tc>
      </w:tr>
      <w:tr>
        <w:trPr>
          <w:trHeight w:val="148"/>
        </w:trPr>
        <w:tc>
          <w:tcPr>
            <w:tcW w:w="20" w:type="dxa"/>
            <w:vAlign w:val="bottom"/>
          </w:tcPr>
          <w:p>
            <w:pPr>
              <w:spacing w:after="0"/>
              <w:rPr>
                <w:sz w:val="12"/>
                <w:szCs w:val="12"/>
                <w:color w:val="auto"/>
              </w:rPr>
            </w:pPr>
          </w:p>
        </w:tc>
        <w:tc>
          <w:tcPr>
            <w:tcW w:w="1940" w:type="dxa"/>
            <w:vAlign w:val="bottom"/>
            <w:gridSpan w:val="2"/>
          </w:tcPr>
          <w:p>
            <w:pPr>
              <w:spacing w:after="0" w:line="147" w:lineRule="exact"/>
              <w:rPr>
                <w:sz w:val="20"/>
                <w:szCs w:val="20"/>
                <w:color w:val="auto"/>
              </w:rPr>
            </w:pPr>
            <w:r>
              <w:rPr>
                <w:rFonts w:ascii="Arial" w:cs="Arial" w:eastAsia="Arial" w:hAnsi="Arial"/>
                <w:sz w:val="14"/>
                <w:szCs w:val="14"/>
                <w:color w:val="auto"/>
              </w:rPr>
              <w:t>Cumulative effect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7"/>
        </w:trPr>
        <w:tc>
          <w:tcPr>
            <w:tcW w:w="1960" w:type="dxa"/>
            <w:vAlign w:val="bottom"/>
            <w:gridSpan w:val="3"/>
          </w:tcPr>
          <w:p>
            <w:pPr>
              <w:spacing w:after="0" w:line="157" w:lineRule="exact"/>
              <w:rPr>
                <w:sz w:val="20"/>
                <w:szCs w:val="20"/>
                <w:color w:val="auto"/>
              </w:rPr>
            </w:pPr>
            <w:r>
              <w:rPr>
                <w:rFonts w:ascii="Arial" w:cs="Arial" w:eastAsia="Arial" w:hAnsi="Arial"/>
                <w:sz w:val="14"/>
                <w:szCs w:val="14"/>
                <w:color w:val="auto"/>
              </w:rPr>
              <w:t>of adoption of</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6"/>
        </w:trPr>
        <w:tc>
          <w:tcPr>
            <w:tcW w:w="1960" w:type="dxa"/>
            <w:vAlign w:val="bottom"/>
            <w:gridSpan w:val="3"/>
          </w:tcPr>
          <w:p>
            <w:pPr>
              <w:spacing w:after="0"/>
              <w:rPr>
                <w:sz w:val="20"/>
                <w:szCs w:val="20"/>
                <w:color w:val="auto"/>
              </w:rPr>
            </w:pPr>
            <w:r>
              <w:rPr>
                <w:rFonts w:ascii="Arial" w:cs="Arial" w:eastAsia="Arial" w:hAnsi="Arial"/>
                <w:sz w:val="14"/>
                <w:szCs w:val="14"/>
                <w:color w:val="auto"/>
              </w:rPr>
              <w:t>updated</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8"/>
        </w:trPr>
        <w:tc>
          <w:tcPr>
            <w:tcW w:w="20" w:type="dxa"/>
            <w:vAlign w:val="bottom"/>
          </w:tcPr>
          <w:p>
            <w:pPr>
              <w:spacing w:after="0"/>
              <w:rPr>
                <w:sz w:val="12"/>
                <w:szCs w:val="12"/>
                <w:color w:val="auto"/>
              </w:rPr>
            </w:pPr>
          </w:p>
        </w:tc>
        <w:tc>
          <w:tcPr>
            <w:tcW w:w="194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accounting</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guidance for equity</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48"/>
        </w:trPr>
        <w:tc>
          <w:tcPr>
            <w:tcW w:w="20" w:type="dxa"/>
            <w:vAlign w:val="bottom"/>
          </w:tcPr>
          <w:p>
            <w:pPr>
              <w:spacing w:after="0"/>
              <w:rPr>
                <w:sz w:val="12"/>
                <w:szCs w:val="12"/>
                <w:color w:val="auto"/>
              </w:rPr>
            </w:pPr>
          </w:p>
        </w:tc>
        <w:tc>
          <w:tcPr>
            <w:tcW w:w="1940" w:type="dxa"/>
            <w:vAlign w:val="bottom"/>
            <w:gridSpan w:val="2"/>
          </w:tcPr>
          <w:p>
            <w:pPr>
              <w:spacing w:after="0" w:line="147" w:lineRule="exact"/>
              <w:rPr>
                <w:sz w:val="20"/>
                <w:szCs w:val="20"/>
                <w:color w:val="auto"/>
              </w:rPr>
            </w:pPr>
            <w:r>
              <w:rPr>
                <w:rFonts w:ascii="Arial" w:cs="Arial" w:eastAsia="Arial" w:hAnsi="Arial"/>
                <w:sz w:val="14"/>
                <w:szCs w:val="14"/>
                <w:color w:val="auto"/>
              </w:rPr>
              <w:t>financial</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7"/>
        </w:trPr>
        <w:tc>
          <w:tcPr>
            <w:tcW w:w="1960" w:type="dxa"/>
            <w:vAlign w:val="bottom"/>
            <w:gridSpan w:val="3"/>
          </w:tcPr>
          <w:p>
            <w:pPr>
              <w:spacing w:after="0" w:line="157" w:lineRule="exact"/>
              <w:rPr>
                <w:sz w:val="20"/>
                <w:szCs w:val="20"/>
                <w:color w:val="auto"/>
              </w:rPr>
            </w:pPr>
            <w:r>
              <w:rPr>
                <w:rFonts w:ascii="Arial" w:cs="Arial" w:eastAsia="Arial" w:hAnsi="Arial"/>
                <w:sz w:val="14"/>
                <w:szCs w:val="14"/>
                <w:color w:val="auto"/>
              </w:rPr>
              <w:t>instruments at</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1260" w:type="dxa"/>
            <w:vAlign w:val="bottom"/>
            <w:gridSpan w:val="2"/>
          </w:tcPr>
          <w:p>
            <w:pPr>
              <w:spacing w:after="0"/>
              <w:rPr>
                <w:sz w:val="20"/>
                <w:szCs w:val="20"/>
                <w:color w:val="auto"/>
              </w:rPr>
            </w:pPr>
            <w:r>
              <w:rPr>
                <w:rFonts w:ascii="Arial" w:cs="Arial" w:eastAsia="Arial" w:hAnsi="Arial"/>
                <w:sz w:val="14"/>
                <w:szCs w:val="14"/>
                <w:color w:val="auto"/>
              </w:rPr>
              <w:t>January 1, 2018</w:t>
            </w:r>
          </w:p>
        </w:tc>
        <w:tc>
          <w:tcPr>
            <w:tcW w:w="7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(414,242)</w:t>
            </w:r>
          </w:p>
        </w:tc>
        <w:tc>
          <w:tcPr>
            <w:tcW w:w="12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414,242</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48"/>
        </w:trPr>
        <w:tc>
          <w:tcPr>
            <w:tcW w:w="20" w:type="dxa"/>
            <w:vAlign w:val="bottom"/>
          </w:tcPr>
          <w:p>
            <w:pPr>
              <w:spacing w:after="0"/>
              <w:rPr>
                <w:sz w:val="12"/>
                <w:szCs w:val="12"/>
                <w:color w:val="auto"/>
              </w:rPr>
            </w:pPr>
          </w:p>
        </w:tc>
        <w:tc>
          <w:tcPr>
            <w:tcW w:w="124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w w:val="98"/>
              </w:rPr>
              <w:t>Balance, January 1,</w:t>
            </w: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2018, as adjusted</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11,618,646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116,186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68,380,390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686,405</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6"/>
              </w:rPr>
              <w:t>27,567,064</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986,809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(2,172,299)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6"/>
              </w:rPr>
              <w:t>94,577,746</w:t>
            </w:r>
          </w:p>
        </w:tc>
      </w:tr>
      <w:tr>
        <w:trPr>
          <w:trHeight w:val="148"/>
        </w:trPr>
        <w:tc>
          <w:tcPr>
            <w:tcW w:w="20" w:type="dxa"/>
            <w:vAlign w:val="bottom"/>
          </w:tcPr>
          <w:p>
            <w:pPr>
              <w:spacing w:after="0"/>
              <w:rPr>
                <w:sz w:val="12"/>
                <w:szCs w:val="12"/>
                <w:color w:val="auto"/>
              </w:rPr>
            </w:pPr>
          </w:p>
        </w:tc>
        <w:tc>
          <w:tcPr>
            <w:tcW w:w="1940" w:type="dxa"/>
            <w:vAlign w:val="bottom"/>
            <w:gridSpan w:val="2"/>
          </w:tcPr>
          <w:p>
            <w:pPr>
              <w:spacing w:after="0" w:line="147" w:lineRule="exact"/>
              <w:rPr>
                <w:sz w:val="20"/>
                <w:szCs w:val="20"/>
                <w:color w:val="auto"/>
              </w:rPr>
            </w:pPr>
            <w:r>
              <w:rPr>
                <w:rFonts w:ascii="Arial" w:cs="Arial" w:eastAsia="Arial" w:hAnsi="Arial"/>
                <w:sz w:val="14"/>
                <w:szCs w:val="14"/>
                <w:color w:val="auto"/>
              </w:rPr>
              <w:t>Stock-based</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6"/>
        </w:trPr>
        <w:tc>
          <w:tcPr>
            <w:tcW w:w="1960" w:type="dxa"/>
            <w:vAlign w:val="bottom"/>
            <w:gridSpan w:val="3"/>
          </w:tcPr>
          <w:p>
            <w:pPr>
              <w:spacing w:after="0"/>
              <w:rPr>
                <w:sz w:val="20"/>
                <w:szCs w:val="20"/>
                <w:color w:val="auto"/>
              </w:rPr>
            </w:pPr>
            <w:r>
              <w:rPr>
                <w:rFonts w:ascii="Arial" w:cs="Arial" w:eastAsia="Arial" w:hAnsi="Arial"/>
                <w:sz w:val="14"/>
                <w:szCs w:val="14"/>
                <w:color w:val="auto"/>
              </w:rPr>
              <w:t>compensation</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284,477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284,477</w:t>
            </w:r>
          </w:p>
        </w:tc>
      </w:tr>
      <w:tr>
        <w:trPr>
          <w:trHeight w:val="148"/>
        </w:trPr>
        <w:tc>
          <w:tcPr>
            <w:tcW w:w="20" w:type="dxa"/>
            <w:vAlign w:val="bottom"/>
          </w:tcPr>
          <w:p>
            <w:pPr>
              <w:spacing w:after="0"/>
              <w:rPr>
                <w:sz w:val="12"/>
                <w:szCs w:val="12"/>
                <w:color w:val="auto"/>
              </w:rPr>
            </w:pPr>
          </w:p>
        </w:tc>
        <w:tc>
          <w:tcPr>
            <w:tcW w:w="194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Shares deducted</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57"/>
        </w:trPr>
        <w:tc>
          <w:tcPr>
            <w:tcW w:w="20" w:type="dxa"/>
            <w:vAlign w:val="bottom"/>
          </w:tcPr>
          <w:p>
            <w:pPr>
              <w:spacing w:after="0"/>
              <w:rPr>
                <w:sz w:val="13"/>
                <w:szCs w:val="13"/>
                <w:color w:val="auto"/>
              </w:rPr>
            </w:pPr>
          </w:p>
        </w:tc>
        <w:tc>
          <w:tcPr>
            <w:tcW w:w="194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from exercise of</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6"/>
        </w:trPr>
        <w:tc>
          <w:tcPr>
            <w:tcW w:w="20" w:type="dxa"/>
            <w:vAlign w:val="bottom"/>
          </w:tcPr>
          <w:p>
            <w:pPr>
              <w:spacing w:after="0"/>
              <w:rPr>
                <w:sz w:val="14"/>
                <w:szCs w:val="14"/>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stock</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48"/>
        </w:trPr>
        <w:tc>
          <w:tcPr>
            <w:tcW w:w="20" w:type="dxa"/>
            <w:vAlign w:val="bottom"/>
          </w:tcPr>
          <w:p>
            <w:pPr>
              <w:spacing w:after="0"/>
              <w:rPr>
                <w:sz w:val="12"/>
                <w:szCs w:val="12"/>
                <w:color w:val="auto"/>
              </w:rPr>
            </w:pPr>
          </w:p>
        </w:tc>
        <w:tc>
          <w:tcPr>
            <w:tcW w:w="1940" w:type="dxa"/>
            <w:vAlign w:val="bottom"/>
            <w:gridSpan w:val="2"/>
          </w:tcPr>
          <w:p>
            <w:pPr>
              <w:spacing w:after="0" w:line="147" w:lineRule="exact"/>
              <w:rPr>
                <w:sz w:val="20"/>
                <w:szCs w:val="20"/>
                <w:color w:val="auto"/>
              </w:rPr>
            </w:pPr>
            <w:r>
              <w:rPr>
                <w:rFonts w:ascii="Arial" w:cs="Arial" w:eastAsia="Arial" w:hAnsi="Arial"/>
                <w:sz w:val="14"/>
                <w:szCs w:val="14"/>
                <w:color w:val="auto"/>
              </w:rPr>
              <w:t>options for</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7"/>
        </w:trPr>
        <w:tc>
          <w:tcPr>
            <w:tcW w:w="1960" w:type="dxa"/>
            <w:vAlign w:val="bottom"/>
            <w:gridSpan w:val="3"/>
          </w:tcPr>
          <w:p>
            <w:pPr>
              <w:spacing w:after="0" w:line="157" w:lineRule="exact"/>
              <w:rPr>
                <w:sz w:val="20"/>
                <w:szCs w:val="20"/>
                <w:color w:val="auto"/>
              </w:rPr>
            </w:pPr>
            <w:r>
              <w:rPr>
                <w:rFonts w:ascii="Arial" w:cs="Arial" w:eastAsia="Arial" w:hAnsi="Arial"/>
                <w:sz w:val="14"/>
                <w:szCs w:val="14"/>
                <w:color w:val="auto"/>
              </w:rPr>
              <w:t>payment of</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6"/>
        </w:trPr>
        <w:tc>
          <w:tcPr>
            <w:tcW w:w="1960" w:type="dxa"/>
            <w:vAlign w:val="bottom"/>
            <w:gridSpan w:val="3"/>
          </w:tcPr>
          <w:p>
            <w:pPr>
              <w:spacing w:after="0"/>
              <w:rPr>
                <w:sz w:val="20"/>
                <w:szCs w:val="20"/>
                <w:color w:val="auto"/>
              </w:rPr>
            </w:pPr>
            <w:r>
              <w:rPr>
                <w:rFonts w:ascii="Arial" w:cs="Arial" w:eastAsia="Arial" w:hAnsi="Arial"/>
                <w:sz w:val="14"/>
                <w:szCs w:val="14"/>
                <w:color w:val="auto"/>
              </w:rPr>
              <w:t>withholding taxes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(15,750)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(158)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(341,612)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(341,770)</w:t>
            </w:r>
          </w:p>
        </w:tc>
      </w:tr>
      <w:tr>
        <w:trPr>
          <w:trHeight w:val="148"/>
        </w:trPr>
        <w:tc>
          <w:tcPr>
            <w:tcW w:w="20" w:type="dxa"/>
            <w:vAlign w:val="bottom"/>
          </w:tcPr>
          <w:p>
            <w:pPr>
              <w:spacing w:after="0"/>
              <w:rPr>
                <w:sz w:val="12"/>
                <w:szCs w:val="12"/>
                <w:color w:val="auto"/>
              </w:rPr>
            </w:pPr>
          </w:p>
        </w:tc>
        <w:tc>
          <w:tcPr>
            <w:tcW w:w="194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Vesting of</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57"/>
        </w:trPr>
        <w:tc>
          <w:tcPr>
            <w:tcW w:w="20" w:type="dxa"/>
            <w:vAlign w:val="bottom"/>
          </w:tcPr>
          <w:p>
            <w:pPr>
              <w:spacing w:after="0"/>
              <w:rPr>
                <w:sz w:val="13"/>
                <w:szCs w:val="13"/>
                <w:color w:val="auto"/>
              </w:rPr>
            </w:pPr>
          </w:p>
        </w:tc>
        <w:tc>
          <w:tcPr>
            <w:tcW w:w="194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restricted stock</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6"/>
        </w:trPr>
        <w:tc>
          <w:tcPr>
            <w:tcW w:w="20" w:type="dxa"/>
            <w:vAlign w:val="bottom"/>
          </w:tcPr>
          <w:p>
            <w:pPr>
              <w:spacing w:after="0"/>
              <w:rPr>
                <w:sz w:val="14"/>
                <w:szCs w:val="14"/>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awards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10,886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48"/>
        </w:trPr>
        <w:tc>
          <w:tcPr>
            <w:tcW w:w="20" w:type="dxa"/>
            <w:vAlign w:val="bottom"/>
          </w:tcPr>
          <w:p>
            <w:pPr>
              <w:spacing w:after="0"/>
              <w:rPr>
                <w:sz w:val="12"/>
                <w:szCs w:val="12"/>
                <w:color w:val="auto"/>
              </w:rPr>
            </w:pPr>
          </w:p>
        </w:tc>
        <w:tc>
          <w:tcPr>
            <w:tcW w:w="1940" w:type="dxa"/>
            <w:vAlign w:val="bottom"/>
            <w:gridSpan w:val="2"/>
          </w:tcPr>
          <w:p>
            <w:pPr>
              <w:spacing w:after="0" w:line="147" w:lineRule="exact"/>
              <w:rPr>
                <w:sz w:val="20"/>
                <w:szCs w:val="20"/>
                <w:color w:val="auto"/>
              </w:rPr>
            </w:pPr>
            <w:r>
              <w:rPr>
                <w:rFonts w:ascii="Arial" w:cs="Arial" w:eastAsia="Arial" w:hAnsi="Arial"/>
                <w:sz w:val="14"/>
                <w:szCs w:val="14"/>
                <w:color w:val="auto"/>
              </w:rPr>
              <w:t>Shares deducted</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7"/>
        </w:trPr>
        <w:tc>
          <w:tcPr>
            <w:tcW w:w="1960" w:type="dxa"/>
            <w:vAlign w:val="bottom"/>
            <w:gridSpan w:val="3"/>
          </w:tcPr>
          <w:p>
            <w:pPr>
              <w:spacing w:after="0" w:line="157" w:lineRule="exact"/>
              <w:rPr>
                <w:sz w:val="20"/>
                <w:szCs w:val="20"/>
                <w:color w:val="auto"/>
              </w:rPr>
            </w:pPr>
            <w:r>
              <w:rPr>
                <w:rFonts w:ascii="Arial" w:cs="Arial" w:eastAsia="Arial" w:hAnsi="Arial"/>
                <w:sz w:val="14"/>
                <w:szCs w:val="14"/>
                <w:color w:val="auto"/>
              </w:rPr>
              <w:t>from restricted</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6"/>
        </w:trPr>
        <w:tc>
          <w:tcPr>
            <w:tcW w:w="1960" w:type="dxa"/>
            <w:vAlign w:val="bottom"/>
            <w:gridSpan w:val="3"/>
          </w:tcPr>
          <w:p>
            <w:pPr>
              <w:spacing w:after="0"/>
              <w:rPr>
                <w:sz w:val="20"/>
                <w:szCs w:val="20"/>
                <w:color w:val="auto"/>
              </w:rPr>
            </w:pPr>
            <w:r>
              <w:rPr>
                <w:rFonts w:ascii="Arial" w:cs="Arial" w:eastAsia="Arial" w:hAnsi="Arial"/>
                <w:sz w:val="14"/>
                <w:szCs w:val="14"/>
                <w:color w:val="auto"/>
              </w:rPr>
              <w:t>stock</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8"/>
        </w:trPr>
        <w:tc>
          <w:tcPr>
            <w:tcW w:w="20" w:type="dxa"/>
            <w:vAlign w:val="bottom"/>
          </w:tcPr>
          <w:p>
            <w:pPr>
              <w:spacing w:after="0"/>
              <w:rPr>
                <w:sz w:val="12"/>
                <w:szCs w:val="12"/>
                <w:color w:val="auto"/>
              </w:rPr>
            </w:pPr>
          </w:p>
        </w:tc>
        <w:tc>
          <w:tcPr>
            <w:tcW w:w="194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awards for payment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57"/>
        </w:trPr>
        <w:tc>
          <w:tcPr>
            <w:tcW w:w="20" w:type="dxa"/>
            <w:vAlign w:val="bottom"/>
          </w:tcPr>
          <w:p>
            <w:pPr>
              <w:spacing w:after="0"/>
              <w:rPr>
                <w:sz w:val="13"/>
                <w:szCs w:val="13"/>
                <w:color w:val="auto"/>
              </w:rPr>
            </w:pPr>
          </w:p>
        </w:tc>
        <w:tc>
          <w:tcPr>
            <w:tcW w:w="194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of withholding</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6"/>
        </w:trPr>
        <w:tc>
          <w:tcPr>
            <w:tcW w:w="20" w:type="dxa"/>
            <w:vAlign w:val="bottom"/>
          </w:tcPr>
          <w:p>
            <w:pPr>
              <w:spacing w:after="0"/>
              <w:rPr>
                <w:sz w:val="14"/>
                <w:szCs w:val="14"/>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taxes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(1,154)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(21,509)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(21,523)</w:t>
            </w:r>
          </w:p>
        </w:tc>
      </w:tr>
      <w:tr>
        <w:trPr>
          <w:trHeight w:val="148"/>
        </w:trPr>
        <w:tc>
          <w:tcPr>
            <w:tcW w:w="20" w:type="dxa"/>
            <w:vAlign w:val="bottom"/>
          </w:tcPr>
          <w:p>
            <w:pPr>
              <w:spacing w:after="0"/>
              <w:rPr>
                <w:sz w:val="12"/>
                <w:szCs w:val="12"/>
                <w:color w:val="auto"/>
              </w:rPr>
            </w:pPr>
          </w:p>
        </w:tc>
        <w:tc>
          <w:tcPr>
            <w:tcW w:w="1940" w:type="dxa"/>
            <w:vAlign w:val="bottom"/>
            <w:gridSpan w:val="2"/>
          </w:tcPr>
          <w:p>
            <w:pPr>
              <w:spacing w:after="0" w:line="147" w:lineRule="exact"/>
              <w:rPr>
                <w:sz w:val="20"/>
                <w:szCs w:val="20"/>
                <w:color w:val="auto"/>
              </w:rPr>
            </w:pPr>
            <w:r>
              <w:rPr>
                <w:rFonts w:ascii="Arial" w:cs="Arial" w:eastAsia="Arial" w:hAnsi="Arial"/>
                <w:sz w:val="14"/>
                <w:szCs w:val="14"/>
                <w:color w:val="auto"/>
              </w:rPr>
              <w:t>Exercise of stock</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6"/>
        </w:trPr>
        <w:tc>
          <w:tcPr>
            <w:tcW w:w="1960" w:type="dxa"/>
            <w:vAlign w:val="bottom"/>
            <w:gridSpan w:val="3"/>
          </w:tcPr>
          <w:p>
            <w:pPr>
              <w:spacing w:after="0"/>
              <w:rPr>
                <w:sz w:val="20"/>
                <w:szCs w:val="20"/>
                <w:color w:val="auto"/>
              </w:rPr>
            </w:pPr>
            <w:r>
              <w:rPr>
                <w:rFonts w:ascii="Arial" w:cs="Arial" w:eastAsia="Arial" w:hAnsi="Arial"/>
                <w:sz w:val="14"/>
                <w:szCs w:val="14"/>
                <w:color w:val="auto"/>
              </w:rPr>
              <w:t>options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73,276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736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46,147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46,883</w:t>
            </w:r>
          </w:p>
        </w:tc>
      </w:tr>
      <w:tr>
        <w:trPr>
          <w:trHeight w:val="148"/>
        </w:trPr>
        <w:tc>
          <w:tcPr>
            <w:tcW w:w="20" w:type="dxa"/>
            <w:vAlign w:val="bottom"/>
          </w:tcPr>
          <w:p>
            <w:pPr>
              <w:spacing w:after="0"/>
              <w:rPr>
                <w:sz w:val="12"/>
                <w:szCs w:val="12"/>
                <w:color w:val="auto"/>
              </w:rPr>
            </w:pPr>
          </w:p>
        </w:tc>
        <w:tc>
          <w:tcPr>
            <w:tcW w:w="194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Acquisition of</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treasury stock</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37,635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(540,223)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(540,223)</w:t>
            </w:r>
          </w:p>
        </w:tc>
      </w:tr>
      <w:tr>
        <w:trPr>
          <w:trHeight w:val="157"/>
        </w:trPr>
        <w:tc>
          <w:tcPr>
            <w:tcW w:w="20" w:type="dxa"/>
            <w:vAlign w:val="bottom"/>
          </w:tcPr>
          <w:p>
            <w:pPr>
              <w:spacing w:after="0"/>
              <w:rPr>
                <w:sz w:val="13"/>
                <w:szCs w:val="13"/>
                <w:color w:val="auto"/>
              </w:rPr>
            </w:pPr>
          </w:p>
        </w:tc>
        <w:tc>
          <w:tcPr>
            <w:tcW w:w="1940" w:type="dxa"/>
            <w:vAlign w:val="bottom"/>
            <w:gridSpan w:val="2"/>
          </w:tcPr>
          <w:p>
            <w:pPr>
              <w:spacing w:after="0" w:line="157" w:lineRule="exact"/>
              <w:rPr>
                <w:sz w:val="20"/>
                <w:szCs w:val="20"/>
                <w:color w:val="auto"/>
              </w:rPr>
            </w:pPr>
            <w:r>
              <w:rPr>
                <w:rFonts w:ascii="Arial" w:cs="Arial" w:eastAsia="Arial" w:hAnsi="Arial"/>
                <w:sz w:val="14"/>
                <w:szCs w:val="14"/>
                <w:color w:val="auto"/>
              </w:rPr>
              <w:t>Dividends</w:t>
            </w:r>
          </w:p>
        </w:tc>
        <w:tc>
          <w:tcPr>
            <w:tcW w:w="12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(2,134,759)</w:t>
            </w:r>
          </w:p>
        </w:tc>
        <w:tc>
          <w:tcPr>
            <w:tcW w:w="92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(2,134,759)</w:t>
            </w:r>
          </w:p>
        </w:tc>
      </w:tr>
      <w:tr>
        <w:trPr>
          <w:trHeight w:val="157"/>
        </w:trPr>
        <w:tc>
          <w:tcPr>
            <w:tcW w:w="20" w:type="dxa"/>
            <w:vAlign w:val="bottom"/>
          </w:tcPr>
          <w:p>
            <w:pPr>
              <w:spacing w:after="0"/>
              <w:rPr>
                <w:sz w:val="13"/>
                <w:szCs w:val="13"/>
                <w:color w:val="auto"/>
              </w:rPr>
            </w:pPr>
          </w:p>
        </w:tc>
        <w:tc>
          <w:tcPr>
            <w:tcW w:w="194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Net income</w:t>
            </w:r>
          </w:p>
        </w:tc>
        <w:tc>
          <w:tcPr>
            <w:tcW w:w="1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39,363</w:t>
            </w:r>
          </w:p>
        </w:tc>
        <w:tc>
          <w:tcPr>
            <w:tcW w:w="92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39,363</w:t>
            </w:r>
          </w:p>
        </w:tc>
      </w:tr>
      <w:tr>
        <w:trPr>
          <w:trHeight w:val="148"/>
        </w:trPr>
        <w:tc>
          <w:tcPr>
            <w:tcW w:w="20" w:type="dxa"/>
            <w:vAlign w:val="bottom"/>
          </w:tcPr>
          <w:p>
            <w:pPr>
              <w:spacing w:after="0"/>
              <w:rPr>
                <w:sz w:val="12"/>
                <w:szCs w:val="12"/>
                <w:color w:val="auto"/>
              </w:rPr>
            </w:pPr>
          </w:p>
        </w:tc>
        <w:tc>
          <w:tcPr>
            <w:tcW w:w="1940" w:type="dxa"/>
            <w:vAlign w:val="bottom"/>
            <w:gridSpan w:val="2"/>
          </w:tcPr>
          <w:p>
            <w:pPr>
              <w:spacing w:after="0" w:line="147" w:lineRule="exact"/>
              <w:rPr>
                <w:sz w:val="20"/>
                <w:szCs w:val="20"/>
                <w:color w:val="auto"/>
              </w:rPr>
            </w:pPr>
            <w:r>
              <w:rPr>
                <w:rFonts w:ascii="Arial" w:cs="Arial" w:eastAsia="Arial" w:hAnsi="Arial"/>
                <w:sz w:val="14"/>
                <w:szCs w:val="14"/>
                <w:color w:val="auto"/>
              </w:rPr>
              <w:t>Change in</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7"/>
        </w:trPr>
        <w:tc>
          <w:tcPr>
            <w:tcW w:w="1960" w:type="dxa"/>
            <w:vAlign w:val="bottom"/>
            <w:gridSpan w:val="3"/>
          </w:tcPr>
          <w:p>
            <w:pPr>
              <w:spacing w:after="0" w:line="157" w:lineRule="exact"/>
              <w:rPr>
                <w:sz w:val="20"/>
                <w:szCs w:val="20"/>
                <w:color w:val="auto"/>
              </w:rPr>
            </w:pPr>
            <w:r>
              <w:rPr>
                <w:rFonts w:ascii="Arial" w:cs="Arial" w:eastAsia="Arial" w:hAnsi="Arial"/>
                <w:sz w:val="14"/>
                <w:szCs w:val="14"/>
                <w:color w:val="auto"/>
              </w:rPr>
              <w:t>unrealized losses</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6"/>
        </w:trPr>
        <w:tc>
          <w:tcPr>
            <w:tcW w:w="1960" w:type="dxa"/>
            <w:vAlign w:val="bottom"/>
            <w:gridSpan w:val="3"/>
          </w:tcPr>
          <w:p>
            <w:pPr>
              <w:spacing w:after="0"/>
              <w:rPr>
                <w:sz w:val="20"/>
                <w:szCs w:val="20"/>
                <w:color w:val="auto"/>
              </w:rPr>
            </w:pPr>
            <w:r>
              <w:rPr>
                <w:rFonts w:ascii="Arial" w:cs="Arial" w:eastAsia="Arial" w:hAnsi="Arial"/>
                <w:sz w:val="14"/>
                <w:szCs w:val="14"/>
                <w:color w:val="auto"/>
              </w:rPr>
              <w:t>on available-</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8"/>
        </w:trPr>
        <w:tc>
          <w:tcPr>
            <w:tcW w:w="20" w:type="dxa"/>
            <w:vAlign w:val="bottom"/>
          </w:tcPr>
          <w:p>
            <w:pPr>
              <w:spacing w:after="0"/>
              <w:rPr>
                <w:sz w:val="12"/>
                <w:szCs w:val="12"/>
                <w:color w:val="auto"/>
              </w:rPr>
            </w:pPr>
          </w:p>
        </w:tc>
        <w:tc>
          <w:tcPr>
            <w:tcW w:w="194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for-sale securities,</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73"/>
        </w:trPr>
        <w:tc>
          <w:tcPr>
            <w:tcW w:w="20" w:type="dxa"/>
            <w:vAlign w:val="bottom"/>
          </w:tcPr>
          <w:p>
            <w:pPr>
              <w:spacing w:after="0"/>
              <w:rPr>
                <w:sz w:val="15"/>
                <w:szCs w:val="15"/>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4"/>
                <w:szCs w:val="14"/>
                <w:color w:val="auto"/>
              </w:rPr>
              <w:t>net of tax</w:t>
            </w: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7"/>
              </w:rPr>
              <w:t>(3,183,386)</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(3,183,386)</w:t>
            </w:r>
          </w:p>
        </w:tc>
      </w:tr>
      <w:tr>
        <w:trPr>
          <w:trHeight w:val="148"/>
        </w:trPr>
        <w:tc>
          <w:tcPr>
            <w:tcW w:w="20" w:type="dxa"/>
            <w:vAlign w:val="bottom"/>
          </w:tcPr>
          <w:p>
            <w:pPr>
              <w:spacing w:after="0"/>
              <w:rPr>
                <w:sz w:val="12"/>
                <w:szCs w:val="12"/>
                <w:color w:val="auto"/>
              </w:rPr>
            </w:pPr>
          </w:p>
        </w:tc>
        <w:tc>
          <w:tcPr>
            <w:tcW w:w="1240" w:type="dxa"/>
            <w:vAlign w:val="bottom"/>
            <w:tcBorders>
              <w:top w:val="single" w:sz="8" w:color="CCEEFF"/>
            </w:tcBorders>
          </w:tcPr>
          <w:p>
            <w:pPr>
              <w:spacing w:after="0" w:line="147" w:lineRule="exact"/>
              <w:rPr>
                <w:sz w:val="20"/>
                <w:szCs w:val="20"/>
                <w:color w:val="auto"/>
              </w:rPr>
            </w:pPr>
            <w:r>
              <w:rPr>
                <w:rFonts w:ascii="Arial" w:cs="Arial" w:eastAsia="Arial" w:hAnsi="Arial"/>
                <w:sz w:val="14"/>
                <w:szCs w:val="14"/>
                <w:color w:val="auto"/>
              </w:rPr>
              <w:t>Balance, June 30,</w:t>
            </w:r>
          </w:p>
        </w:tc>
        <w:tc>
          <w:tcPr>
            <w:tcW w:w="7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r>
      <w:tr>
        <w:trPr>
          <w:trHeight w:val="166"/>
        </w:trPr>
        <w:tc>
          <w:tcPr>
            <w:tcW w:w="1260" w:type="dxa"/>
            <w:vAlign w:val="bottom"/>
            <w:gridSpan w:val="2"/>
          </w:tcPr>
          <w:p>
            <w:pPr>
              <w:spacing w:after="0"/>
              <w:rPr>
                <w:sz w:val="20"/>
                <w:szCs w:val="20"/>
                <w:color w:val="auto"/>
              </w:rPr>
            </w:pPr>
            <w:r>
              <w:rPr>
                <w:rFonts w:ascii="Arial" w:cs="Arial" w:eastAsia="Arial" w:hAnsi="Arial"/>
                <w:sz w:val="14"/>
                <w:szCs w:val="14"/>
                <w:color w:val="auto"/>
              </w:rPr>
              <w:t>2018</w:t>
            </w:r>
          </w:p>
        </w:tc>
        <w:tc>
          <w:tcPr>
            <w:tcW w:w="7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588"/>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11,685,904</w:t>
            </w: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116,859</w:t>
            </w: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68,347,784</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w w:val="97"/>
              </w:rPr>
              <w:t>(2,496,981)</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w w:val="96"/>
              </w:rPr>
              <w:t>25,471,668</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1,024,444</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(2,712,522)</w:t>
            </w: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w w:val="96"/>
              </w:rPr>
              <w:t>88,726,808</w:t>
            </w: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72" w:right="239" w:bottom="1440" w:gutter="0" w:footer="0" w:header="0"/>
        </w:sectPr>
      </w:pPr>
    </w:p>
    <w:bookmarkStart w:id="7" w:name="page8"/>
    <w:bookmarkEnd w:id="7"/>
    <w:p>
      <w:pPr>
        <w:ind w:left="7240"/>
        <w:spacing w:after="0"/>
        <w:rPr>
          <w:sz w:val="20"/>
          <w:szCs w:val="20"/>
          <w:color w:val="auto"/>
        </w:rPr>
      </w:pPr>
      <w:r>
        <w:rPr>
          <w:rFonts w:ascii="Arial" w:cs="Arial" w:eastAsia="Arial" w:hAnsi="Arial"/>
          <w:sz w:val="16"/>
          <w:szCs w:val="16"/>
          <w:b w:val="1"/>
          <w:bCs w:val="1"/>
          <w:color w:val="auto"/>
        </w:rPr>
        <w:t>KINGSTONE COMPANIES, INC. AND SUBSIDIARIES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Statements of Stockholders'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251065"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Six months ended June 30, 2019 and 2018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7"/>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760" w:type="dxa"/>
            <w:vAlign w:val="bottom"/>
            <w:gridSpan w:val="5"/>
          </w:tcPr>
          <w:p>
            <w:pPr>
              <w:jc w:val="right"/>
              <w:ind w:right="248"/>
              <w:spacing w:after="0"/>
              <w:rPr>
                <w:sz w:val="20"/>
                <w:szCs w:val="20"/>
                <w:color w:val="auto"/>
              </w:rPr>
            </w:pPr>
            <w:r>
              <w:rPr>
                <w:rFonts w:ascii="Arial" w:cs="Arial" w:eastAsia="Arial" w:hAnsi="Arial"/>
                <w:sz w:val="14"/>
                <w:szCs w:val="14"/>
                <w:b w:val="1"/>
                <w:bCs w:val="1"/>
                <w:color w:val="auto"/>
              </w:rPr>
              <w:t>Preferred Stock</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in Excess</w:t>
            </w:r>
          </w:p>
        </w:tc>
        <w:tc>
          <w:tcPr>
            <w:tcW w:w="80" w:type="dxa"/>
            <w:vAlign w:val="bottom"/>
          </w:tcPr>
          <w:p>
            <w:pPr>
              <w:spacing w:after="0"/>
              <w:rPr>
                <w:sz w:val="15"/>
                <w:szCs w:val="15"/>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3"/>
              </w:rPr>
              <w:t>Comprehensive</w:t>
            </w:r>
          </w:p>
        </w:tc>
        <w:tc>
          <w:tcPr>
            <w:tcW w:w="120" w:type="dxa"/>
            <w:vAlign w:val="bottom"/>
          </w:tcPr>
          <w:p>
            <w:pPr>
              <w:spacing w:after="0"/>
              <w:rPr>
                <w:sz w:val="15"/>
                <w:szCs w:val="15"/>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Retained</w:t>
            </w:r>
          </w:p>
        </w:tc>
        <w:tc>
          <w:tcPr>
            <w:tcW w:w="19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4"/>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300"/>
              <w:spacing w:after="0" w:line="144" w:lineRule="exact"/>
              <w:rPr>
                <w:sz w:val="20"/>
                <w:szCs w:val="20"/>
                <w:color w:val="auto"/>
              </w:rPr>
            </w:pPr>
            <w:r>
              <w:rPr>
                <w:rFonts w:ascii="Arial" w:cs="Arial" w:eastAsia="Arial" w:hAnsi="Arial"/>
                <w:sz w:val="14"/>
                <w:szCs w:val="14"/>
                <w:b w:val="1"/>
                <w:bCs w:val="1"/>
                <w:color w:val="auto"/>
                <w:w w:val="93"/>
              </w:rPr>
              <w:t>Income</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7"/>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w w:val="98"/>
              </w:rPr>
              <w:t>Shares</w:t>
            </w:r>
          </w:p>
        </w:tc>
        <w:tc>
          <w:tcPr>
            <w:tcW w:w="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 Par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(Loss)</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6"/>
              </w:rPr>
              <w:t>Earnings</w:t>
            </w:r>
          </w:p>
        </w:tc>
        <w:tc>
          <w:tcPr>
            <w:tcW w:w="200" w:type="dxa"/>
            <w:vAlign w:val="bottom"/>
          </w:tcPr>
          <w:p>
            <w:pPr>
              <w:spacing w:after="0"/>
              <w:rPr>
                <w:sz w:val="15"/>
                <w:szCs w:val="15"/>
                <w:color w:val="auto"/>
              </w:rPr>
            </w:pPr>
          </w:p>
        </w:tc>
        <w:tc>
          <w:tcPr>
            <w:tcW w:w="8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r>
      <w:tr>
        <w:trPr>
          <w:trHeight w:val="148"/>
        </w:trPr>
        <w:tc>
          <w:tcPr>
            <w:tcW w:w="20" w:type="dxa"/>
            <w:vAlign w:val="bottom"/>
          </w:tcPr>
          <w:p>
            <w:pPr>
              <w:spacing w:after="0"/>
              <w:rPr>
                <w:sz w:val="12"/>
                <w:szCs w:val="12"/>
                <w:color w:val="auto"/>
              </w:rPr>
            </w:pPr>
          </w:p>
        </w:tc>
        <w:tc>
          <w:tcPr>
            <w:tcW w:w="194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Balance, January 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4"/>
                <w:szCs w:val="14"/>
                <w:color w:val="auto"/>
              </w:rPr>
              <w:t>2019</w:t>
            </w:r>
          </w:p>
        </w:tc>
        <w:tc>
          <w:tcPr>
            <w:tcW w:w="70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11,775,148</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117,751</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67,763,940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7"/>
              </w:rPr>
              <w:t>(2,884,313)</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6"/>
              </w:rPr>
              <w:t>26,380,816</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1,027,439</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(2,712,552)</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6"/>
              </w:rPr>
              <w:t>88,665,642</w:t>
            </w:r>
          </w:p>
        </w:tc>
      </w:tr>
      <w:tr>
        <w:trPr>
          <w:trHeight w:val="148"/>
        </w:trPr>
        <w:tc>
          <w:tcPr>
            <w:tcW w:w="20" w:type="dxa"/>
            <w:vAlign w:val="bottom"/>
          </w:tcPr>
          <w:p>
            <w:pPr>
              <w:spacing w:after="0"/>
              <w:rPr>
                <w:sz w:val="12"/>
                <w:szCs w:val="12"/>
                <w:color w:val="auto"/>
              </w:rPr>
            </w:pPr>
          </w:p>
        </w:tc>
        <w:tc>
          <w:tcPr>
            <w:tcW w:w="1940" w:type="dxa"/>
            <w:vAlign w:val="bottom"/>
            <w:gridSpan w:val="2"/>
          </w:tcPr>
          <w:p>
            <w:pPr>
              <w:spacing w:after="0" w:line="147" w:lineRule="exact"/>
              <w:rPr>
                <w:sz w:val="20"/>
                <w:szCs w:val="20"/>
                <w:color w:val="auto"/>
              </w:rPr>
            </w:pPr>
            <w:r>
              <w:rPr>
                <w:rFonts w:ascii="Arial" w:cs="Arial" w:eastAsia="Arial" w:hAnsi="Arial"/>
                <w:sz w:val="14"/>
                <w:szCs w:val="14"/>
                <w:color w:val="auto"/>
              </w:rPr>
              <w:t>Stock-based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6"/>
        </w:trPr>
        <w:tc>
          <w:tcPr>
            <w:tcW w:w="1960" w:type="dxa"/>
            <w:vAlign w:val="bottom"/>
            <w:gridSpan w:val="3"/>
          </w:tcPr>
          <w:p>
            <w:pPr>
              <w:spacing w:after="0"/>
              <w:rPr>
                <w:sz w:val="20"/>
                <w:szCs w:val="20"/>
                <w:color w:val="auto"/>
              </w:rPr>
            </w:pPr>
            <w:r>
              <w:rPr>
                <w:rFonts w:ascii="Arial" w:cs="Arial" w:eastAsia="Arial" w:hAnsi="Arial"/>
                <w:sz w:val="14"/>
                <w:szCs w:val="14"/>
                <w:color w:val="auto"/>
              </w:rPr>
              <w:t>compensation</w:t>
            </w:r>
          </w:p>
        </w:tc>
        <w:tc>
          <w:tcPr>
            <w:tcW w:w="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709,207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709,207</w:t>
            </w:r>
          </w:p>
        </w:tc>
      </w:tr>
      <w:tr>
        <w:trPr>
          <w:trHeight w:val="148"/>
        </w:trPr>
        <w:tc>
          <w:tcPr>
            <w:tcW w:w="20" w:type="dxa"/>
            <w:vAlign w:val="bottom"/>
          </w:tcPr>
          <w:p>
            <w:pPr>
              <w:spacing w:after="0"/>
              <w:rPr>
                <w:sz w:val="12"/>
                <w:szCs w:val="12"/>
                <w:color w:val="auto"/>
              </w:rPr>
            </w:pPr>
          </w:p>
        </w:tc>
        <w:tc>
          <w:tcPr>
            <w:tcW w:w="194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Vesting of</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57"/>
        </w:trPr>
        <w:tc>
          <w:tcPr>
            <w:tcW w:w="20" w:type="dxa"/>
            <w:vAlign w:val="bottom"/>
          </w:tcPr>
          <w:p>
            <w:pPr>
              <w:spacing w:after="0"/>
              <w:rPr>
                <w:sz w:val="13"/>
                <w:szCs w:val="13"/>
                <w:color w:val="auto"/>
              </w:rPr>
            </w:pPr>
          </w:p>
        </w:tc>
        <w:tc>
          <w:tcPr>
            <w:tcW w:w="194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restricted stock</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6"/>
        </w:trPr>
        <w:tc>
          <w:tcPr>
            <w:tcW w:w="20" w:type="dxa"/>
            <w:vAlign w:val="bottom"/>
          </w:tcPr>
          <w:p>
            <w:pPr>
              <w:spacing w:after="0"/>
              <w:rPr>
                <w:sz w:val="14"/>
                <w:szCs w:val="14"/>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awards</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31,546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314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(314)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48"/>
        </w:trPr>
        <w:tc>
          <w:tcPr>
            <w:tcW w:w="20" w:type="dxa"/>
            <w:vAlign w:val="bottom"/>
          </w:tcPr>
          <w:p>
            <w:pPr>
              <w:spacing w:after="0"/>
              <w:rPr>
                <w:sz w:val="12"/>
                <w:szCs w:val="12"/>
                <w:color w:val="auto"/>
              </w:rPr>
            </w:pPr>
          </w:p>
        </w:tc>
        <w:tc>
          <w:tcPr>
            <w:tcW w:w="1940" w:type="dxa"/>
            <w:vAlign w:val="bottom"/>
            <w:gridSpan w:val="2"/>
          </w:tcPr>
          <w:p>
            <w:pPr>
              <w:spacing w:after="0" w:line="147" w:lineRule="exact"/>
              <w:rPr>
                <w:sz w:val="20"/>
                <w:szCs w:val="20"/>
                <w:color w:val="auto"/>
              </w:rPr>
            </w:pPr>
            <w:r>
              <w:rPr>
                <w:rFonts w:ascii="Arial" w:cs="Arial" w:eastAsia="Arial" w:hAnsi="Arial"/>
                <w:sz w:val="14"/>
                <w:szCs w:val="14"/>
                <w:color w:val="auto"/>
              </w:rPr>
              <w:t>Shares deducted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7"/>
        </w:trPr>
        <w:tc>
          <w:tcPr>
            <w:tcW w:w="1960" w:type="dxa"/>
            <w:vAlign w:val="bottom"/>
            <w:gridSpan w:val="3"/>
          </w:tcPr>
          <w:p>
            <w:pPr>
              <w:spacing w:after="0" w:line="157" w:lineRule="exact"/>
              <w:rPr>
                <w:sz w:val="20"/>
                <w:szCs w:val="20"/>
                <w:color w:val="auto"/>
              </w:rPr>
            </w:pPr>
            <w:r>
              <w:rPr>
                <w:rFonts w:ascii="Arial" w:cs="Arial" w:eastAsia="Arial" w:hAnsi="Arial"/>
                <w:sz w:val="14"/>
                <w:szCs w:val="14"/>
                <w:color w:val="auto"/>
              </w:rPr>
              <w:t>from restricted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6"/>
        </w:trPr>
        <w:tc>
          <w:tcPr>
            <w:tcW w:w="1960" w:type="dxa"/>
            <w:vAlign w:val="bottom"/>
            <w:gridSpan w:val="3"/>
          </w:tcPr>
          <w:p>
            <w:pPr>
              <w:spacing w:after="0"/>
              <w:rPr>
                <w:sz w:val="20"/>
                <w:szCs w:val="20"/>
                <w:color w:val="auto"/>
              </w:rPr>
            </w:pPr>
            <w:r>
              <w:rPr>
                <w:rFonts w:ascii="Arial" w:cs="Arial" w:eastAsia="Arial" w:hAnsi="Arial"/>
                <w:sz w:val="14"/>
                <w:szCs w:val="14"/>
                <w:color w:val="auto"/>
              </w:rPr>
              <w:t>stock</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8"/>
        </w:trPr>
        <w:tc>
          <w:tcPr>
            <w:tcW w:w="20" w:type="dxa"/>
            <w:vAlign w:val="bottom"/>
          </w:tcPr>
          <w:p>
            <w:pPr>
              <w:spacing w:after="0"/>
              <w:rPr>
                <w:sz w:val="12"/>
                <w:szCs w:val="12"/>
                <w:color w:val="auto"/>
              </w:rPr>
            </w:pPr>
          </w:p>
        </w:tc>
        <w:tc>
          <w:tcPr>
            <w:tcW w:w="194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awards for payment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57"/>
        </w:trPr>
        <w:tc>
          <w:tcPr>
            <w:tcW w:w="20" w:type="dxa"/>
            <w:vAlign w:val="bottom"/>
          </w:tcPr>
          <w:p>
            <w:pPr>
              <w:spacing w:after="0"/>
              <w:rPr>
                <w:sz w:val="13"/>
                <w:szCs w:val="13"/>
                <w:color w:val="auto"/>
              </w:rPr>
            </w:pPr>
          </w:p>
        </w:tc>
        <w:tc>
          <w:tcPr>
            <w:tcW w:w="194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of withholding</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6"/>
        </w:trPr>
        <w:tc>
          <w:tcPr>
            <w:tcW w:w="20" w:type="dxa"/>
            <w:vAlign w:val="bottom"/>
          </w:tcPr>
          <w:p>
            <w:pPr>
              <w:spacing w:after="0"/>
              <w:rPr>
                <w:sz w:val="14"/>
                <w:szCs w:val="14"/>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taxes</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(7,607)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(122,763)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(122,838)</w:t>
            </w:r>
          </w:p>
        </w:tc>
      </w:tr>
      <w:tr>
        <w:trPr>
          <w:trHeight w:val="148"/>
        </w:trPr>
        <w:tc>
          <w:tcPr>
            <w:tcW w:w="20" w:type="dxa"/>
            <w:vAlign w:val="bottom"/>
          </w:tcPr>
          <w:p>
            <w:pPr>
              <w:spacing w:after="0"/>
              <w:rPr>
                <w:sz w:val="12"/>
                <w:szCs w:val="12"/>
                <w:color w:val="auto"/>
              </w:rPr>
            </w:pPr>
          </w:p>
        </w:tc>
        <w:tc>
          <w:tcPr>
            <w:tcW w:w="1940" w:type="dxa"/>
            <w:vAlign w:val="bottom"/>
            <w:gridSpan w:val="2"/>
          </w:tcPr>
          <w:p>
            <w:pPr>
              <w:spacing w:after="0" w:line="147" w:lineRule="exact"/>
              <w:rPr>
                <w:sz w:val="20"/>
                <w:szCs w:val="20"/>
                <w:color w:val="auto"/>
              </w:rPr>
            </w:pPr>
            <w:r>
              <w:rPr>
                <w:rFonts w:ascii="Arial" w:cs="Arial" w:eastAsia="Arial" w:hAnsi="Arial"/>
                <w:sz w:val="14"/>
                <w:szCs w:val="14"/>
                <w:color w:val="auto"/>
              </w:rPr>
              <w:t>Exercise of stock</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6"/>
        </w:trPr>
        <w:tc>
          <w:tcPr>
            <w:tcW w:w="1960" w:type="dxa"/>
            <w:vAlign w:val="bottom"/>
            <w:gridSpan w:val="3"/>
          </w:tcPr>
          <w:p>
            <w:pPr>
              <w:spacing w:after="0"/>
              <w:rPr>
                <w:sz w:val="20"/>
                <w:szCs w:val="20"/>
                <w:color w:val="auto"/>
              </w:rPr>
            </w:pPr>
            <w:r>
              <w:rPr>
                <w:rFonts w:ascii="Arial" w:cs="Arial" w:eastAsia="Arial" w:hAnsi="Arial"/>
                <w:sz w:val="14"/>
                <w:szCs w:val="14"/>
                <w:color w:val="auto"/>
              </w:rPr>
              <w:t>options</w:t>
            </w:r>
          </w:p>
        </w:tc>
        <w:tc>
          <w:tcPr>
            <w:tcW w:w="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3,000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23,520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23,550</w:t>
            </w:r>
          </w:p>
        </w:tc>
      </w:tr>
      <w:tr>
        <w:trPr>
          <w:trHeight w:val="157"/>
        </w:trPr>
        <w:tc>
          <w:tcPr>
            <w:tcW w:w="20" w:type="dxa"/>
            <w:vAlign w:val="bottom"/>
          </w:tcPr>
          <w:p>
            <w:pPr>
              <w:spacing w:after="0"/>
              <w:rPr>
                <w:sz w:val="13"/>
                <w:szCs w:val="13"/>
                <w:color w:val="auto"/>
              </w:rPr>
            </w:pPr>
          </w:p>
        </w:tc>
        <w:tc>
          <w:tcPr>
            <w:tcW w:w="194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Dividends</w:t>
            </w:r>
          </w:p>
        </w:tc>
        <w:tc>
          <w:tcPr>
            <w:tcW w:w="22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(2,153,349)</w:t>
            </w:r>
          </w:p>
        </w:tc>
        <w:tc>
          <w:tcPr>
            <w:tcW w:w="92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(2,153,349)</w:t>
            </w:r>
          </w:p>
        </w:tc>
      </w:tr>
      <w:tr>
        <w:trPr>
          <w:trHeight w:val="157"/>
        </w:trPr>
        <w:tc>
          <w:tcPr>
            <w:tcW w:w="20" w:type="dxa"/>
            <w:vAlign w:val="bottom"/>
          </w:tcPr>
          <w:p>
            <w:pPr>
              <w:spacing w:after="0"/>
              <w:rPr>
                <w:sz w:val="13"/>
                <w:szCs w:val="13"/>
                <w:color w:val="auto"/>
              </w:rPr>
            </w:pPr>
          </w:p>
        </w:tc>
        <w:tc>
          <w:tcPr>
            <w:tcW w:w="1940" w:type="dxa"/>
            <w:vAlign w:val="bottom"/>
            <w:gridSpan w:val="2"/>
          </w:tcPr>
          <w:p>
            <w:pPr>
              <w:spacing w:after="0" w:line="157" w:lineRule="exact"/>
              <w:rPr>
                <w:sz w:val="20"/>
                <w:szCs w:val="20"/>
                <w:color w:val="auto"/>
              </w:rPr>
            </w:pPr>
            <w:r>
              <w:rPr>
                <w:rFonts w:ascii="Arial" w:cs="Arial" w:eastAsia="Arial" w:hAnsi="Arial"/>
                <w:sz w:val="14"/>
                <w:szCs w:val="14"/>
                <w:color w:val="auto"/>
              </w:rPr>
              <w:t>Net loss</w:t>
            </w:r>
          </w:p>
        </w:tc>
        <w:tc>
          <w:tcPr>
            <w:tcW w:w="22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(5,695,810)</w:t>
            </w:r>
          </w:p>
        </w:tc>
        <w:tc>
          <w:tcPr>
            <w:tcW w:w="92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(5,695,810)</w:t>
            </w:r>
          </w:p>
        </w:tc>
      </w:tr>
      <w:tr>
        <w:trPr>
          <w:trHeight w:val="148"/>
        </w:trPr>
        <w:tc>
          <w:tcPr>
            <w:tcW w:w="20" w:type="dxa"/>
            <w:vAlign w:val="bottom"/>
          </w:tcPr>
          <w:p>
            <w:pPr>
              <w:spacing w:after="0"/>
              <w:rPr>
                <w:sz w:val="12"/>
                <w:szCs w:val="12"/>
                <w:color w:val="auto"/>
              </w:rPr>
            </w:pPr>
          </w:p>
        </w:tc>
        <w:tc>
          <w:tcPr>
            <w:tcW w:w="194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Change in</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57"/>
        </w:trPr>
        <w:tc>
          <w:tcPr>
            <w:tcW w:w="20" w:type="dxa"/>
            <w:vAlign w:val="bottom"/>
          </w:tcPr>
          <w:p>
            <w:pPr>
              <w:spacing w:after="0"/>
              <w:rPr>
                <w:sz w:val="13"/>
                <w:szCs w:val="13"/>
                <w:color w:val="auto"/>
              </w:rPr>
            </w:pPr>
          </w:p>
        </w:tc>
        <w:tc>
          <w:tcPr>
            <w:tcW w:w="194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unrealized gains on</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6"/>
        </w:trPr>
        <w:tc>
          <w:tcPr>
            <w:tcW w:w="20" w:type="dxa"/>
            <w:vAlign w:val="bottom"/>
          </w:tcPr>
          <w:p>
            <w:pPr>
              <w:spacing w:after="0"/>
              <w:rPr>
                <w:sz w:val="14"/>
                <w:szCs w:val="14"/>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available-</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48"/>
        </w:trPr>
        <w:tc>
          <w:tcPr>
            <w:tcW w:w="20" w:type="dxa"/>
            <w:vAlign w:val="bottom"/>
          </w:tcPr>
          <w:p>
            <w:pPr>
              <w:spacing w:after="0"/>
              <w:rPr>
                <w:sz w:val="12"/>
                <w:szCs w:val="12"/>
                <w:color w:val="auto"/>
              </w:rPr>
            </w:pPr>
          </w:p>
        </w:tc>
        <w:tc>
          <w:tcPr>
            <w:tcW w:w="1940" w:type="dxa"/>
            <w:vAlign w:val="bottom"/>
            <w:gridSpan w:val="2"/>
          </w:tcPr>
          <w:p>
            <w:pPr>
              <w:spacing w:after="0" w:line="147" w:lineRule="exact"/>
              <w:rPr>
                <w:sz w:val="20"/>
                <w:szCs w:val="20"/>
                <w:color w:val="auto"/>
              </w:rPr>
            </w:pPr>
            <w:r>
              <w:rPr>
                <w:rFonts w:ascii="Arial" w:cs="Arial" w:eastAsia="Arial" w:hAnsi="Arial"/>
                <w:sz w:val="14"/>
                <w:szCs w:val="14"/>
                <w:color w:val="auto"/>
              </w:rPr>
              <w:t>for-sale securities,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3"/>
        </w:trPr>
        <w:tc>
          <w:tcPr>
            <w:tcW w:w="1260" w:type="dxa"/>
            <w:vAlign w:val="bottom"/>
            <w:gridSpan w:val="2"/>
          </w:tcPr>
          <w:p>
            <w:pPr>
              <w:spacing w:after="0"/>
              <w:rPr>
                <w:sz w:val="20"/>
                <w:szCs w:val="20"/>
                <w:color w:val="auto"/>
              </w:rPr>
            </w:pPr>
            <w:r>
              <w:rPr>
                <w:rFonts w:ascii="Arial" w:cs="Arial" w:eastAsia="Arial" w:hAnsi="Arial"/>
                <w:sz w:val="14"/>
                <w:szCs w:val="14"/>
                <w:color w:val="auto"/>
              </w:rPr>
              <w:t>net of tax</w:t>
            </w:r>
          </w:p>
        </w:tc>
        <w:tc>
          <w:tcPr>
            <w:tcW w:w="700" w:type="dxa"/>
            <w:vAlign w:val="bottom"/>
          </w:tcPr>
          <w:p>
            <w:pPr>
              <w:spacing w:after="0"/>
              <w:rPr>
                <w:sz w:val="15"/>
                <w:szCs w:val="15"/>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6,243,360</w:t>
            </w:r>
          </w:p>
        </w:tc>
        <w:tc>
          <w:tcPr>
            <w:tcW w:w="12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6,243,360</w:t>
            </w:r>
          </w:p>
        </w:tc>
      </w:tr>
      <w:tr>
        <w:trPr>
          <w:trHeight w:val="148"/>
        </w:trPr>
        <w:tc>
          <w:tcPr>
            <w:tcW w:w="20" w:type="dxa"/>
            <w:vAlign w:val="bottom"/>
          </w:tcPr>
          <w:p>
            <w:pPr>
              <w:spacing w:after="0"/>
              <w:rPr>
                <w:sz w:val="12"/>
                <w:szCs w:val="12"/>
                <w:color w:val="auto"/>
              </w:rPr>
            </w:pPr>
          </w:p>
        </w:tc>
        <w:tc>
          <w:tcPr>
            <w:tcW w:w="124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Balance, June 30,</w:t>
            </w: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86"/>
        </w:trPr>
        <w:tc>
          <w:tcPr>
            <w:tcW w:w="20" w:type="dxa"/>
            <w:vAlign w:val="bottom"/>
          </w:tcPr>
          <w:p>
            <w:pPr>
              <w:spacing w:after="0"/>
              <w:rPr>
                <w:sz w:val="16"/>
                <w:szCs w:val="16"/>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4"/>
                <w:szCs w:val="14"/>
                <w:color w:val="auto"/>
              </w:rPr>
              <w:t>2019</w:t>
            </w:r>
          </w:p>
        </w:tc>
        <w:tc>
          <w:tcPr>
            <w:tcW w:w="70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11,802,087</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118,020</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68,373,590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3,359,047</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6"/>
              </w:rPr>
              <w:t>18,531,657</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1,027,439</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(2,712,552)</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6"/>
              </w:rPr>
              <w:t>87,669,762</w:t>
            </w:r>
          </w:p>
        </w:tc>
      </w:tr>
      <w:tr>
        <w:trPr>
          <w:trHeight w:val="20"/>
        </w:trPr>
        <w:tc>
          <w:tcPr>
            <w:tcW w:w="20" w:type="dxa"/>
            <w:vAlign w:val="bottom"/>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3" w:right="239" w:bottom="1440" w:gutter="0" w:footer="0" w:header="0"/>
        </w:sectPr>
      </w:pPr>
    </w:p>
    <w:bookmarkStart w:id="8" w:name="page9"/>
    <w:bookmarkEnd w:id="8"/>
    <w:p>
      <w:pPr>
        <w:ind w:left="7240"/>
        <w:spacing w:after="0"/>
        <w:rPr>
          <w:sz w:val="20"/>
          <w:szCs w:val="20"/>
          <w:color w:val="auto"/>
        </w:rPr>
      </w:pPr>
      <w:r>
        <w:rPr>
          <w:rFonts w:ascii="Arial" w:cs="Arial" w:eastAsia="Arial" w:hAnsi="Arial"/>
          <w:sz w:val="16"/>
          <w:szCs w:val="16"/>
          <w:b w:val="1"/>
          <w:bCs w:val="1"/>
          <w:color w:val="auto"/>
        </w:rPr>
        <w:t>KINGSTONE COMPANIES, INC. AND SUBSIDIARIES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251065"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380" w:type="dxa"/>
            <w:vAlign w:val="bottom"/>
            <w:tcBorders>
              <w:bottom w:val="single" w:sz="8" w:color="auto"/>
            </w:tcBorders>
            <w:gridSpan w:val="2"/>
          </w:tcPr>
          <w:p>
            <w:pPr>
              <w:spacing w:after="0"/>
              <w:rPr>
                <w:sz w:val="20"/>
                <w:szCs w:val="20"/>
                <w:color w:val="auto"/>
              </w:rPr>
            </w:pPr>
            <w:r>
              <w:rPr>
                <w:rFonts w:ascii="Arial" w:cs="Arial" w:eastAsia="Arial" w:hAnsi="Arial"/>
                <w:sz w:val="17"/>
                <w:szCs w:val="17"/>
                <w:i w:val="1"/>
                <w:iCs w:val="1"/>
                <w:color w:val="auto"/>
              </w:rPr>
              <w:t>Six months ended June 30,</w:t>
            </w:r>
          </w:p>
        </w:tc>
        <w:tc>
          <w:tcPr>
            <w:tcW w:w="14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69"/>
        </w:trPr>
        <w:tc>
          <w:tcPr>
            <w:tcW w:w="7380" w:type="dxa"/>
            <w:vAlign w:val="bottom"/>
            <w:gridSpan w:val="2"/>
          </w:tcPr>
          <w:p>
            <w:pPr>
              <w:spacing w:after="0"/>
              <w:rPr>
                <w:sz w:val="20"/>
                <w:szCs w:val="20"/>
                <w:color w:val="auto"/>
              </w:rPr>
            </w:pPr>
            <w:r>
              <w:rPr>
                <w:rFonts w:ascii="Arial" w:cs="Arial" w:eastAsia="Arial" w:hAnsi="Arial"/>
                <w:sz w:val="17"/>
                <w:szCs w:val="17"/>
                <w:b w:val="1"/>
                <w:bCs w:val="1"/>
                <w:color w:val="auto"/>
              </w:rPr>
              <w:t>Cash flows from operating activities</w:t>
            </w:r>
            <w:r>
              <w:rPr>
                <w:rFonts w:ascii="Arial" w:cs="Arial" w:eastAsia="Arial" w:hAnsi="Arial"/>
                <w:sz w:val="17"/>
                <w:szCs w:val="17"/>
                <w:color w:val="auto"/>
              </w:rPr>
              <w:t>:</w:t>
            </w: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7"/>
                <w:szCs w:val="17"/>
                <w:color w:val="auto"/>
              </w:rPr>
              <w:t>Net (loss) income</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(5,695,810)</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80" w:type="dxa"/>
            <w:vAlign w:val="bottom"/>
            <w:gridSpan w:val="2"/>
          </w:tcPr>
          <w:p>
            <w:pPr>
              <w:spacing w:after="0"/>
              <w:rPr>
                <w:sz w:val="20"/>
                <w:szCs w:val="20"/>
                <w:color w:val="auto"/>
              </w:rPr>
            </w:pPr>
            <w:r>
              <w:rPr>
                <w:rFonts w:ascii="Arial" w:cs="Arial" w:eastAsia="Arial" w:hAnsi="Arial"/>
                <w:sz w:val="17"/>
                <w:szCs w:val="17"/>
                <w:color w:val="auto"/>
              </w:rPr>
              <w:t>Adjustments to reconcile net income to net cash flows provided by operating activities:</w:t>
            </w: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(gains) losses on sale of investments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(931)</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320,149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tcPr>
          <w:p>
            <w:pPr>
              <w:ind w:left="140"/>
              <w:spacing w:after="0"/>
              <w:rPr>
                <w:sz w:val="20"/>
                <w:szCs w:val="20"/>
                <w:color w:val="auto"/>
              </w:rPr>
            </w:pPr>
            <w:r>
              <w:rPr>
                <w:rFonts w:ascii="Arial" w:cs="Arial" w:eastAsia="Arial" w:hAnsi="Arial"/>
                <w:sz w:val="17"/>
                <w:szCs w:val="17"/>
                <w:color w:val="auto"/>
              </w:rPr>
              <w:t>Net unrealized (gains) losses of equity investments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(2,232,438)</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430,411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unrealized gains of other investments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(480,649)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(120,700)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tcPr>
          <w:p>
            <w:pPr>
              <w:ind w:left="140"/>
              <w:spacing w:after="0"/>
              <w:rPr>
                <w:sz w:val="20"/>
                <w:szCs w:val="20"/>
                <w:color w:val="auto"/>
              </w:rPr>
            </w:pPr>
            <w:r>
              <w:rPr>
                <w:rFonts w:ascii="Arial" w:cs="Arial" w:eastAsia="Arial" w:hAnsi="Arial"/>
                <w:sz w:val="17"/>
                <w:szCs w:val="17"/>
                <w:color w:val="auto"/>
              </w:rPr>
              <w:t>Depreciation and amortization</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1,230,001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833,592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Amortization of bond premium, net</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188,778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174,110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tcPr>
          <w:p>
            <w:pPr>
              <w:ind w:left="140"/>
              <w:spacing w:after="0"/>
              <w:rPr>
                <w:sz w:val="20"/>
                <w:szCs w:val="20"/>
                <w:color w:val="auto"/>
              </w:rPr>
            </w:pPr>
            <w:r>
              <w:rPr>
                <w:rFonts w:ascii="Arial" w:cs="Arial" w:eastAsia="Arial" w:hAnsi="Arial"/>
                <w:sz w:val="17"/>
                <w:szCs w:val="17"/>
                <w:color w:val="auto"/>
              </w:rPr>
              <w:t>Amortization of discount and issuance costs on long-term debt</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88,090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80,196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Stock-based compensation</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709,207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284,477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tcPr>
          <w:p>
            <w:pPr>
              <w:ind w:left="140"/>
              <w:spacing w:after="0"/>
              <w:rPr>
                <w:sz w:val="20"/>
                <w:szCs w:val="20"/>
                <w:color w:val="auto"/>
              </w:rPr>
            </w:pPr>
            <w:r>
              <w:rPr>
                <w:rFonts w:ascii="Arial" w:cs="Arial" w:eastAsia="Arial" w:hAnsi="Arial"/>
                <w:sz w:val="17"/>
                <w:szCs w:val="17"/>
                <w:color w:val="auto"/>
              </w:rPr>
              <w:t>Deferred income tax benefit</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(1,521,867)</w:t>
            </w: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(183,840)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7"/>
                <w:szCs w:val="17"/>
                <w:color w:val="auto"/>
              </w:rPr>
              <w:t>(Increase) decrease in operating assets: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tcPr>
          <w:p>
            <w:pPr>
              <w:ind w:left="140"/>
              <w:spacing w:after="0"/>
              <w:rPr>
                <w:sz w:val="20"/>
                <w:szCs w:val="20"/>
                <w:color w:val="auto"/>
              </w:rPr>
            </w:pPr>
            <w:r>
              <w:rPr>
                <w:rFonts w:ascii="Arial" w:cs="Arial" w:eastAsia="Arial" w:hAnsi="Arial"/>
                <w:sz w:val="17"/>
                <w:szCs w:val="17"/>
                <w:color w:val="auto"/>
              </w:rPr>
              <w:t>Premiums receivable, net</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(996,601)</w:t>
            </w: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(1,119,494)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Reinsurance receivables, net</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(2,276,245)</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626,726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tcPr>
          <w:p>
            <w:pPr>
              <w:ind w:left="140"/>
              <w:spacing w:after="0"/>
              <w:rPr>
                <w:sz w:val="20"/>
                <w:szCs w:val="20"/>
                <w:color w:val="auto"/>
              </w:rPr>
            </w:pPr>
            <w:r>
              <w:rPr>
                <w:rFonts w:ascii="Arial" w:cs="Arial" w:eastAsia="Arial" w:hAnsi="Arial"/>
                <w:sz w:val="17"/>
                <w:szCs w:val="17"/>
                <w:color w:val="auto"/>
              </w:rPr>
              <w:t>Deferred policy acquisition costs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(1,506,072)</w:t>
            </w: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(1,224,520)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assets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(329,335)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(1,400,192)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7"/>
                <w:szCs w:val="17"/>
                <w:color w:val="auto"/>
              </w:rPr>
              <w:t>Increase (decrease) in operating liabilities: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Loss and loss adjustment expense reserves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13,478,014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458,234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tcPr>
          <w:p>
            <w:pPr>
              <w:ind w:left="140"/>
              <w:spacing w:after="0"/>
              <w:rPr>
                <w:sz w:val="20"/>
                <w:szCs w:val="20"/>
                <w:color w:val="auto"/>
              </w:rPr>
            </w:pPr>
            <w:r>
              <w:rPr>
                <w:rFonts w:ascii="Arial" w:cs="Arial" w:eastAsia="Arial" w:hAnsi="Arial"/>
                <w:sz w:val="17"/>
                <w:szCs w:val="17"/>
                <w:color w:val="auto"/>
              </w:rPr>
              <w:t>Unearned premiums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6,456,015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5,492,266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Advance premiums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1,360,596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1,354,136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tcPr>
          <w:p>
            <w:pPr>
              <w:ind w:left="140"/>
              <w:spacing w:after="0"/>
              <w:rPr>
                <w:sz w:val="20"/>
                <w:szCs w:val="20"/>
                <w:color w:val="auto"/>
              </w:rPr>
            </w:pPr>
            <w:r>
              <w:rPr>
                <w:rFonts w:ascii="Arial" w:cs="Arial" w:eastAsia="Arial" w:hAnsi="Arial"/>
                <w:sz w:val="17"/>
                <w:szCs w:val="17"/>
                <w:color w:val="auto"/>
              </w:rPr>
              <w:t>Reinsurance balances payable</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873,527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1,621,658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Deferred ceding commission revenue</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413,479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492,722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60" w:type="dxa"/>
            <w:vAlign w:val="bottom"/>
          </w:tcPr>
          <w:p>
            <w:pPr>
              <w:ind w:left="140"/>
              <w:spacing w:after="0"/>
              <w:rPr>
                <w:sz w:val="20"/>
                <w:szCs w:val="20"/>
                <w:color w:val="auto"/>
              </w:rPr>
            </w:pPr>
            <w:r>
              <w:rPr>
                <w:rFonts w:ascii="Arial" w:cs="Arial" w:eastAsia="Arial" w:hAnsi="Arial"/>
                <w:sz w:val="17"/>
                <w:szCs w:val="17"/>
                <w:color w:val="auto"/>
              </w:rPr>
              <w:t>Accounts payable, accrued expenses and other liabilities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1,042,925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(2,206,196)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Net cash flows provided by operating activities</w:t>
            </w:r>
          </w:p>
        </w:tc>
        <w:tc>
          <w:tcPr>
            <w:tcW w:w="14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10,800,684</w:t>
            </w:r>
          </w:p>
        </w:tc>
        <w:tc>
          <w:tcPr>
            <w:tcW w:w="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5,953,098</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investing activities</w:t>
            </w:r>
            <w:r>
              <w:rPr>
                <w:rFonts w:ascii="Arial" w:cs="Arial" w:eastAsia="Arial" w:hAnsi="Arial"/>
                <w:sz w:val="17"/>
                <w:szCs w:val="17"/>
                <w:color w:val="auto"/>
              </w:rPr>
              <w:t>:</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7"/>
                <w:szCs w:val="17"/>
                <w:color w:val="auto"/>
              </w:rPr>
              <w:t>Purchase - fixed-maturity securities available-for-sale</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w w:val="99"/>
              </w:rPr>
              <w:t>(11,867,613)</w:t>
            </w: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w w:val="97"/>
              </w:rPr>
              <w:t>(42,305,529)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7"/>
                <w:szCs w:val="17"/>
                <w:color w:val="auto"/>
              </w:rPr>
              <w:t>Purchase - equity securities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(4,461,684)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(8,221,931)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7"/>
                <w:szCs w:val="17"/>
                <w:color w:val="auto"/>
              </w:rPr>
              <w:t>Sale and redemption - fixed-maturity securities held-to-maturity</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400,000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7"/>
                <w:szCs w:val="17"/>
                <w:color w:val="auto"/>
              </w:rPr>
              <w:t>Sale or maturity - fixed-maturity securities available-for-sale</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6,987,908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15,172,845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7"/>
                <w:szCs w:val="17"/>
                <w:color w:val="auto"/>
              </w:rPr>
              <w:t>Sale - equity securities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503,884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4,746,825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7"/>
                <w:szCs w:val="17"/>
                <w:color w:val="auto"/>
              </w:rPr>
              <w:t>Acquisition of property and equipment</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(2,353,140)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(1,347,578)</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3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7"/>
                <w:szCs w:val="17"/>
                <w:b w:val="1"/>
                <w:bCs w:val="1"/>
                <w:color w:val="auto"/>
              </w:rPr>
              <w:t>Net cash flows used in investing activitie</w:t>
            </w:r>
            <w:r>
              <w:rPr>
                <w:rFonts w:ascii="Arial" w:cs="Arial" w:eastAsia="Arial" w:hAnsi="Arial"/>
                <w:sz w:val="17"/>
                <w:szCs w:val="17"/>
                <w:color w:val="auto"/>
              </w:rPr>
              <w:t>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w w:val="99"/>
              </w:rPr>
              <w:t>(10,790,645)</w:t>
            </w: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w w:val="97"/>
              </w:rPr>
              <w:t>(31,955,368)</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7"/>
                <w:szCs w:val="17"/>
                <w:b w:val="1"/>
                <w:bCs w:val="1"/>
                <w:color w:val="auto"/>
              </w:rPr>
              <w:t>Cash flows from financing activities</w:t>
            </w:r>
            <w:r>
              <w:rPr>
                <w:rFonts w:ascii="Arial" w:cs="Arial" w:eastAsia="Arial" w:hAnsi="Arial"/>
                <w:sz w:val="17"/>
                <w:szCs w:val="17"/>
                <w:color w:val="auto"/>
              </w:rPr>
              <w:t>:</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7"/>
                <w:szCs w:val="17"/>
                <w:color w:val="auto"/>
              </w:rPr>
              <w:t>Proceeds from exercise of stock options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23,550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46,883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7"/>
                <w:szCs w:val="17"/>
                <w:color w:val="auto"/>
              </w:rPr>
              <w:t>Withholding taxes paid on net exercise of stock options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(341,770)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7"/>
                <w:szCs w:val="17"/>
                <w:color w:val="auto"/>
              </w:rPr>
              <w:t>Withholding taxes paid on vested retricted stock awards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(122,838)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(21,523)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7"/>
                <w:szCs w:val="17"/>
                <w:color w:val="auto"/>
              </w:rPr>
              <w:t>Purchase of treasury stock</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(540,223)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7"/>
                <w:szCs w:val="17"/>
                <w:color w:val="auto"/>
              </w:rPr>
              <w:t>Dividends paid</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(2,153,349)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(2,134,759)</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3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7"/>
                <w:szCs w:val="17"/>
                <w:b w:val="1"/>
                <w:bCs w:val="1"/>
                <w:color w:val="auto"/>
              </w:rPr>
              <w:t>Net cash flows used in financing activitie</w:t>
            </w:r>
            <w:r>
              <w:rPr>
                <w:rFonts w:ascii="Arial" w:cs="Arial" w:eastAsia="Arial" w:hAnsi="Arial"/>
                <w:sz w:val="17"/>
                <w:szCs w:val="17"/>
                <w:color w:val="auto"/>
              </w:rPr>
              <w:t>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(2,252,637)</w:t>
            </w: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(2,991,392)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7"/>
                <w:szCs w:val="17"/>
                <w:color w:val="auto"/>
              </w:rPr>
              <w:t>Decrease in cash and cash equivalents</w:t>
            </w:r>
          </w:p>
        </w:tc>
        <w:tc>
          <w:tcPr>
            <w:tcW w:w="16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(2,242,598)</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w w:val="97"/>
              </w:rPr>
              <w:t>(28,993,662)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 and cash equivalents, beginning of period</w:t>
            </w:r>
          </w:p>
        </w:tc>
        <w:tc>
          <w:tcPr>
            <w:tcW w:w="14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21,138,403</w:t>
            </w:r>
          </w:p>
        </w:tc>
        <w:tc>
          <w:tcPr>
            <w:tcW w:w="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48,381,633</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7"/>
                <w:szCs w:val="17"/>
                <w:b w:val="1"/>
                <w:bCs w:val="1"/>
                <w:color w:val="auto"/>
              </w:rPr>
              <w:t>Cash and cash equivalents, end of period</w:t>
            </w:r>
          </w:p>
        </w:tc>
        <w:tc>
          <w:tcPr>
            <w:tcW w:w="16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18,895,805</w:t>
            </w:r>
          </w:p>
        </w:tc>
        <w:tc>
          <w:tcPr>
            <w:tcW w:w="260" w:type="dxa"/>
            <w:vAlign w:val="bottom"/>
          </w:tcPr>
          <w:p>
            <w:pPr>
              <w:spacing w:after="0"/>
              <w:rPr>
                <w:sz w:val="18"/>
                <w:szCs w:val="18"/>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19,387,971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restart"/>
          </w:tcPr>
          <w:p>
            <w:pPr>
              <w:spacing w:after="0"/>
              <w:rPr>
                <w:sz w:val="17"/>
                <w:szCs w:val="17"/>
                <w:color w:val="auto"/>
              </w:rPr>
            </w:pPr>
          </w:p>
        </w:tc>
        <w:tc>
          <w:tcPr>
            <w:tcW w:w="73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7"/>
                <w:szCs w:val="17"/>
                <w:b w:val="1"/>
                <w:bCs w:val="1"/>
                <w:color w:val="auto"/>
              </w:rPr>
              <w:t>Supplemental disclosures of cash flow information:</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7"/>
                <w:szCs w:val="17"/>
                <w:color w:val="auto"/>
              </w:rPr>
              <w:t>Cash paid for income taxes</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388,000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801,000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7"/>
                <w:szCs w:val="17"/>
                <w:color w:val="auto"/>
              </w:rPr>
              <w:t>Cash paid for interest</w:t>
            </w:r>
          </w:p>
        </w:tc>
        <w:tc>
          <w:tcPr>
            <w:tcW w:w="16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825,000</w:t>
            </w:r>
          </w:p>
        </w:tc>
        <w:tc>
          <w:tcPr>
            <w:tcW w:w="260" w:type="dxa"/>
            <w:vAlign w:val="bottom"/>
          </w:tcPr>
          <w:p>
            <w:pPr>
              <w:spacing w:after="0"/>
              <w:rPr>
                <w:sz w:val="18"/>
                <w:szCs w:val="18"/>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875,417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3"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7"/>
          <w:szCs w:val="17"/>
          <w:b w:val="1"/>
          <w:bCs w:val="1"/>
          <w:color w:val="auto"/>
        </w:rPr>
        <w:t>KINGSTONE COMPANIES,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 Nature of Business and Basis of Presentation</w:t>
      </w:r>
    </w:p>
    <w:p>
      <w:pPr>
        <w:spacing w:after="0" w:line="162"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Kingstone Companies, Inc. (referred to herein as "Kingstone" or the “Company”), through its wholly owned subsidiary, Kingstone Insurance Company (“KICO”), underwrites property and casualty insurance to small businesses and individuals exclusively through agents and brokers. KICO is a licensed insurance company in the States of New York, New Jersey, Rhode Island, Massachusetts, Pennsylvania, Connecticut, Maine and New Hampshire. KICO is currently offering its property and casualty insurance products in New York, New Jersey, Rhode Island, Massachusetts, Connecticut and Pennsylvania. Although New Jersey, Rhode Island, Massachusetts and Connecticut are now growing expansion markets for the Company, 86.0% and 88.4% of KICO’s direct written premiums for the three months and six months ended June 30, 2019, respectively, came from the New York policies. Kingstone, through its subsidiary, Cosi Agency, Inc. (“Cosi”), a multi-state licensed general agency, accesses alternate forms of distribution outside of the independent agent and broker network, through which KICO currently distributes its various products. Kingstone (through Cosi) now has the opportunity to partner with name-brand carriers and access nationwide insurance agencies.</w:t>
      </w:r>
    </w:p>
    <w:p>
      <w:pPr>
        <w:spacing w:after="0" w:line="99"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The accompanying unaudited condensed consolidated financial statements have been prepared in accordance with U.S. generally accepted accounting principles (“GAAP”). The principles for condensed interim financial information do not require the inclusion of all the information and footnotes required by GAAP for complete financial statements. Therefore, these condensed consolidated financial statements should be read in conjunction with the consolidated financial statements as of and for the year ended December 31, 2018 and notes thereto included in the Company’s Annual Report on Form 10-K filed with the SEC on March 18, 2019. The accompanying condensed consolidated financial statements have not been audited by an independent registered public accounting firm in accordance with standards of the Public Company Accounting Oversight Board (United States) but, in the opinion of management, such financial statements include all adjustments, consisting only of normal recurring adjustments, necessary for a fair statement of the Company’s financial position and results of operations. The results of operations for the six months ended June 30, 2019 may not be indicative of the results that may be expected for the year ending December 31, 2019.</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 Accounting Policies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Use of Estimates</w:t>
      </w:r>
    </w:p>
    <w:p>
      <w:pPr>
        <w:spacing w:after="0" w:line="22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these estimates and assumptions, which include the reserves for losses and loss adjustment expenses, and are subject to estimation errors due to the inherent uncertainty in projecting ultimate claim amounts that will be reported and settled over a period of many years. In addition, estimates and assumptions associated with receivables under reinsurance contracts related to contingent ceding commission revenue require judgments by management. On an on-going basis, management reevaluates its assumptions and the methods for calculating these estimates. Actual results may differ significantly from the estimates and assumptions used in preparing the consolidated financial statements.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auto"/>
        </w:rPr>
        <w:t>Principles of Consolidation</w:t>
      </w:r>
    </w:p>
    <w:p>
      <w:pPr>
        <w:spacing w:after="0" w:line="2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condensed consolidated financial statements consist of Kingstone and its wholly owned subsidiaries, as well as KICO and its wholly owned subsidiaries, CMIC Properties, Inc. (“Properties”) and 15 Joys Lane, LLC (“15 Joys Lane”), which together own the land and building from which KICO operates. All significant inter-company account balances and transactions have been eliminated in consolidation.</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Accounting Changes</w:t>
      </w:r>
    </w:p>
    <w:p>
      <w:pPr>
        <w:spacing w:after="0" w:line="158"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In August 2018, the SEC adopted the final rule under SEC Release No. 33-10532, “Disclosure Update and Simplification,” amending certain disclosure requirements that were redundant, duplicative, overlapping, outdated or superseded. In addition, the amendments expanded the disclosure requirements on the analysis of stockholders' equity for interim financial statements. Under the amendments, an analysis of changes in each caption of stockholders' equity presented in the balance sheet must be provided in a note or separate statement. The analysis should present a reconciliation of the beginning balance to the ending balance of each period for which a statement of comprehensive income is required to be filed. This final rule was effective on November 5, 2018. The Company adopted the provisions of this Release effective January 1, 2019, and included the required presentation of changes in stockholders’ equity for the six months ended June 30, 2019 and 2018.</w:t>
      </w:r>
    </w:p>
    <w:p>
      <w:pPr>
        <w:spacing w:after="0" w:line="93"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In February 2016, the FASB issued ASU 2016-02 – Leases (Topic 842) (“ASU 2016-02”). Under this ASU, the Company recognized a right-of-use-asset and corresponding liability on the balance sheet for all leases, except for leases covering a period of fewer than 12 months. The liability has been measured at the present value of the future minimum lease payments taking into account renewal options if applicable plus initial incremental direct costs such as commissions. The minimum payments are discounted using the Company’s incremental borrowing rate. The Company adopted ASU 2016-02 effective January 1, 2019 using the cumulative effect adjustment transition method, which applies the provision of the standard at the effective date without adjusting the comparative periods presented. The adoption of the updated guidance resulted in the Company recognizing a right-of-use asset of $855,000 as part of other assets and a lease liability of $855,000 as part of accounts payable, accrued expenses and other liabilities in the condensed consolidated balance sheet. The right-of use-asset is amortized as rent expense on a straight line basis. The adoption of this ASU did not have a material effect on the Company's results of operations or liquidity.</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Accounting Pronouncements</w:t>
      </w:r>
    </w:p>
    <w:p>
      <w:pPr>
        <w:spacing w:after="0" w:line="158"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In June 2016, FASB issued ASU 2016-13 - Financial Instruments - Credit Losses (Topic 326): Measurement of Credit Losses on Financial Instruments (“ASU 2016-13”). The revised accounting guidance requires the measurement of all expected credit losses for financial assets held at the reporting date based on historical experience, current conditions, and reasonable and supportable forecasts and requires enhanced disclosures related to the significant estimates and judgments used in estimating credit losses, as well as the credit quality and underwriting standards of an organization’s portfolio. In addition, ASU 2016-13 amends the accounting for credit losses of available-for-sale debt securities and purchased financial assets with credit deterioration. ASU 2016-13 will be effective for the Company on January 1, 2020. The Company is currently evaluating the effect the updated guidance will have on its consolidated financial statements.</w:t>
      </w:r>
    </w:p>
    <w:p>
      <w:pPr>
        <w:spacing w:after="0" w:line="9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In August 2018, the FASB issued ASU No. 2018-13, Fair Value Measurement (Topic 820): Disclosure Framework - Changes to the Disclosure Requirements for Fair Value Measurement (ASU 2018-13). This update modifies the existing disclosure requirements on fair value measurements in Topic 820 by changing requirements regarding Level 1, Level 2 and Level 3 investments. ASU 2018-13 is effective for annual reporting periods beginning after December 15, 2019, including interim periods within those annual periods, with early adoption permitted. Entities are permitted to early adopt any removed or modified disclosures of ASU 2018-13 immediately and delay the adoption of the additional disclosures until their effective date. We do not intend to early adopt the additional disclosures and are assessing the impact of retrospectively adopting the additions from this new accounting standard on our fair value disclosures.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11" w:name="page12"/>
    <w:bookmarkEnd w:id="11"/>
    <w:p>
      <w:pPr>
        <w:spacing w:after="0" w:line="281" w:lineRule="auto"/>
        <w:rPr>
          <w:sz w:val="20"/>
          <w:szCs w:val="20"/>
          <w:color w:val="auto"/>
        </w:rPr>
      </w:pPr>
      <w:r>
        <w:rPr>
          <w:rFonts w:ascii="Arial" w:cs="Arial" w:eastAsia="Arial" w:hAnsi="Arial"/>
          <w:sz w:val="17"/>
          <w:szCs w:val="17"/>
          <w:color w:val="auto"/>
        </w:rPr>
        <w:t>The Company has determined that all other recently issued accounting pronouncements will not have a material impact on its consolidated financial position, results of operations and cash flows, or do not apply to its operations.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 Investments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Fixed-Maturity Securities</w:t>
      </w:r>
    </w:p>
    <w:p>
      <w:pPr>
        <w:spacing w:after="0" w:line="223" w:lineRule="exact"/>
        <w:rPr>
          <w:sz w:val="20"/>
          <w:szCs w:val="20"/>
          <w:color w:val="auto"/>
        </w:rPr>
      </w:pPr>
    </w:p>
    <w:p>
      <w:pPr>
        <w:spacing w:after="0" w:line="281" w:lineRule="auto"/>
        <w:rPr>
          <w:sz w:val="20"/>
          <w:szCs w:val="20"/>
          <w:color w:val="auto"/>
        </w:rPr>
      </w:pPr>
      <w:r>
        <w:rPr>
          <w:rFonts w:ascii="Arial" w:cs="Arial" w:eastAsia="Arial" w:hAnsi="Arial"/>
          <w:sz w:val="17"/>
          <w:szCs w:val="17"/>
          <w:color w:val="auto"/>
        </w:rPr>
        <w:t>The amortized cost, estimated fair value, and unrealized gains and losses of investments in fixed-maturity securities classified as available-for-sale as of June 30, 2019 and December 31, 2018 are summarized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7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6"/>
          </w:tcPr>
          <w:p>
            <w:pPr>
              <w:jc w:val="right"/>
              <w:ind w:right="760"/>
              <w:spacing w:after="0"/>
              <w:rPr>
                <w:sz w:val="20"/>
                <w:szCs w:val="20"/>
                <w:color w:val="auto"/>
              </w:rPr>
            </w:pPr>
            <w:r>
              <w:rPr>
                <w:rFonts w:ascii="Arial" w:cs="Arial" w:eastAsia="Arial" w:hAnsi="Arial"/>
                <w:sz w:val="14"/>
                <w:szCs w:val="14"/>
                <w:b w:val="1"/>
                <w:bCs w:val="1"/>
                <w:color w:val="auto"/>
              </w:rPr>
              <w:t>June 30, 2019</w:t>
            </w: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200"/>
        </w:trPr>
        <w:tc>
          <w:tcPr>
            <w:tcW w:w="4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Cost or</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5"/>
          </w:tcPr>
          <w:p>
            <w:pPr>
              <w:jc w:val="right"/>
              <w:ind w:right="157"/>
              <w:spacing w:after="0"/>
              <w:rPr>
                <w:sz w:val="20"/>
                <w:szCs w:val="20"/>
                <w:color w:val="auto"/>
              </w:rPr>
            </w:pPr>
            <w:r>
              <w:rPr>
                <w:rFonts w:ascii="Arial" w:cs="Arial" w:eastAsia="Arial" w:hAnsi="Arial"/>
                <w:sz w:val="14"/>
                <w:szCs w:val="14"/>
                <w:b w:val="1"/>
                <w:bCs w:val="1"/>
                <w:color w:val="auto"/>
              </w:rPr>
              <w:t>Gross Unrealized Losses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Estimated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225"/>
        </w:trPr>
        <w:tc>
          <w:tcPr>
            <w:tcW w:w="4700" w:type="dxa"/>
            <w:vAlign w:val="bottom"/>
            <w:vMerge w:val="restart"/>
          </w:tcPr>
          <w:p>
            <w:pPr>
              <w:ind w:left="40"/>
              <w:spacing w:after="0"/>
              <w:rPr>
                <w:sz w:val="20"/>
                <w:szCs w:val="20"/>
                <w:color w:val="auto"/>
              </w:rPr>
            </w:pPr>
            <w:r>
              <w:rPr>
                <w:rFonts w:ascii="Arial" w:cs="Arial" w:eastAsia="Arial" w:hAnsi="Arial"/>
                <w:sz w:val="17"/>
                <w:szCs w:val="17"/>
                <w:b w:val="1"/>
                <w:bCs w:val="1"/>
                <w:color w:val="auto"/>
              </w:rPr>
              <w:t>Category</w:t>
            </w:r>
          </w:p>
        </w:tc>
        <w:tc>
          <w:tcPr>
            <w:tcW w:w="120" w:type="dxa"/>
            <w:vAlign w:val="bottom"/>
          </w:tcPr>
          <w:p>
            <w:pPr>
              <w:spacing w:after="0"/>
              <w:rPr>
                <w:sz w:val="19"/>
                <w:szCs w:val="19"/>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Less than 12</w:t>
            </w:r>
          </w:p>
        </w:tc>
        <w:tc>
          <w:tcPr>
            <w:tcW w:w="80" w:type="dxa"/>
            <w:vAlign w:val="bottom"/>
          </w:tcPr>
          <w:p>
            <w:pPr>
              <w:spacing w:after="0"/>
              <w:rPr>
                <w:sz w:val="19"/>
                <w:szCs w:val="19"/>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More than 12</w:t>
            </w:r>
          </w:p>
        </w:tc>
        <w:tc>
          <w:tcPr>
            <w:tcW w:w="80" w:type="dxa"/>
            <w:vAlign w:val="bottom"/>
          </w:tcPr>
          <w:p>
            <w:pPr>
              <w:spacing w:after="0"/>
              <w:rPr>
                <w:sz w:val="19"/>
                <w:szCs w:val="19"/>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Gains/</w:t>
            </w:r>
          </w:p>
        </w:tc>
        <w:tc>
          <w:tcPr>
            <w:tcW w:w="0" w:type="dxa"/>
            <w:vAlign w:val="bottom"/>
          </w:tcPr>
          <w:p>
            <w:pPr>
              <w:spacing w:after="0"/>
              <w:rPr>
                <w:sz w:val="1"/>
                <w:szCs w:val="1"/>
                <w:color w:val="auto"/>
              </w:rPr>
            </w:pPr>
          </w:p>
        </w:tc>
      </w:tr>
      <w:tr>
        <w:trPr>
          <w:trHeight w:val="200"/>
        </w:trPr>
        <w:tc>
          <w:tcPr>
            <w:tcW w:w="47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Months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Months</w:t>
            </w:r>
          </w:p>
        </w:tc>
        <w:tc>
          <w:tcPr>
            <w:tcW w:w="80" w:type="dxa"/>
            <w:vAlign w:val="bottom"/>
          </w:tcPr>
          <w:p>
            <w:pPr>
              <w:spacing w:after="0"/>
              <w:rPr>
                <w:sz w:val="17"/>
                <w:szCs w:val="17"/>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(Losses</w:t>
            </w:r>
            <w:r>
              <w:rPr>
                <w:rFonts w:ascii="Arial" w:cs="Arial" w:eastAsia="Arial" w:hAnsi="Arial"/>
                <w:sz w:val="14"/>
                <w:szCs w:val="14"/>
                <w:color w:val="auto"/>
                <w:w w:val="86"/>
              </w:rPr>
              <w:t>)</w:t>
            </w:r>
          </w:p>
        </w:tc>
        <w:tc>
          <w:tcPr>
            <w:tcW w:w="0" w:type="dxa"/>
            <w:vAlign w:val="bottom"/>
          </w:tcPr>
          <w:p>
            <w:pPr>
              <w:spacing w:after="0"/>
              <w:rPr>
                <w:sz w:val="1"/>
                <w:szCs w:val="1"/>
                <w:color w:val="auto"/>
              </w:rPr>
            </w:pPr>
          </w:p>
        </w:tc>
      </w:tr>
      <w:tr>
        <w:trPr>
          <w:trHeight w:val="469"/>
        </w:trPr>
        <w:tc>
          <w:tcPr>
            <w:tcW w:w="4700" w:type="dxa"/>
            <w:vAlign w:val="bottom"/>
          </w:tcPr>
          <w:p>
            <w:pPr>
              <w:ind w:left="40"/>
              <w:spacing w:after="0"/>
              <w:rPr>
                <w:sz w:val="20"/>
                <w:szCs w:val="20"/>
                <w:color w:val="auto"/>
              </w:rPr>
            </w:pPr>
            <w:r>
              <w:rPr>
                <w:rFonts w:ascii="Arial" w:cs="Arial" w:eastAsia="Arial" w:hAnsi="Arial"/>
                <w:sz w:val="17"/>
                <w:szCs w:val="17"/>
                <w:b w:val="1"/>
                <w:bCs w:val="1"/>
                <w:color w:val="auto"/>
              </w:rPr>
              <w:t>Fixed-Maturity Securities:</w:t>
            </w: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700" w:type="dxa"/>
            <w:vAlign w:val="bottom"/>
          </w:tcPr>
          <w:p>
            <w:pPr>
              <w:ind w:left="40"/>
              <w:spacing w:after="0"/>
              <w:rPr>
                <w:sz w:val="20"/>
                <w:szCs w:val="20"/>
                <w:color w:val="auto"/>
              </w:rPr>
            </w:pPr>
            <w:r>
              <w:rPr>
                <w:rFonts w:ascii="Arial" w:cs="Arial" w:eastAsia="Arial" w:hAnsi="Arial"/>
                <w:sz w:val="17"/>
                <w:szCs w:val="17"/>
                <w:color w:val="auto"/>
              </w:rPr>
              <w:t>U.S. Treasury securities and</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7"/>
                <w:szCs w:val="17"/>
                <w:color w:val="auto"/>
              </w:rPr>
              <w:t>obligations of U.S. government</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0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corporations and agencies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8,236,255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142,388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ind w:right="8"/>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(1,557)</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  8,377,086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140,831</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70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Political subdivisions of States,</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700" w:type="dxa"/>
            <w:vAlign w:val="bottom"/>
          </w:tcPr>
          <w:p>
            <w:pPr>
              <w:ind w:left="40"/>
              <w:spacing w:after="0"/>
              <w:rPr>
                <w:sz w:val="20"/>
                <w:szCs w:val="20"/>
                <w:color w:val="auto"/>
              </w:rPr>
            </w:pPr>
            <w:r>
              <w:rPr>
                <w:rFonts w:ascii="Arial" w:cs="Arial" w:eastAsia="Arial" w:hAnsi="Arial"/>
                <w:sz w:val="17"/>
                <w:szCs w:val="17"/>
                <w:color w:val="auto"/>
              </w:rPr>
              <w:t>Territories and Possessions</w:t>
            </w: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5,675,418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167,952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(309)</w:t>
            </w:r>
          </w:p>
        </w:tc>
        <w:tc>
          <w:tcPr>
            <w:tcW w:w="1100" w:type="dxa"/>
            <w:vAlign w:val="bottom"/>
            <w:gridSpan w:val="3"/>
          </w:tcPr>
          <w:p>
            <w:pPr>
              <w:jc w:val="right"/>
              <w:ind w:right="100"/>
              <w:spacing w:after="0"/>
              <w:rPr>
                <w:sz w:val="20"/>
                <w:szCs w:val="20"/>
                <w:color w:val="auto"/>
              </w:rPr>
            </w:pPr>
            <w:r>
              <w:rPr>
                <w:rFonts w:ascii="Arial" w:cs="Arial" w:eastAsia="Arial" w:hAnsi="Arial"/>
                <w:sz w:val="17"/>
                <w:szCs w:val="17"/>
                <w:color w:val="auto"/>
              </w:rPr>
              <w:t>5,843,061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167,643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tcPr>
          <w:p>
            <w:pPr>
              <w:ind w:left="40"/>
              <w:spacing w:after="0"/>
              <w:rPr>
                <w:sz w:val="20"/>
                <w:szCs w:val="20"/>
                <w:color w:val="auto"/>
              </w:rPr>
            </w:pPr>
            <w:r>
              <w:rPr>
                <w:rFonts w:ascii="Arial" w:cs="Arial" w:eastAsia="Arial" w:hAnsi="Arial"/>
                <w:sz w:val="17"/>
                <w:szCs w:val="17"/>
                <w:color w:val="auto"/>
              </w:rPr>
              <w:t>Corporate and other bonds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Industrial and miscellaneous</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w w:val="95"/>
              </w:rPr>
              <w:t>126,095,235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4,106,946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(14,450)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(84,187)</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130,103,544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4,008,309</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Residential mortgage and other</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tcPr>
          <w:p>
            <w:pPr>
              <w:ind w:left="40"/>
              <w:spacing w:after="0"/>
              <w:rPr>
                <w:sz w:val="20"/>
                <w:szCs w:val="20"/>
                <w:color w:val="auto"/>
              </w:rPr>
            </w:pPr>
            <w:r>
              <w:rPr>
                <w:rFonts w:ascii="Arial" w:cs="Arial" w:eastAsia="Arial" w:hAnsi="Arial"/>
                <w:sz w:val="17"/>
                <w:szCs w:val="17"/>
                <w:color w:val="auto"/>
              </w:rPr>
              <w:t>asset backed securities (1)</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w w:val="91"/>
              </w:rPr>
              <w:t>20,078,720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317,871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(8,750)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(376,663)</w:t>
            </w:r>
          </w:p>
        </w:tc>
        <w:tc>
          <w:tcPr>
            <w:tcW w:w="1100" w:type="dxa"/>
            <w:vAlign w:val="bottom"/>
            <w:gridSpan w:val="3"/>
          </w:tcPr>
          <w:p>
            <w:pPr>
              <w:jc w:val="right"/>
              <w:ind w:right="100"/>
              <w:spacing w:after="0"/>
              <w:rPr>
                <w:sz w:val="20"/>
                <w:szCs w:val="20"/>
                <w:color w:val="auto"/>
              </w:rPr>
            </w:pPr>
            <w:r>
              <w:rPr>
                <w:rFonts w:ascii="Arial" w:cs="Arial" w:eastAsia="Arial" w:hAnsi="Arial"/>
                <w:sz w:val="17"/>
                <w:szCs w:val="17"/>
                <w:color w:val="auto"/>
              </w:rPr>
              <w:t>20,011,178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(67,542)</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u w:val="single" w:color="auto"/>
                <w:color w:val="auto"/>
                <w:w w:val="86"/>
              </w:rPr>
              <w:t>$</w:t>
            </w:r>
            <w:r>
              <w:rPr>
                <w:rFonts w:ascii="Arial" w:cs="Arial" w:eastAsia="Arial" w:hAnsi="Arial"/>
                <w:sz w:val="17"/>
                <w:szCs w:val="17"/>
                <w:color w:val="auto"/>
                <w:w w:val="86"/>
              </w:rPr>
              <w:t>160,085,628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4,735,157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(23,200)</w:t>
            </w:r>
          </w:p>
        </w:tc>
        <w:tc>
          <w:tcPr>
            <w:tcW w:w="240" w:type="dxa"/>
            <w:vAlign w:val="bottom"/>
            <w:gridSpan w:val="2"/>
            <w:shd w:val="clear" w:color="auto" w:fill="CCEEFF"/>
          </w:tcPr>
          <w:p>
            <w:pPr>
              <w:jc w:val="right"/>
              <w:ind w:right="8"/>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(462,716)</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u w:val="single" w:color="auto"/>
                <w:color w:val="auto"/>
                <w:w w:val="94"/>
              </w:rPr>
              <w:t>$</w:t>
            </w:r>
            <w:r>
              <w:rPr>
                <w:rFonts w:ascii="Arial" w:cs="Arial" w:eastAsia="Arial" w:hAnsi="Arial"/>
                <w:sz w:val="17"/>
                <w:szCs w:val="17"/>
                <w:color w:val="auto"/>
                <w:w w:val="94"/>
              </w:rPr>
              <w:t>164,334,869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4,249,241</w:t>
            </w:r>
          </w:p>
        </w:tc>
        <w:tc>
          <w:tcPr>
            <w:tcW w:w="12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left="640" w:hanging="321"/>
        <w:spacing w:after="0" w:line="286" w:lineRule="auto"/>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2017, KICO placed certain residential mortgage backed securities as eligible collateral in a designated custodian account related to its membership in the Federal Home Loan Bank of New York ("FHLBNY") (See Note 7). The eligible collateral would be pledged to FHLBNY if KICO draws an advance from the FHBLNY credit line. As of June 30, 2019, the estimated fair value of the eligible investments was approximately $5,354,000. KICO will retain all rights regarding all securities if pledged as collateral. As of June 30, 2019, there was no outstanding balance on the FHLBNY credit line.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77"/>
        </w:trPr>
        <w:tc>
          <w:tcPr>
            <w:tcW w:w="47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6"/>
          </w:tcPr>
          <w:p>
            <w:pPr>
              <w:jc w:val="right"/>
              <w:ind w:right="600"/>
              <w:spacing w:after="0"/>
              <w:rPr>
                <w:sz w:val="20"/>
                <w:szCs w:val="20"/>
                <w:color w:val="auto"/>
              </w:rPr>
            </w:pPr>
            <w:r>
              <w:rPr>
                <w:rFonts w:ascii="Arial" w:cs="Arial" w:eastAsia="Arial" w:hAnsi="Arial"/>
                <w:sz w:val="14"/>
                <w:szCs w:val="14"/>
                <w:b w:val="1"/>
                <w:bCs w:val="1"/>
                <w:color w:val="auto"/>
              </w:rPr>
              <w:t>December 31, 2018</w:t>
            </w: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200"/>
        </w:trPr>
        <w:tc>
          <w:tcPr>
            <w:tcW w:w="4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Cost or</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5"/>
          </w:tcPr>
          <w:p>
            <w:pPr>
              <w:jc w:val="right"/>
              <w:ind w:right="157"/>
              <w:spacing w:after="0"/>
              <w:rPr>
                <w:sz w:val="20"/>
                <w:szCs w:val="20"/>
                <w:color w:val="auto"/>
              </w:rPr>
            </w:pPr>
            <w:r>
              <w:rPr>
                <w:rFonts w:ascii="Arial" w:cs="Arial" w:eastAsia="Arial" w:hAnsi="Arial"/>
                <w:sz w:val="14"/>
                <w:szCs w:val="14"/>
                <w:b w:val="1"/>
                <w:bCs w:val="1"/>
                <w:color w:val="auto"/>
              </w:rPr>
              <w:t>Gross Unrealized Losses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Estimated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225"/>
        </w:trPr>
        <w:tc>
          <w:tcPr>
            <w:tcW w:w="4700" w:type="dxa"/>
            <w:vAlign w:val="bottom"/>
            <w:vMerge w:val="restart"/>
          </w:tcPr>
          <w:p>
            <w:pPr>
              <w:ind w:left="40"/>
              <w:spacing w:after="0"/>
              <w:rPr>
                <w:sz w:val="20"/>
                <w:szCs w:val="20"/>
                <w:color w:val="auto"/>
              </w:rPr>
            </w:pPr>
            <w:r>
              <w:rPr>
                <w:rFonts w:ascii="Arial" w:cs="Arial" w:eastAsia="Arial" w:hAnsi="Arial"/>
                <w:sz w:val="17"/>
                <w:szCs w:val="17"/>
                <w:b w:val="1"/>
                <w:bCs w:val="1"/>
                <w:color w:val="auto"/>
              </w:rPr>
              <w:t>Category</w:t>
            </w:r>
          </w:p>
        </w:tc>
        <w:tc>
          <w:tcPr>
            <w:tcW w:w="120" w:type="dxa"/>
            <w:vAlign w:val="bottom"/>
          </w:tcPr>
          <w:p>
            <w:pPr>
              <w:spacing w:after="0"/>
              <w:rPr>
                <w:sz w:val="19"/>
                <w:szCs w:val="19"/>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Less than 12</w:t>
            </w:r>
          </w:p>
        </w:tc>
        <w:tc>
          <w:tcPr>
            <w:tcW w:w="80" w:type="dxa"/>
            <w:vAlign w:val="bottom"/>
          </w:tcPr>
          <w:p>
            <w:pPr>
              <w:spacing w:after="0"/>
              <w:rPr>
                <w:sz w:val="19"/>
                <w:szCs w:val="19"/>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More than 12</w:t>
            </w:r>
          </w:p>
        </w:tc>
        <w:tc>
          <w:tcPr>
            <w:tcW w:w="80" w:type="dxa"/>
            <w:vAlign w:val="bottom"/>
          </w:tcPr>
          <w:p>
            <w:pPr>
              <w:spacing w:after="0"/>
              <w:rPr>
                <w:sz w:val="19"/>
                <w:szCs w:val="19"/>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Gains/</w:t>
            </w:r>
          </w:p>
        </w:tc>
        <w:tc>
          <w:tcPr>
            <w:tcW w:w="0" w:type="dxa"/>
            <w:vAlign w:val="bottom"/>
          </w:tcPr>
          <w:p>
            <w:pPr>
              <w:spacing w:after="0"/>
              <w:rPr>
                <w:sz w:val="1"/>
                <w:szCs w:val="1"/>
                <w:color w:val="auto"/>
              </w:rPr>
            </w:pPr>
          </w:p>
        </w:tc>
      </w:tr>
      <w:tr>
        <w:trPr>
          <w:trHeight w:val="200"/>
        </w:trPr>
        <w:tc>
          <w:tcPr>
            <w:tcW w:w="47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Months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Months</w:t>
            </w:r>
          </w:p>
        </w:tc>
        <w:tc>
          <w:tcPr>
            <w:tcW w:w="80" w:type="dxa"/>
            <w:vAlign w:val="bottom"/>
          </w:tcPr>
          <w:p>
            <w:pPr>
              <w:spacing w:after="0"/>
              <w:rPr>
                <w:sz w:val="17"/>
                <w:szCs w:val="17"/>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(Losses)</w:t>
            </w:r>
          </w:p>
        </w:tc>
        <w:tc>
          <w:tcPr>
            <w:tcW w:w="0" w:type="dxa"/>
            <w:vAlign w:val="bottom"/>
          </w:tcPr>
          <w:p>
            <w:pPr>
              <w:spacing w:after="0"/>
              <w:rPr>
                <w:sz w:val="1"/>
                <w:szCs w:val="1"/>
                <w:color w:val="auto"/>
              </w:rPr>
            </w:pPr>
          </w:p>
        </w:tc>
      </w:tr>
      <w:tr>
        <w:trPr>
          <w:trHeight w:val="469"/>
        </w:trPr>
        <w:tc>
          <w:tcPr>
            <w:tcW w:w="4700" w:type="dxa"/>
            <w:vAlign w:val="bottom"/>
          </w:tcPr>
          <w:p>
            <w:pPr>
              <w:ind w:left="40"/>
              <w:spacing w:after="0"/>
              <w:rPr>
                <w:sz w:val="20"/>
                <w:szCs w:val="20"/>
                <w:color w:val="auto"/>
              </w:rPr>
            </w:pPr>
            <w:r>
              <w:rPr>
                <w:rFonts w:ascii="Arial" w:cs="Arial" w:eastAsia="Arial" w:hAnsi="Arial"/>
                <w:sz w:val="17"/>
                <w:szCs w:val="17"/>
                <w:b w:val="1"/>
                <w:bCs w:val="1"/>
                <w:color w:val="auto"/>
              </w:rPr>
              <w:t>Fixed-Maturity Securities:</w:t>
            </w: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700" w:type="dxa"/>
            <w:vAlign w:val="bottom"/>
          </w:tcPr>
          <w:p>
            <w:pPr>
              <w:ind w:left="40"/>
              <w:spacing w:after="0"/>
              <w:rPr>
                <w:sz w:val="20"/>
                <w:szCs w:val="20"/>
                <w:color w:val="auto"/>
              </w:rPr>
            </w:pPr>
            <w:r>
              <w:rPr>
                <w:rFonts w:ascii="Arial" w:cs="Arial" w:eastAsia="Arial" w:hAnsi="Arial"/>
                <w:sz w:val="17"/>
                <w:szCs w:val="17"/>
                <w:color w:val="auto"/>
              </w:rPr>
              <w:t>U.S. Treasury securities and</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7"/>
                <w:szCs w:val="17"/>
                <w:color w:val="auto"/>
              </w:rPr>
              <w:t>obligations of U.S. government</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0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corporations and agencies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8,222,050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26,331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(28,000)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  8,220,381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(1,669)</w:t>
            </w:r>
          </w:p>
        </w:tc>
        <w:tc>
          <w:tcPr>
            <w:tcW w:w="0" w:type="dxa"/>
            <w:vAlign w:val="bottom"/>
          </w:tcPr>
          <w:p>
            <w:pPr>
              <w:spacing w:after="0"/>
              <w:rPr>
                <w:sz w:val="1"/>
                <w:szCs w:val="1"/>
                <w:color w:val="auto"/>
              </w:rPr>
            </w:pPr>
          </w:p>
        </w:tc>
      </w:tr>
      <w:tr>
        <w:trPr>
          <w:trHeight w:val="209"/>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Political subdivisions of States,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tcPr>
          <w:p>
            <w:pPr>
              <w:ind w:left="40"/>
              <w:spacing w:after="0"/>
              <w:rPr>
                <w:sz w:val="20"/>
                <w:szCs w:val="20"/>
                <w:color w:val="auto"/>
              </w:rPr>
            </w:pPr>
            <w:r>
              <w:rPr>
                <w:rFonts w:ascii="Arial" w:cs="Arial" w:eastAsia="Arial" w:hAnsi="Arial"/>
                <w:sz w:val="17"/>
                <w:szCs w:val="17"/>
                <w:color w:val="auto"/>
              </w:rPr>
              <w:t>Territories and Possessions</w:t>
            </w: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6,339,540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50,903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(12,327)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(36,508)</w:t>
            </w:r>
          </w:p>
        </w:tc>
        <w:tc>
          <w:tcPr>
            <w:tcW w:w="1100" w:type="dxa"/>
            <w:vAlign w:val="bottom"/>
            <w:gridSpan w:val="3"/>
          </w:tcPr>
          <w:p>
            <w:pPr>
              <w:jc w:val="right"/>
              <w:ind w:right="100"/>
              <w:spacing w:after="0"/>
              <w:rPr>
                <w:sz w:val="20"/>
                <w:szCs w:val="20"/>
                <w:color w:val="auto"/>
              </w:rPr>
            </w:pPr>
            <w:r>
              <w:rPr>
                <w:rFonts w:ascii="Arial" w:cs="Arial" w:eastAsia="Arial" w:hAnsi="Arial"/>
                <w:sz w:val="17"/>
                <w:szCs w:val="17"/>
                <w:color w:val="auto"/>
              </w:rPr>
              <w:t>6,341,608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2,068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tcPr>
          <w:p>
            <w:pPr>
              <w:ind w:left="40"/>
              <w:spacing w:after="0"/>
              <w:rPr>
                <w:sz w:val="20"/>
                <w:szCs w:val="20"/>
                <w:color w:val="auto"/>
              </w:rPr>
            </w:pPr>
            <w:r>
              <w:rPr>
                <w:rFonts w:ascii="Arial" w:cs="Arial" w:eastAsia="Arial" w:hAnsi="Arial"/>
                <w:sz w:val="17"/>
                <w:szCs w:val="17"/>
                <w:color w:val="auto"/>
              </w:rPr>
              <w:t>Corporate and other bonds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Industrial and miscellaneous</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w w:val="95"/>
              </w:rPr>
              <w:t>119,078,698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123,740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8"/>
              </w:rPr>
              <w:t>(2,775,540)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(676,605)</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115,750,293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4"/>
              </w:rPr>
              <w:t>(3,328,405)</w:t>
            </w:r>
          </w:p>
        </w:tc>
        <w:tc>
          <w:tcPr>
            <w:tcW w:w="0" w:type="dxa"/>
            <w:vAlign w:val="bottom"/>
          </w:tcPr>
          <w:p>
            <w:pPr>
              <w:spacing w:after="0"/>
              <w:rPr>
                <w:sz w:val="1"/>
                <w:szCs w:val="1"/>
                <w:color w:val="auto"/>
              </w:rPr>
            </w:pPr>
          </w:p>
        </w:tc>
      </w:tr>
      <w:tr>
        <w:trPr>
          <w:trHeight w:val="209"/>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Residential mortgage and other</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tcPr>
          <w:p>
            <w:pPr>
              <w:ind w:left="40"/>
              <w:spacing w:after="0"/>
              <w:rPr>
                <w:sz w:val="20"/>
                <w:szCs w:val="20"/>
                <w:color w:val="auto"/>
              </w:rPr>
            </w:pPr>
            <w:r>
              <w:rPr>
                <w:rFonts w:ascii="Arial" w:cs="Arial" w:eastAsia="Arial" w:hAnsi="Arial"/>
                <w:sz w:val="17"/>
                <w:szCs w:val="17"/>
                <w:color w:val="auto"/>
              </w:rPr>
              <w:t>asset backed securities (1)</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w w:val="91"/>
              </w:rPr>
              <w:t>21,790,973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236,502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(231,229)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(331,012)</w:t>
            </w:r>
          </w:p>
        </w:tc>
        <w:tc>
          <w:tcPr>
            <w:tcW w:w="1100" w:type="dxa"/>
            <w:vAlign w:val="bottom"/>
            <w:gridSpan w:val="3"/>
          </w:tcPr>
          <w:p>
            <w:pPr>
              <w:jc w:val="right"/>
              <w:ind w:right="100"/>
              <w:spacing w:after="0"/>
              <w:rPr>
                <w:sz w:val="20"/>
                <w:szCs w:val="20"/>
                <w:color w:val="auto"/>
              </w:rPr>
            </w:pPr>
            <w:r>
              <w:rPr>
                <w:rFonts w:ascii="Arial" w:cs="Arial" w:eastAsia="Arial" w:hAnsi="Arial"/>
                <w:sz w:val="17"/>
                <w:szCs w:val="17"/>
                <w:color w:val="auto"/>
              </w:rPr>
              <w:t>21,465,234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(325,739)</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u w:val="single" w:color="auto"/>
                <w:color w:val="auto"/>
                <w:w w:val="86"/>
              </w:rPr>
              <w:t>$</w:t>
            </w:r>
            <w:r>
              <w:rPr>
                <w:rFonts w:ascii="Arial" w:cs="Arial" w:eastAsia="Arial" w:hAnsi="Arial"/>
                <w:sz w:val="17"/>
                <w:szCs w:val="17"/>
                <w:color w:val="auto"/>
                <w:w w:val="86"/>
              </w:rPr>
              <w:t>155,431,261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437,476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8"/>
              </w:rPr>
              <w:t>(3,047,096)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4"/>
              </w:rPr>
              <w:t>(1,044,125)</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u w:val="single" w:color="auto"/>
                <w:color w:val="auto"/>
                <w:w w:val="94"/>
              </w:rPr>
              <w:t>$</w:t>
            </w:r>
            <w:r>
              <w:rPr>
                <w:rFonts w:ascii="Arial" w:cs="Arial" w:eastAsia="Arial" w:hAnsi="Arial"/>
                <w:sz w:val="17"/>
                <w:szCs w:val="17"/>
                <w:color w:val="auto"/>
                <w:w w:val="94"/>
              </w:rPr>
              <w:t>151,777,516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4"/>
              </w:rPr>
              <w:t>(3,653,745)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left="640" w:hanging="321"/>
        <w:spacing w:after="0" w:line="265"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2017, KICO placed certain residential mortgage backed securities as eligible collateral in a designated custodian account related to its membership in the FHLBNY (see Note 7). The eligible collateral would be pledged to FHLBNY if KICO draws an advance from the FHBLNY credit line. As of December 31, 2018, the estimated fair value of the eligible investments was approximately $5,116,000. KICO will retain all rights regarding all securities if pledged as collateral. As of December 31, 2018, there was no outstanding balance on the FHLBNY credit line.</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A summary of the amortized cost and estimated fair value of the Company’s investments in available-for-sale fixed-maturity securities by contractual maturity as of</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June 30, 2019 and December 31, 2018 is shown below:</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0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jc w:val="right"/>
              <w:ind w:right="738"/>
              <w:spacing w:after="0"/>
              <w:rPr>
                <w:sz w:val="20"/>
                <w:szCs w:val="20"/>
                <w:color w:val="auto"/>
              </w:rPr>
            </w:pPr>
            <w:r>
              <w:rPr>
                <w:rFonts w:ascii="Arial" w:cs="Arial" w:eastAsia="Arial" w:hAnsi="Arial"/>
                <w:sz w:val="14"/>
                <w:szCs w:val="14"/>
                <w:b w:val="1"/>
                <w:bCs w:val="1"/>
                <w:color w:val="auto"/>
              </w:rPr>
              <w:t>June 30, 2019</w:t>
            </w:r>
          </w:p>
        </w:tc>
        <w:tc>
          <w:tcPr>
            <w:tcW w:w="2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jc w:val="right"/>
              <w:ind w:right="578"/>
              <w:spacing w:after="0"/>
              <w:rPr>
                <w:sz w:val="20"/>
                <w:szCs w:val="20"/>
                <w:color w:val="auto"/>
              </w:rPr>
            </w:pPr>
            <w:r>
              <w:rPr>
                <w:rFonts w:ascii="Arial" w:cs="Arial" w:eastAsia="Arial" w:hAnsi="Arial"/>
                <w:sz w:val="14"/>
                <w:szCs w:val="14"/>
                <w:b w:val="1"/>
                <w:bCs w:val="1"/>
                <w:color w:val="auto"/>
              </w:rPr>
              <w:t>December 31, 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6080" w:type="dxa"/>
            <w:vAlign w:val="bottom"/>
            <w:vMerge w:val="restart"/>
          </w:tcPr>
          <w:p>
            <w:pPr>
              <w:ind w:left="40"/>
              <w:spacing w:after="0"/>
              <w:rPr>
                <w:sz w:val="20"/>
                <w:szCs w:val="20"/>
                <w:color w:val="auto"/>
              </w:rPr>
            </w:pPr>
            <w:r>
              <w:rPr>
                <w:rFonts w:ascii="Arial" w:cs="Arial" w:eastAsia="Arial" w:hAnsi="Arial"/>
                <w:sz w:val="17"/>
                <w:szCs w:val="17"/>
                <w:b w:val="1"/>
                <w:bCs w:val="1"/>
                <w:color w:val="auto"/>
              </w:rPr>
              <w:t>Remaining Time to Maturity</w:t>
            </w:r>
          </w:p>
        </w:tc>
        <w:tc>
          <w:tcPr>
            <w:tcW w:w="160" w:type="dxa"/>
            <w:vAlign w:val="bottom"/>
          </w:tcPr>
          <w:p>
            <w:pPr>
              <w:spacing w:after="0"/>
              <w:rPr>
                <w:sz w:val="19"/>
                <w:szCs w:val="19"/>
                <w:color w:val="auto"/>
              </w:rPr>
            </w:pPr>
          </w:p>
        </w:tc>
        <w:tc>
          <w:tcPr>
            <w:tcW w:w="940" w:type="dxa"/>
            <w:vAlign w:val="bottom"/>
          </w:tcPr>
          <w:p>
            <w:pPr>
              <w:jc w:val="right"/>
              <w:ind w:right="139"/>
              <w:spacing w:after="0"/>
              <w:rPr>
                <w:sz w:val="20"/>
                <w:szCs w:val="20"/>
                <w:color w:val="auto"/>
              </w:rPr>
            </w:pPr>
            <w:r>
              <w:rPr>
                <w:rFonts w:ascii="Arial" w:cs="Arial" w:eastAsia="Arial" w:hAnsi="Arial"/>
                <w:sz w:val="14"/>
                <w:szCs w:val="14"/>
                <w:b w:val="1"/>
                <w:bCs w:val="1"/>
                <w:color w:val="auto"/>
              </w:rPr>
              <w:t>Amortized</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158"/>
              <w:spacing w:after="0"/>
              <w:rPr>
                <w:sz w:val="20"/>
                <w:szCs w:val="20"/>
                <w:color w:val="auto"/>
              </w:rPr>
            </w:pPr>
            <w:r>
              <w:rPr>
                <w:rFonts w:ascii="Arial" w:cs="Arial" w:eastAsia="Arial" w:hAnsi="Arial"/>
                <w:sz w:val="14"/>
                <w:szCs w:val="14"/>
                <w:b w:val="1"/>
                <w:bCs w:val="1"/>
                <w:color w:val="auto"/>
              </w:rPr>
              <w:t>Estimated</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159"/>
              <w:spacing w:after="0"/>
              <w:rPr>
                <w:sz w:val="20"/>
                <w:szCs w:val="20"/>
                <w:color w:val="auto"/>
              </w:rPr>
            </w:pPr>
            <w:r>
              <w:rPr>
                <w:rFonts w:ascii="Arial" w:cs="Arial" w:eastAsia="Arial" w:hAnsi="Arial"/>
                <w:sz w:val="14"/>
                <w:szCs w:val="14"/>
                <w:b w:val="1"/>
                <w:bCs w:val="1"/>
                <w:color w:val="auto"/>
              </w:rPr>
              <w:t>Amortized</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200"/>
        </w:trPr>
        <w:tc>
          <w:tcPr>
            <w:tcW w:w="60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339"/>
              <w:spacing w:after="0"/>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158"/>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339"/>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35"/>
        </w:trPr>
        <w:tc>
          <w:tcPr>
            <w:tcW w:w="60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080" w:type="dxa"/>
            <w:vAlign w:val="bottom"/>
            <w:shd w:val="clear" w:color="auto" w:fill="CCEEFF"/>
          </w:tcPr>
          <w:p>
            <w:pPr>
              <w:ind w:left="40"/>
              <w:spacing w:after="0"/>
              <w:rPr>
                <w:sz w:val="20"/>
                <w:szCs w:val="20"/>
                <w:color w:val="auto"/>
              </w:rPr>
            </w:pPr>
            <w:r>
              <w:rPr>
                <w:rFonts w:ascii="Arial" w:cs="Arial" w:eastAsia="Arial" w:hAnsi="Arial"/>
                <w:sz w:val="17"/>
                <w:szCs w:val="17"/>
                <w:color w:val="auto"/>
              </w:rPr>
              <w:t>Less than one year</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11,167,387</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11,188,535</w:t>
            </w:r>
          </w:p>
        </w:tc>
        <w:tc>
          <w:tcPr>
            <w:tcW w:w="4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6,742,519</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6,738,014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80" w:type="dxa"/>
            <w:vAlign w:val="bottom"/>
          </w:tcPr>
          <w:p>
            <w:pPr>
              <w:ind w:left="40"/>
              <w:spacing w:after="0"/>
              <w:rPr>
                <w:sz w:val="20"/>
                <w:szCs w:val="20"/>
                <w:color w:val="auto"/>
              </w:rPr>
            </w:pPr>
            <w:r>
              <w:rPr>
                <w:rFonts w:ascii="Arial" w:cs="Arial" w:eastAsia="Arial" w:hAnsi="Arial"/>
                <w:sz w:val="17"/>
                <w:szCs w:val="17"/>
                <w:color w:val="auto"/>
              </w:rPr>
              <w:t>One to five years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47,828,173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48,719,017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47,038,838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46,640,012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80" w:type="dxa"/>
            <w:vAlign w:val="bottom"/>
            <w:shd w:val="clear" w:color="auto" w:fill="CCEEFF"/>
          </w:tcPr>
          <w:p>
            <w:pPr>
              <w:ind w:left="40"/>
              <w:spacing w:after="0"/>
              <w:rPr>
                <w:sz w:val="20"/>
                <w:szCs w:val="20"/>
                <w:color w:val="auto"/>
              </w:rPr>
            </w:pPr>
            <w:r>
              <w:rPr>
                <w:rFonts w:ascii="Arial" w:cs="Arial" w:eastAsia="Arial" w:hAnsi="Arial"/>
                <w:sz w:val="17"/>
                <w:szCs w:val="17"/>
                <w:color w:val="auto"/>
              </w:rPr>
              <w:t>Five to ten years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79,000,901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82,414,899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76,884,505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74,290,076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80" w:type="dxa"/>
            <w:vAlign w:val="bottom"/>
          </w:tcPr>
          <w:p>
            <w:pPr>
              <w:ind w:left="40"/>
              <w:spacing w:after="0"/>
              <w:rPr>
                <w:sz w:val="20"/>
                <w:szCs w:val="20"/>
                <w:color w:val="auto"/>
              </w:rPr>
            </w:pPr>
            <w:r>
              <w:rPr>
                <w:rFonts w:ascii="Arial" w:cs="Arial" w:eastAsia="Arial" w:hAnsi="Arial"/>
                <w:sz w:val="17"/>
                <w:szCs w:val="17"/>
                <w:color w:val="auto"/>
              </w:rPr>
              <w:t>More than 10 years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2,010,447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2,001,240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2,974,426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2,644,180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Residential mortgage and other asset backed securities</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20,078,720</w:t>
            </w:r>
          </w:p>
        </w:tc>
        <w:tc>
          <w:tcPr>
            <w:tcW w:w="2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20,011,178</w:t>
            </w:r>
          </w:p>
        </w:tc>
        <w:tc>
          <w:tcPr>
            <w:tcW w:w="2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21,790,973</w:t>
            </w: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21,465,234</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80" w:type="dxa"/>
            <w:vAlign w:val="bottom"/>
          </w:tcPr>
          <w:p>
            <w:pPr>
              <w:ind w:left="40"/>
              <w:spacing w:after="0"/>
              <w:rPr>
                <w:sz w:val="20"/>
                <w:szCs w:val="20"/>
                <w:color w:val="auto"/>
              </w:rPr>
            </w:pPr>
            <w:r>
              <w:rPr>
                <w:rFonts w:ascii="Arial" w:cs="Arial" w:eastAsia="Arial" w:hAnsi="Arial"/>
                <w:sz w:val="17"/>
                <w:szCs w:val="17"/>
                <w:color w:val="auto"/>
              </w:rPr>
              <w:t>Total</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7"/>
                <w:szCs w:val="17"/>
                <w:color w:val="auto"/>
                <w:w w:val="97"/>
              </w:rPr>
              <w:t>160,085,628</w:t>
            </w:r>
          </w:p>
        </w:tc>
        <w:tc>
          <w:tcPr>
            <w:tcW w:w="4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w w:val="99"/>
              </w:rPr>
              <w:t>164,334,869</w:t>
            </w:r>
          </w:p>
        </w:tc>
        <w:tc>
          <w:tcPr>
            <w:tcW w:w="42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w w:val="97"/>
              </w:rPr>
              <w:t>155,431,261</w:t>
            </w:r>
          </w:p>
        </w:tc>
        <w:tc>
          <w:tcPr>
            <w:tcW w:w="4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w w:val="95"/>
              </w:rPr>
              <w:t>151,777,516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The actual maturities may differ from contractual maturities because certain borrowers have the right to call or prepay obligations with or without penalties.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97" w:right="239" w:bottom="1440" w:gutter="0" w:footer="0" w:header="0"/>
        </w:sectPr>
      </w:pPr>
    </w:p>
    <w:bookmarkStart w:id="13" w:name="page14"/>
    <w:bookmarkEnd w:id="13"/>
    <w:p>
      <w:pPr>
        <w:spacing w:after="0"/>
        <w:rPr>
          <w:sz w:val="20"/>
          <w:szCs w:val="20"/>
          <w:color w:val="auto"/>
        </w:rPr>
      </w:pPr>
      <w:r>
        <w:rPr>
          <w:rFonts w:ascii="Arial" w:cs="Arial" w:eastAsia="Arial" w:hAnsi="Arial"/>
          <w:sz w:val="17"/>
          <w:szCs w:val="17"/>
          <w:u w:val="single" w:color="auto"/>
          <w:color w:val="auto"/>
        </w:rPr>
        <w:t>Equity Securities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The cost, estimated fair value, and gross gains and losses of investments in equity securities as of June 30, 2019 and December 31, 2018 are as follows: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0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June 30, 2019</w:t>
            </w:r>
          </w:p>
        </w:tc>
        <w:tc>
          <w:tcPr>
            <w:tcW w:w="8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6080" w:type="dxa"/>
            <w:vAlign w:val="bottom"/>
            <w:vMerge w:val="restart"/>
          </w:tcPr>
          <w:p>
            <w:pPr>
              <w:ind w:left="40"/>
              <w:spacing w:after="0"/>
              <w:rPr>
                <w:sz w:val="20"/>
                <w:szCs w:val="20"/>
                <w:color w:val="auto"/>
              </w:rPr>
            </w:pPr>
            <w:r>
              <w:rPr>
                <w:rFonts w:ascii="Arial" w:cs="Arial" w:eastAsia="Arial" w:hAnsi="Arial"/>
                <w:sz w:val="17"/>
                <w:szCs w:val="17"/>
                <w:b w:val="1"/>
                <w:bCs w:val="1"/>
                <w:color w:val="auto"/>
              </w:rPr>
              <w:t>Category</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282"/>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9"/>
                <w:szCs w:val="19"/>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200"/>
        </w:trPr>
        <w:tc>
          <w:tcPr>
            <w:tcW w:w="60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318"/>
              <w:spacing w:after="0"/>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282"/>
              <w:spacing w:after="0"/>
              <w:rPr>
                <w:sz w:val="20"/>
                <w:szCs w:val="20"/>
                <w:color w:val="auto"/>
              </w:rPr>
            </w:pPr>
            <w:r>
              <w:rPr>
                <w:rFonts w:ascii="Arial" w:cs="Arial" w:eastAsia="Arial" w:hAnsi="Arial"/>
                <w:sz w:val="14"/>
                <w:szCs w:val="14"/>
                <w:b w:val="1"/>
                <w:bCs w:val="1"/>
                <w:color w:val="auto"/>
              </w:rPr>
              <w:t>Gains</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7"/>
                <w:szCs w:val="17"/>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470"/>
        </w:trPr>
        <w:tc>
          <w:tcPr>
            <w:tcW w:w="6080" w:type="dxa"/>
            <w:vAlign w:val="bottom"/>
          </w:tcPr>
          <w:p>
            <w:pPr>
              <w:ind w:left="40"/>
              <w:spacing w:after="0"/>
              <w:rPr>
                <w:sz w:val="20"/>
                <w:szCs w:val="20"/>
                <w:color w:val="auto"/>
              </w:rPr>
            </w:pPr>
            <w:r>
              <w:rPr>
                <w:rFonts w:ascii="Arial" w:cs="Arial" w:eastAsia="Arial" w:hAnsi="Arial"/>
                <w:sz w:val="17"/>
                <w:szCs w:val="17"/>
                <w:b w:val="1"/>
                <w:bCs w:val="1"/>
                <w:color w:val="auto"/>
              </w:rPr>
              <w:t>Equity Securities:</w:t>
            </w: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08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Preferred stocks</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9,445,572</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175,517</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(58,389)</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9,562,700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80" w:type="dxa"/>
            <w:vAlign w:val="bottom"/>
          </w:tcPr>
          <w:p>
            <w:pPr>
              <w:ind w:left="40"/>
              <w:spacing w:after="0"/>
              <w:rPr>
                <w:sz w:val="20"/>
                <w:szCs w:val="20"/>
                <w:color w:val="auto"/>
              </w:rPr>
            </w:pPr>
            <w:r>
              <w:rPr>
                <w:rFonts w:ascii="Arial" w:cs="Arial" w:eastAsia="Arial" w:hAnsi="Arial"/>
                <w:sz w:val="17"/>
                <w:szCs w:val="17"/>
                <w:color w:val="auto"/>
              </w:rPr>
              <w:t>Common stocks and exchange</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8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traded mutual funds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12,809,216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1,045,871</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(678,837)</w:t>
            </w:r>
          </w:p>
        </w:tc>
        <w:tc>
          <w:tcPr>
            <w:tcW w:w="1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13,176,250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08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6080" w:type="dxa"/>
            <w:vAlign w:val="bottom"/>
          </w:tcPr>
          <w:p>
            <w:pPr>
              <w:ind w:left="40"/>
              <w:spacing w:after="0"/>
              <w:rPr>
                <w:sz w:val="20"/>
                <w:szCs w:val="20"/>
                <w:color w:val="auto"/>
              </w:rPr>
            </w:pPr>
            <w:r>
              <w:rPr>
                <w:rFonts w:ascii="Arial" w:cs="Arial" w:eastAsia="Arial" w:hAnsi="Arial"/>
                <w:sz w:val="17"/>
                <w:szCs w:val="17"/>
                <w:color w:val="auto"/>
              </w:rPr>
              <w:t>Total</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22,254,788</w:t>
            </w:r>
          </w:p>
        </w:tc>
        <w:tc>
          <w:tcPr>
            <w:tcW w:w="5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1,221,388</w:t>
            </w:r>
          </w:p>
        </w:tc>
        <w:tc>
          <w:tcPr>
            <w:tcW w:w="5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(737,226)</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22,738,950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60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right"/>
              <w:ind w:right="940"/>
              <w:spacing w:after="0"/>
              <w:rPr>
                <w:sz w:val="20"/>
                <w:szCs w:val="20"/>
                <w:color w:val="auto"/>
              </w:rPr>
            </w:pPr>
            <w:r>
              <w:rPr>
                <w:rFonts w:ascii="Arial" w:cs="Arial" w:eastAsia="Arial" w:hAnsi="Arial"/>
                <w:sz w:val="14"/>
                <w:szCs w:val="14"/>
                <w:b w:val="1"/>
                <w:bCs w:val="1"/>
                <w:color w:val="auto"/>
              </w:rPr>
              <w:t>December 31, 2018</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6080" w:type="dxa"/>
            <w:vAlign w:val="bottom"/>
            <w:vMerge w:val="restart"/>
          </w:tcPr>
          <w:p>
            <w:pPr>
              <w:ind w:left="40"/>
              <w:spacing w:after="0"/>
              <w:rPr>
                <w:sz w:val="20"/>
                <w:szCs w:val="20"/>
                <w:color w:val="auto"/>
              </w:rPr>
            </w:pPr>
            <w:r>
              <w:rPr>
                <w:rFonts w:ascii="Arial" w:cs="Arial" w:eastAsia="Arial" w:hAnsi="Arial"/>
                <w:sz w:val="17"/>
                <w:szCs w:val="17"/>
                <w:b w:val="1"/>
                <w:bCs w:val="1"/>
                <w:color w:val="auto"/>
              </w:rPr>
              <w:t>Category</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282"/>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9"/>
                <w:szCs w:val="19"/>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200"/>
        </w:trPr>
        <w:tc>
          <w:tcPr>
            <w:tcW w:w="60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318"/>
              <w:spacing w:after="0"/>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282"/>
              <w:spacing w:after="0"/>
              <w:rPr>
                <w:sz w:val="20"/>
                <w:szCs w:val="20"/>
                <w:color w:val="auto"/>
              </w:rPr>
            </w:pPr>
            <w:r>
              <w:rPr>
                <w:rFonts w:ascii="Arial" w:cs="Arial" w:eastAsia="Arial" w:hAnsi="Arial"/>
                <w:sz w:val="14"/>
                <w:szCs w:val="14"/>
                <w:b w:val="1"/>
                <w:bCs w:val="1"/>
                <w:color w:val="auto"/>
              </w:rPr>
              <w:t>Gains</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7"/>
                <w:szCs w:val="17"/>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470"/>
        </w:trPr>
        <w:tc>
          <w:tcPr>
            <w:tcW w:w="6080" w:type="dxa"/>
            <w:vAlign w:val="bottom"/>
          </w:tcPr>
          <w:p>
            <w:pPr>
              <w:ind w:left="40"/>
              <w:spacing w:after="0"/>
              <w:rPr>
                <w:sz w:val="20"/>
                <w:szCs w:val="20"/>
                <w:color w:val="auto"/>
              </w:rPr>
            </w:pPr>
            <w:r>
              <w:rPr>
                <w:rFonts w:ascii="Arial" w:cs="Arial" w:eastAsia="Arial" w:hAnsi="Arial"/>
                <w:sz w:val="17"/>
                <w:szCs w:val="17"/>
                <w:b w:val="1"/>
                <w:bCs w:val="1"/>
                <w:color w:val="auto"/>
              </w:rPr>
              <w:t>Equity Securities:</w:t>
            </w: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08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Preferred stocks</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6,694,754</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(541,798)</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6,152,956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80" w:type="dxa"/>
            <w:vAlign w:val="bottom"/>
          </w:tcPr>
          <w:p>
            <w:pPr>
              <w:ind w:left="40"/>
              <w:spacing w:after="0"/>
              <w:rPr>
                <w:sz w:val="20"/>
                <w:szCs w:val="20"/>
                <w:color w:val="auto"/>
              </w:rPr>
            </w:pPr>
            <w:r>
              <w:rPr>
                <w:rFonts w:ascii="Arial" w:cs="Arial" w:eastAsia="Arial" w:hAnsi="Arial"/>
                <w:sz w:val="17"/>
                <w:szCs w:val="17"/>
                <w:color w:val="auto"/>
              </w:rPr>
              <w:t>Common stocks and exchange</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8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traded mutual funds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11,611,232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99,817</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4"/>
              </w:rPr>
              <w:t>(1,291,389)</w:t>
            </w:r>
          </w:p>
        </w:tc>
        <w:tc>
          <w:tcPr>
            <w:tcW w:w="1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10,419,660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08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6080" w:type="dxa"/>
            <w:vAlign w:val="bottom"/>
          </w:tcPr>
          <w:p>
            <w:pPr>
              <w:ind w:left="40"/>
              <w:spacing w:after="0"/>
              <w:rPr>
                <w:sz w:val="20"/>
                <w:szCs w:val="20"/>
                <w:color w:val="auto"/>
              </w:rPr>
            </w:pPr>
            <w:r>
              <w:rPr>
                <w:rFonts w:ascii="Arial" w:cs="Arial" w:eastAsia="Arial" w:hAnsi="Arial"/>
                <w:sz w:val="17"/>
                <w:szCs w:val="17"/>
                <w:color w:val="auto"/>
              </w:rPr>
              <w:t>Total</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18,305,986</w:t>
            </w:r>
          </w:p>
        </w:tc>
        <w:tc>
          <w:tcPr>
            <w:tcW w:w="5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99,817</w:t>
            </w:r>
          </w:p>
        </w:tc>
        <w:tc>
          <w:tcPr>
            <w:tcW w:w="5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w w:val="94"/>
              </w:rPr>
              <w:t>(1,833,187)</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16,572,616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Investments</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color w:val="auto"/>
        </w:rPr>
        <w:t>The cost, estimated fair value, and gross unrealized gain and losses of the Company’s other investments as of June 30, 2019 and December 31, 2018 are as follows: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7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June 30, 2019</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1"/>
              </w:rPr>
              <w:t>December 31, 2018</w:t>
            </w: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700" w:type="dxa"/>
            <w:vAlign w:val="bottom"/>
            <w:vMerge w:val="restart"/>
          </w:tcPr>
          <w:p>
            <w:pPr>
              <w:ind w:left="40"/>
              <w:spacing w:after="0"/>
              <w:rPr>
                <w:sz w:val="20"/>
                <w:szCs w:val="20"/>
                <w:color w:val="auto"/>
              </w:rPr>
            </w:pPr>
            <w:r>
              <w:rPr>
                <w:rFonts w:ascii="Arial" w:cs="Arial" w:eastAsia="Arial" w:hAnsi="Arial"/>
                <w:sz w:val="17"/>
                <w:szCs w:val="17"/>
                <w:b w:val="1"/>
                <w:bCs w:val="1"/>
                <w:color w:val="auto"/>
              </w:rPr>
              <w:t>Category</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42"/>
              <w:spacing w:after="0"/>
              <w:rPr>
                <w:sz w:val="20"/>
                <w:szCs w:val="20"/>
                <w:color w:val="auto"/>
              </w:rPr>
            </w:pPr>
            <w:r>
              <w:rPr>
                <w:rFonts w:ascii="Arial" w:cs="Arial" w:eastAsia="Arial" w:hAnsi="Arial"/>
                <w:sz w:val="14"/>
                <w:szCs w:val="14"/>
                <w:b w:val="1"/>
                <w:bCs w:val="1"/>
                <w:color w:val="auto"/>
                <w:w w:val="98"/>
              </w:rPr>
              <w:t>Estimated</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9"/>
                <w:szCs w:val="19"/>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200"/>
        </w:trPr>
        <w:tc>
          <w:tcPr>
            <w:tcW w:w="47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ind w:right="219"/>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42"/>
              <w:spacing w:after="0"/>
              <w:rPr>
                <w:sz w:val="20"/>
                <w:szCs w:val="20"/>
                <w:color w:val="auto"/>
              </w:rPr>
            </w:pPr>
            <w:r>
              <w:rPr>
                <w:rFonts w:ascii="Arial" w:cs="Arial" w:eastAsia="Arial" w:hAnsi="Arial"/>
                <w:sz w:val="14"/>
                <w:szCs w:val="14"/>
                <w:b w:val="1"/>
                <w:bCs w:val="1"/>
                <w:color w:val="auto"/>
                <w:w w:val="98"/>
              </w:rPr>
              <w:t>Fair Value</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259"/>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7"/>
                <w:szCs w:val="17"/>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470"/>
        </w:trPr>
        <w:tc>
          <w:tcPr>
            <w:tcW w:w="4700" w:type="dxa"/>
            <w:vAlign w:val="bottom"/>
          </w:tcPr>
          <w:p>
            <w:pPr>
              <w:ind w:left="40"/>
              <w:spacing w:after="0"/>
              <w:rPr>
                <w:sz w:val="20"/>
                <w:szCs w:val="20"/>
                <w:color w:val="auto"/>
              </w:rPr>
            </w:pPr>
            <w:r>
              <w:rPr>
                <w:rFonts w:ascii="Arial" w:cs="Arial" w:eastAsia="Arial" w:hAnsi="Arial"/>
                <w:sz w:val="17"/>
                <w:szCs w:val="17"/>
                <w:b w:val="1"/>
                <w:bCs w:val="1"/>
                <w:color w:val="auto"/>
              </w:rPr>
              <w:t>Other Investments:</w:t>
            </w: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70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Hedge fund</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1,999,381</w:t>
            </w:r>
          </w:p>
        </w:tc>
        <w:tc>
          <w:tcPr>
            <w:tcW w:w="420" w:type="dxa"/>
            <w:vAlign w:val="bottom"/>
            <w:gridSpan w:val="2"/>
            <w:shd w:val="clear" w:color="auto" w:fill="CCEEFF"/>
          </w:tcPr>
          <w:p>
            <w:pPr>
              <w:jc w:val="right"/>
              <w:ind w:right="28"/>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336,493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2,335,874</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7"/>
              </w:rPr>
              <w:t>1,999,381</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6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(144,156)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1,855,225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70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4700" w:type="dxa"/>
            <w:vAlign w:val="bottom"/>
          </w:tcPr>
          <w:p>
            <w:pPr>
              <w:ind w:left="40"/>
              <w:spacing w:after="0"/>
              <w:rPr>
                <w:sz w:val="20"/>
                <w:szCs w:val="20"/>
                <w:color w:val="auto"/>
              </w:rPr>
            </w:pPr>
            <w:r>
              <w:rPr>
                <w:rFonts w:ascii="Arial" w:cs="Arial" w:eastAsia="Arial" w:hAnsi="Arial"/>
                <w:sz w:val="17"/>
                <w:szCs w:val="17"/>
                <w:color w:val="auto"/>
              </w:rPr>
              <w:t>Total</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w w:val="97"/>
              </w:rPr>
              <w:t>1,999,381</w:t>
            </w:r>
          </w:p>
        </w:tc>
        <w:tc>
          <w:tcPr>
            <w:tcW w:w="420" w:type="dxa"/>
            <w:vAlign w:val="bottom"/>
            <w:gridSpan w:val="2"/>
          </w:tcPr>
          <w:p>
            <w:pPr>
              <w:jc w:val="right"/>
              <w:ind w:right="28"/>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336,493</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2,335,874</w:t>
            </w:r>
          </w:p>
        </w:tc>
        <w:tc>
          <w:tcPr>
            <w:tcW w:w="3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w w:val="97"/>
              </w:rPr>
              <w:t>1,999,381</w:t>
            </w:r>
          </w:p>
        </w:tc>
        <w:tc>
          <w:tcPr>
            <w:tcW w:w="3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60" w:type="dxa"/>
            <w:vAlign w:val="bottom"/>
            <w:gridSpan w:val="2"/>
          </w:tcPr>
          <w:p>
            <w:pPr>
              <w:ind w:left="120"/>
              <w:spacing w:after="0"/>
              <w:rPr>
                <w:sz w:val="20"/>
                <w:szCs w:val="20"/>
                <w:color w:val="auto"/>
              </w:rPr>
            </w:pPr>
            <w:r>
              <w:rPr>
                <w:rFonts w:ascii="Arial" w:cs="Arial" w:eastAsia="Arial" w:hAnsi="Arial"/>
                <w:sz w:val="17"/>
                <w:szCs w:val="17"/>
                <w:color w:val="auto"/>
              </w:rPr>
              <w:t>(144,156)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1,855,225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Arial" w:cs="Arial" w:eastAsia="Arial" w:hAnsi="Arial"/>
                <w:sz w:val="17"/>
                <w:szCs w:val="17"/>
                <w:color w:val="auto"/>
                <w:w w:val="84"/>
              </w:rPr>
              <w:t>11</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5"/>
        </w:trPr>
        <w:tc>
          <w:tcPr>
            <w:tcW w:w="4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0" w:right="239" w:bottom="1440" w:gutter="0" w:footer="0" w:header="0"/>
        </w:sectPr>
      </w:pPr>
    </w:p>
    <w:bookmarkStart w:id="14" w:name="page15"/>
    <w:bookmarkEnd w:id="14"/>
    <w:p>
      <w:pPr>
        <w:spacing w:after="0"/>
        <w:rPr>
          <w:sz w:val="20"/>
          <w:szCs w:val="20"/>
          <w:color w:val="auto"/>
        </w:rPr>
      </w:pPr>
      <w:r>
        <w:rPr>
          <w:rFonts w:ascii="Arial" w:cs="Arial" w:eastAsia="Arial" w:hAnsi="Arial"/>
          <w:sz w:val="17"/>
          <w:szCs w:val="17"/>
          <w:u w:val="single" w:color="auto"/>
          <w:color w:val="auto"/>
        </w:rPr>
        <w:t>Held-to-Maturity Securities</w:t>
      </w:r>
    </w:p>
    <w:p>
      <w:pPr>
        <w:spacing w:after="0" w:line="223" w:lineRule="exact"/>
        <w:rPr>
          <w:sz w:val="20"/>
          <w:szCs w:val="20"/>
          <w:color w:val="auto"/>
        </w:rPr>
      </w:pPr>
    </w:p>
    <w:p>
      <w:pPr>
        <w:spacing w:after="0" w:line="281" w:lineRule="auto"/>
        <w:rPr>
          <w:sz w:val="20"/>
          <w:szCs w:val="20"/>
          <w:color w:val="auto"/>
        </w:rPr>
      </w:pPr>
      <w:r>
        <w:rPr>
          <w:rFonts w:ascii="Arial" w:cs="Arial" w:eastAsia="Arial" w:hAnsi="Arial"/>
          <w:sz w:val="17"/>
          <w:szCs w:val="17"/>
          <w:color w:val="auto"/>
        </w:rPr>
        <w:t>The amortized cost, estimated fair value, and unrealized gains and losses of investments in held-to-maturity fixed-maturity securities as of June 30, 2019 and December 31, 2018 are summarized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7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6"/>
          </w:tcPr>
          <w:p>
            <w:pPr>
              <w:jc w:val="right"/>
              <w:ind w:right="760"/>
              <w:spacing w:after="0"/>
              <w:rPr>
                <w:sz w:val="20"/>
                <w:szCs w:val="20"/>
                <w:color w:val="auto"/>
              </w:rPr>
            </w:pPr>
            <w:r>
              <w:rPr>
                <w:rFonts w:ascii="Arial" w:cs="Arial" w:eastAsia="Arial" w:hAnsi="Arial"/>
                <w:sz w:val="14"/>
                <w:szCs w:val="14"/>
                <w:b w:val="1"/>
                <w:bCs w:val="1"/>
                <w:color w:val="auto"/>
              </w:rPr>
              <w:t>June 30, 2019</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25"/>
        </w:trPr>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Cost or</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Gross Unrealized Losses</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Estimated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ind w:right="121"/>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225"/>
        </w:trPr>
        <w:tc>
          <w:tcPr>
            <w:tcW w:w="4700" w:type="dxa"/>
            <w:vAlign w:val="bottom"/>
            <w:vMerge w:val="restart"/>
          </w:tcPr>
          <w:p>
            <w:pPr>
              <w:ind w:left="40"/>
              <w:spacing w:after="0"/>
              <w:rPr>
                <w:sz w:val="20"/>
                <w:szCs w:val="20"/>
                <w:color w:val="auto"/>
              </w:rPr>
            </w:pPr>
            <w:r>
              <w:rPr>
                <w:rFonts w:ascii="Arial" w:cs="Arial" w:eastAsia="Arial" w:hAnsi="Arial"/>
                <w:sz w:val="17"/>
                <w:szCs w:val="17"/>
                <w:b w:val="1"/>
                <w:bCs w:val="1"/>
                <w:color w:val="auto"/>
              </w:rPr>
              <w:t>Category</w:t>
            </w:r>
          </w:p>
        </w:tc>
        <w:tc>
          <w:tcPr>
            <w:tcW w:w="120" w:type="dxa"/>
            <w:vAlign w:val="bottom"/>
          </w:tcPr>
          <w:p>
            <w:pPr>
              <w:spacing w:after="0"/>
              <w:rPr>
                <w:sz w:val="19"/>
                <w:szCs w:val="19"/>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Less than 12</w:t>
            </w:r>
          </w:p>
        </w:tc>
        <w:tc>
          <w:tcPr>
            <w:tcW w:w="80" w:type="dxa"/>
            <w:vAlign w:val="bottom"/>
          </w:tcPr>
          <w:p>
            <w:pPr>
              <w:spacing w:after="0"/>
              <w:rPr>
                <w:sz w:val="19"/>
                <w:szCs w:val="19"/>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More than 12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center"/>
              <w:ind w:right="121"/>
              <w:spacing w:after="0"/>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200"/>
        </w:trPr>
        <w:tc>
          <w:tcPr>
            <w:tcW w:w="47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Months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Months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ind w:right="101"/>
              <w:spacing w:after="0"/>
              <w:rPr>
                <w:sz w:val="20"/>
                <w:szCs w:val="20"/>
                <w:color w:val="auto"/>
              </w:rPr>
            </w:pPr>
            <w:r>
              <w:rPr>
                <w:rFonts w:ascii="Arial" w:cs="Arial" w:eastAsia="Arial" w:hAnsi="Arial"/>
                <w:sz w:val="14"/>
                <w:szCs w:val="14"/>
                <w:b w:val="1"/>
                <w:bCs w:val="1"/>
                <w:color w:val="auto"/>
                <w:w w:val="92"/>
              </w:rPr>
              <w:t>Gains</w:t>
            </w:r>
          </w:p>
        </w:tc>
        <w:tc>
          <w:tcPr>
            <w:tcW w:w="0" w:type="dxa"/>
            <w:vAlign w:val="bottom"/>
          </w:tcPr>
          <w:p>
            <w:pPr>
              <w:spacing w:after="0"/>
              <w:rPr>
                <w:sz w:val="1"/>
                <w:szCs w:val="1"/>
                <w:color w:val="auto"/>
              </w:rPr>
            </w:pPr>
          </w:p>
        </w:tc>
      </w:tr>
      <w:tr>
        <w:trPr>
          <w:trHeight w:val="470"/>
        </w:trPr>
        <w:tc>
          <w:tcPr>
            <w:tcW w:w="4700" w:type="dxa"/>
            <w:vAlign w:val="bottom"/>
          </w:tcPr>
          <w:p>
            <w:pPr>
              <w:ind w:left="40"/>
              <w:spacing w:after="0"/>
              <w:rPr>
                <w:sz w:val="20"/>
                <w:szCs w:val="20"/>
                <w:color w:val="auto"/>
              </w:rPr>
            </w:pPr>
            <w:r>
              <w:rPr>
                <w:rFonts w:ascii="Arial" w:cs="Arial" w:eastAsia="Arial" w:hAnsi="Arial"/>
                <w:sz w:val="17"/>
                <w:szCs w:val="17"/>
                <w:b w:val="1"/>
                <w:bCs w:val="1"/>
                <w:color w:val="auto"/>
              </w:rPr>
              <w:t>Held-to-Maturity Securities:</w:t>
            </w: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70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U.S. Treasury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729,528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150,495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ind w:right="8"/>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880,023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tcBorders>
              <w:right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150,495</w:t>
            </w:r>
          </w:p>
        </w:tc>
        <w:tc>
          <w:tcPr>
            <w:tcW w:w="0" w:type="dxa"/>
            <w:vAlign w:val="bottom"/>
          </w:tcPr>
          <w:p>
            <w:pPr>
              <w:spacing w:after="0"/>
              <w:rPr>
                <w:sz w:val="1"/>
                <w:szCs w:val="1"/>
                <w:color w:val="auto"/>
              </w:rPr>
            </w:pPr>
          </w:p>
        </w:tc>
      </w:tr>
      <w:tr>
        <w:trPr>
          <w:trHeight w:val="209"/>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Political subdivisions of States,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tcPr>
          <w:p>
            <w:pPr>
              <w:ind w:left="40"/>
              <w:spacing w:after="0"/>
              <w:rPr>
                <w:sz w:val="20"/>
                <w:szCs w:val="20"/>
                <w:color w:val="auto"/>
              </w:rPr>
            </w:pPr>
            <w:r>
              <w:rPr>
                <w:rFonts w:ascii="Arial" w:cs="Arial" w:eastAsia="Arial" w:hAnsi="Arial"/>
                <w:sz w:val="17"/>
                <w:szCs w:val="17"/>
                <w:color w:val="auto"/>
              </w:rPr>
              <w:t>Territories and Possessions</w:t>
            </w: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998,715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51,025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1,049,740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41"/>
              <w:spacing w:after="0"/>
              <w:rPr>
                <w:sz w:val="20"/>
                <w:szCs w:val="20"/>
                <w:color w:val="auto"/>
              </w:rPr>
            </w:pPr>
            <w:r>
              <w:rPr>
                <w:rFonts w:ascii="Arial" w:cs="Arial" w:eastAsia="Arial" w:hAnsi="Arial"/>
                <w:sz w:val="17"/>
                <w:szCs w:val="17"/>
                <w:color w:val="auto"/>
              </w:rPr>
              <w:t>51,025</w:t>
            </w:r>
          </w:p>
        </w:tc>
        <w:tc>
          <w:tcPr>
            <w:tcW w:w="0" w:type="dxa"/>
            <w:vAlign w:val="bottom"/>
          </w:tcPr>
          <w:p>
            <w:pPr>
              <w:spacing w:after="0"/>
              <w:rPr>
                <w:sz w:val="1"/>
                <w:szCs w:val="1"/>
                <w:color w:val="auto"/>
              </w:rPr>
            </w:pPr>
          </w:p>
        </w:tc>
      </w:tr>
      <w:tr>
        <w:trPr>
          <w:trHeight w:val="209"/>
        </w:trPr>
        <w:tc>
          <w:tcPr>
            <w:tcW w:w="47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tcPr>
          <w:p>
            <w:pPr>
              <w:ind w:left="40"/>
              <w:spacing w:after="0"/>
              <w:rPr>
                <w:sz w:val="20"/>
                <w:szCs w:val="20"/>
                <w:color w:val="auto"/>
              </w:rPr>
            </w:pPr>
            <w:r>
              <w:rPr>
                <w:rFonts w:ascii="Arial" w:cs="Arial" w:eastAsia="Arial" w:hAnsi="Arial"/>
                <w:sz w:val="17"/>
                <w:szCs w:val="17"/>
                <w:color w:val="auto"/>
              </w:rPr>
              <w:t>Corporate and other bonds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0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Industrial and miscellaneous</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2,096,377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90,357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(2,425)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2,184,309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87,932</w:t>
            </w:r>
          </w:p>
        </w:tc>
        <w:tc>
          <w:tcPr>
            <w:tcW w:w="0" w:type="dxa"/>
            <w:vAlign w:val="bottom"/>
          </w:tcPr>
          <w:p>
            <w:pPr>
              <w:spacing w:after="0"/>
              <w:rPr>
                <w:sz w:val="1"/>
                <w:szCs w:val="1"/>
                <w:color w:val="auto"/>
              </w:rPr>
            </w:pPr>
          </w:p>
        </w:tc>
      </w:tr>
      <w:tr>
        <w:trPr>
          <w:trHeight w:val="209"/>
        </w:trPr>
        <w:tc>
          <w:tcPr>
            <w:tcW w:w="47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0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3,824,620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291,877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ind w:right="8"/>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(2,425)</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4,114,072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tcBorders>
              <w:right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289,452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47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6"/>
          </w:tcPr>
          <w:p>
            <w:pPr>
              <w:jc w:val="right"/>
              <w:ind w:right="600"/>
              <w:spacing w:after="0"/>
              <w:rPr>
                <w:sz w:val="20"/>
                <w:szCs w:val="20"/>
                <w:color w:val="auto"/>
              </w:rPr>
            </w:pPr>
            <w:r>
              <w:rPr>
                <w:rFonts w:ascii="Arial" w:cs="Arial" w:eastAsia="Arial" w:hAnsi="Arial"/>
                <w:sz w:val="14"/>
                <w:szCs w:val="14"/>
                <w:b w:val="1"/>
                <w:bCs w:val="1"/>
                <w:color w:val="auto"/>
              </w:rPr>
              <w:t>December 31, 2018</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Cost or</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Gross Unrealized Losses</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Estimated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ind w:right="121"/>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225"/>
        </w:trPr>
        <w:tc>
          <w:tcPr>
            <w:tcW w:w="4700" w:type="dxa"/>
            <w:vAlign w:val="bottom"/>
            <w:vMerge w:val="restart"/>
          </w:tcPr>
          <w:p>
            <w:pPr>
              <w:ind w:left="40"/>
              <w:spacing w:after="0"/>
              <w:rPr>
                <w:sz w:val="20"/>
                <w:szCs w:val="20"/>
                <w:color w:val="auto"/>
              </w:rPr>
            </w:pPr>
            <w:r>
              <w:rPr>
                <w:rFonts w:ascii="Arial" w:cs="Arial" w:eastAsia="Arial" w:hAnsi="Arial"/>
                <w:sz w:val="17"/>
                <w:szCs w:val="17"/>
                <w:b w:val="1"/>
                <w:bCs w:val="1"/>
                <w:color w:val="auto"/>
              </w:rPr>
              <w:t>Category</w:t>
            </w:r>
          </w:p>
        </w:tc>
        <w:tc>
          <w:tcPr>
            <w:tcW w:w="120" w:type="dxa"/>
            <w:vAlign w:val="bottom"/>
          </w:tcPr>
          <w:p>
            <w:pPr>
              <w:spacing w:after="0"/>
              <w:rPr>
                <w:sz w:val="19"/>
                <w:szCs w:val="19"/>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Less than 12</w:t>
            </w:r>
          </w:p>
        </w:tc>
        <w:tc>
          <w:tcPr>
            <w:tcW w:w="80" w:type="dxa"/>
            <w:vAlign w:val="bottom"/>
          </w:tcPr>
          <w:p>
            <w:pPr>
              <w:spacing w:after="0"/>
              <w:rPr>
                <w:sz w:val="19"/>
                <w:szCs w:val="19"/>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More than 12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center"/>
              <w:ind w:right="121"/>
              <w:spacing w:after="0"/>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200"/>
        </w:trPr>
        <w:tc>
          <w:tcPr>
            <w:tcW w:w="47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Months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Months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ind w:right="101"/>
              <w:spacing w:after="0"/>
              <w:rPr>
                <w:sz w:val="20"/>
                <w:szCs w:val="20"/>
                <w:color w:val="auto"/>
              </w:rPr>
            </w:pPr>
            <w:r>
              <w:rPr>
                <w:rFonts w:ascii="Arial" w:cs="Arial" w:eastAsia="Arial" w:hAnsi="Arial"/>
                <w:sz w:val="14"/>
                <w:szCs w:val="14"/>
                <w:b w:val="1"/>
                <w:bCs w:val="1"/>
                <w:color w:val="auto"/>
                <w:w w:val="92"/>
              </w:rPr>
              <w:t>Gains</w:t>
            </w:r>
          </w:p>
        </w:tc>
        <w:tc>
          <w:tcPr>
            <w:tcW w:w="0" w:type="dxa"/>
            <w:vAlign w:val="bottom"/>
          </w:tcPr>
          <w:p>
            <w:pPr>
              <w:spacing w:after="0"/>
              <w:rPr>
                <w:sz w:val="1"/>
                <w:szCs w:val="1"/>
                <w:color w:val="auto"/>
              </w:rPr>
            </w:pPr>
          </w:p>
        </w:tc>
      </w:tr>
      <w:tr>
        <w:trPr>
          <w:trHeight w:val="470"/>
        </w:trPr>
        <w:tc>
          <w:tcPr>
            <w:tcW w:w="4700" w:type="dxa"/>
            <w:vAlign w:val="bottom"/>
          </w:tcPr>
          <w:p>
            <w:pPr>
              <w:ind w:left="40"/>
              <w:spacing w:after="0"/>
              <w:rPr>
                <w:sz w:val="20"/>
                <w:szCs w:val="20"/>
                <w:color w:val="auto"/>
              </w:rPr>
            </w:pPr>
            <w:r>
              <w:rPr>
                <w:rFonts w:ascii="Arial" w:cs="Arial" w:eastAsia="Arial" w:hAnsi="Arial"/>
                <w:sz w:val="17"/>
                <w:szCs w:val="17"/>
                <w:b w:val="1"/>
                <w:bCs w:val="1"/>
                <w:color w:val="auto"/>
              </w:rPr>
              <w:t>Held-to-Maturity Securities:</w:t>
            </w: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70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U.S. Treasury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729,507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147,532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(3,964)</w:t>
            </w:r>
          </w:p>
        </w:tc>
        <w:tc>
          <w:tcPr>
            <w:tcW w:w="240" w:type="dxa"/>
            <w:vAlign w:val="bottom"/>
            <w:gridSpan w:val="2"/>
            <w:shd w:val="clear" w:color="auto" w:fill="CCEEFF"/>
          </w:tcPr>
          <w:p>
            <w:pPr>
              <w:jc w:val="right"/>
              <w:ind w:right="8"/>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873,075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tcBorders>
              <w:right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143,568</w:t>
            </w:r>
          </w:p>
        </w:tc>
        <w:tc>
          <w:tcPr>
            <w:tcW w:w="0" w:type="dxa"/>
            <w:vAlign w:val="bottom"/>
          </w:tcPr>
          <w:p>
            <w:pPr>
              <w:spacing w:after="0"/>
              <w:rPr>
                <w:sz w:val="1"/>
                <w:szCs w:val="1"/>
                <w:color w:val="auto"/>
              </w:rPr>
            </w:pPr>
          </w:p>
        </w:tc>
      </w:tr>
      <w:tr>
        <w:trPr>
          <w:trHeight w:val="209"/>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Political subdivisions of States,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tcPr>
          <w:p>
            <w:pPr>
              <w:ind w:left="40"/>
              <w:spacing w:after="0"/>
              <w:rPr>
                <w:sz w:val="20"/>
                <w:szCs w:val="20"/>
                <w:color w:val="auto"/>
              </w:rPr>
            </w:pPr>
            <w:r>
              <w:rPr>
                <w:rFonts w:ascii="Arial" w:cs="Arial" w:eastAsia="Arial" w:hAnsi="Arial"/>
                <w:sz w:val="17"/>
                <w:szCs w:val="17"/>
                <w:color w:val="auto"/>
              </w:rPr>
              <w:t>Territories and Possessions</w:t>
            </w: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998,803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33,862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1,032,665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41"/>
              <w:spacing w:after="0"/>
              <w:rPr>
                <w:sz w:val="20"/>
                <w:szCs w:val="20"/>
                <w:color w:val="auto"/>
              </w:rPr>
            </w:pPr>
            <w:r>
              <w:rPr>
                <w:rFonts w:ascii="Arial" w:cs="Arial" w:eastAsia="Arial" w:hAnsi="Arial"/>
                <w:sz w:val="17"/>
                <w:szCs w:val="17"/>
                <w:color w:val="auto"/>
              </w:rPr>
              <w:t>33,862</w:t>
            </w:r>
          </w:p>
        </w:tc>
        <w:tc>
          <w:tcPr>
            <w:tcW w:w="0" w:type="dxa"/>
            <w:vAlign w:val="bottom"/>
          </w:tcPr>
          <w:p>
            <w:pPr>
              <w:spacing w:after="0"/>
              <w:rPr>
                <w:sz w:val="1"/>
                <w:szCs w:val="1"/>
                <w:color w:val="auto"/>
              </w:rPr>
            </w:pPr>
          </w:p>
        </w:tc>
      </w:tr>
      <w:tr>
        <w:trPr>
          <w:trHeight w:val="209"/>
        </w:trPr>
        <w:tc>
          <w:tcPr>
            <w:tcW w:w="47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tcPr>
          <w:p>
            <w:pPr>
              <w:ind w:left="40"/>
              <w:spacing w:after="0"/>
              <w:rPr>
                <w:sz w:val="20"/>
                <w:szCs w:val="20"/>
                <w:color w:val="auto"/>
              </w:rPr>
            </w:pPr>
            <w:r>
              <w:rPr>
                <w:rFonts w:ascii="Arial" w:cs="Arial" w:eastAsia="Arial" w:hAnsi="Arial"/>
                <w:sz w:val="17"/>
                <w:szCs w:val="17"/>
                <w:color w:val="auto"/>
              </w:rPr>
              <w:t>Corporate and other bonds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0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Industrial and miscellaneous</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2,494,545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38,461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(1,425)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(10,905)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2,520,676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26,131</w:t>
            </w:r>
          </w:p>
        </w:tc>
        <w:tc>
          <w:tcPr>
            <w:tcW w:w="0" w:type="dxa"/>
            <w:vAlign w:val="bottom"/>
          </w:tcPr>
          <w:p>
            <w:pPr>
              <w:spacing w:after="0"/>
              <w:rPr>
                <w:sz w:val="1"/>
                <w:szCs w:val="1"/>
                <w:color w:val="auto"/>
              </w:rPr>
            </w:pPr>
          </w:p>
        </w:tc>
      </w:tr>
      <w:tr>
        <w:trPr>
          <w:trHeight w:val="209"/>
        </w:trPr>
        <w:tc>
          <w:tcPr>
            <w:tcW w:w="47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0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4,222,855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219,855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(5,389)</w:t>
            </w:r>
          </w:p>
        </w:tc>
        <w:tc>
          <w:tcPr>
            <w:tcW w:w="240" w:type="dxa"/>
            <w:vAlign w:val="bottom"/>
            <w:gridSpan w:val="2"/>
            <w:shd w:val="clear" w:color="auto" w:fill="CCEEFF"/>
          </w:tcPr>
          <w:p>
            <w:pPr>
              <w:jc w:val="right"/>
              <w:ind w:right="8"/>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(10,905)</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4,426,416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tcBorders>
              <w:right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203,561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Held-to-maturity U.S. Treasury securities are held in trust pursuant to various states’ minimum funds requirements.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15" w:name="page16"/>
    <w:bookmarkEnd w:id="15"/>
    <w:p>
      <w:pPr>
        <w:spacing w:after="0"/>
        <w:rPr>
          <w:sz w:val="20"/>
          <w:szCs w:val="20"/>
          <w:color w:val="auto"/>
        </w:rPr>
      </w:pPr>
      <w:r>
        <w:rPr>
          <w:rFonts w:ascii="Arial" w:cs="Arial" w:eastAsia="Arial" w:hAnsi="Arial"/>
          <w:sz w:val="15"/>
          <w:szCs w:val="15"/>
          <w:color w:val="auto"/>
        </w:rPr>
        <w:t>A summary of the amortized cost and estimated fair value of the Company’s investments in held-to-maturity securities by contractual maturity as of June 30, 2019 and</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2018 is shown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20" w:type="dxa"/>
            <w:vAlign w:val="bottom"/>
            <w:gridSpan w:val="4"/>
          </w:tcPr>
          <w:p>
            <w:pPr>
              <w:jc w:val="right"/>
              <w:ind w:right="739"/>
              <w:spacing w:after="0"/>
              <w:rPr>
                <w:sz w:val="20"/>
                <w:szCs w:val="20"/>
                <w:color w:val="auto"/>
              </w:rPr>
            </w:pPr>
            <w:r>
              <w:rPr>
                <w:rFonts w:ascii="Arial" w:cs="Arial" w:eastAsia="Arial" w:hAnsi="Arial"/>
                <w:sz w:val="14"/>
                <w:szCs w:val="14"/>
                <w:b w:val="1"/>
                <w:bCs w:val="1"/>
                <w:color w:val="auto"/>
              </w:rPr>
              <w:t>June 30, 2019</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40" w:type="dxa"/>
            <w:vAlign w:val="bottom"/>
            <w:gridSpan w:val="5"/>
          </w:tcPr>
          <w:p>
            <w:pPr>
              <w:ind w:left="500"/>
              <w:spacing w:after="0"/>
              <w:rPr>
                <w:sz w:val="20"/>
                <w:szCs w:val="20"/>
                <w:color w:val="auto"/>
              </w:rPr>
            </w:pPr>
            <w:r>
              <w:rPr>
                <w:rFonts w:ascii="Arial" w:cs="Arial" w:eastAsia="Arial" w:hAnsi="Arial"/>
                <w:sz w:val="14"/>
                <w:szCs w:val="14"/>
                <w:b w:val="1"/>
                <w:bCs w:val="1"/>
                <w:color w:val="auto"/>
              </w:rPr>
              <w:t>December 31, 2018</w:t>
            </w:r>
          </w:p>
        </w:tc>
      </w:tr>
      <w:tr>
        <w:trPr>
          <w:trHeight w:val="144"/>
        </w:trPr>
        <w:tc>
          <w:tcPr>
            <w:tcW w:w="5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140"/>
              <w:spacing w:after="0" w:line="144" w:lineRule="exact"/>
              <w:rPr>
                <w:sz w:val="20"/>
                <w:szCs w:val="20"/>
                <w:color w:val="auto"/>
              </w:rPr>
            </w:pPr>
            <w:r>
              <w:rPr>
                <w:rFonts w:ascii="Arial" w:cs="Arial" w:eastAsia="Arial" w:hAnsi="Arial"/>
                <w:sz w:val="14"/>
                <w:szCs w:val="14"/>
                <w:b w:val="1"/>
                <w:bCs w:val="1"/>
                <w:color w:val="auto"/>
              </w:rPr>
              <w:t>Amortized</w:t>
            </w: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159"/>
              <w:spacing w:after="0" w:line="144" w:lineRule="exact"/>
              <w:rPr>
                <w:sz w:val="20"/>
                <w:szCs w:val="20"/>
                <w:color w:val="auto"/>
              </w:rPr>
            </w:pPr>
            <w:r>
              <w:rPr>
                <w:rFonts w:ascii="Arial" w:cs="Arial" w:eastAsia="Arial" w:hAnsi="Arial"/>
                <w:sz w:val="14"/>
                <w:szCs w:val="14"/>
                <w:b w:val="1"/>
                <w:bCs w:val="1"/>
                <w:color w:val="auto"/>
              </w:rPr>
              <w:t>Estimated</w:t>
            </w:r>
          </w:p>
        </w:tc>
        <w:tc>
          <w:tcPr>
            <w:tcW w:w="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160"/>
              <w:spacing w:after="0" w:line="144" w:lineRule="exact"/>
              <w:rPr>
                <w:sz w:val="20"/>
                <w:szCs w:val="20"/>
                <w:color w:val="auto"/>
              </w:rPr>
            </w:pPr>
            <w:r>
              <w:rPr>
                <w:rFonts w:ascii="Arial" w:cs="Arial" w:eastAsia="Arial" w:hAnsi="Arial"/>
                <w:sz w:val="14"/>
                <w:szCs w:val="14"/>
                <w:b w:val="1"/>
                <w:bCs w:val="1"/>
                <w:color w:val="auto"/>
              </w:rPr>
              <w:t>Amortized</w:t>
            </w:r>
          </w:p>
        </w:tc>
        <w:tc>
          <w:tcPr>
            <w:tcW w:w="2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ind w:left="80"/>
              <w:spacing w:after="0" w:line="144" w:lineRule="exact"/>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12"/>
                <w:szCs w:val="12"/>
                <w:color w:val="auto"/>
              </w:rPr>
            </w:pPr>
          </w:p>
        </w:tc>
      </w:tr>
      <w:tr>
        <w:trPr>
          <w:trHeight w:val="177"/>
        </w:trPr>
        <w:tc>
          <w:tcPr>
            <w:tcW w:w="5940" w:type="dxa"/>
            <w:vAlign w:val="bottom"/>
          </w:tcPr>
          <w:p>
            <w:pPr>
              <w:ind w:left="40"/>
              <w:spacing w:after="0"/>
              <w:rPr>
                <w:sz w:val="20"/>
                <w:szCs w:val="20"/>
                <w:color w:val="auto"/>
              </w:rPr>
            </w:pPr>
            <w:r>
              <w:rPr>
                <w:rFonts w:ascii="Arial" w:cs="Arial" w:eastAsia="Arial" w:hAnsi="Arial"/>
                <w:sz w:val="14"/>
                <w:szCs w:val="14"/>
                <w:b w:val="1"/>
                <w:bCs w:val="1"/>
                <w:color w:val="auto"/>
              </w:rPr>
              <w:t>Remaining Time to Maturity</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340"/>
              <w:spacing w:after="0"/>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159"/>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340"/>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r>
      <w:tr>
        <w:trPr>
          <w:trHeight w:val="235"/>
        </w:trPr>
        <w:tc>
          <w:tcPr>
            <w:tcW w:w="59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5940" w:type="dxa"/>
            <w:vAlign w:val="bottom"/>
            <w:shd w:val="clear" w:color="auto" w:fill="CCEEFF"/>
          </w:tcPr>
          <w:p>
            <w:pPr>
              <w:ind w:left="40"/>
              <w:spacing w:after="0"/>
              <w:rPr>
                <w:sz w:val="20"/>
                <w:szCs w:val="20"/>
                <w:color w:val="auto"/>
              </w:rPr>
            </w:pPr>
            <w:r>
              <w:rPr>
                <w:rFonts w:ascii="Arial" w:cs="Arial" w:eastAsia="Arial" w:hAnsi="Arial"/>
                <w:sz w:val="17"/>
                <w:szCs w:val="17"/>
                <w:color w:val="auto"/>
              </w:rPr>
              <w:t>Less than one year</w:t>
            </w:r>
          </w:p>
        </w:tc>
        <w:tc>
          <w:tcPr>
            <w:tcW w:w="300" w:type="dxa"/>
            <w:vAlign w:val="bottom"/>
            <w:gridSpan w:val="2"/>
            <w:shd w:val="clear" w:color="auto" w:fill="CCEEFF"/>
          </w:tcPr>
          <w:p>
            <w:pPr>
              <w:jc w:val="right"/>
              <w:ind w:right="6"/>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r>
      <w:tr>
        <w:trPr>
          <w:trHeight w:val="209"/>
        </w:trPr>
        <w:tc>
          <w:tcPr>
            <w:tcW w:w="5940" w:type="dxa"/>
            <w:vAlign w:val="bottom"/>
          </w:tcPr>
          <w:p>
            <w:pPr>
              <w:ind w:left="40"/>
              <w:spacing w:after="0"/>
              <w:rPr>
                <w:sz w:val="20"/>
                <w:szCs w:val="20"/>
                <w:color w:val="auto"/>
              </w:rPr>
            </w:pPr>
            <w:r>
              <w:rPr>
                <w:rFonts w:ascii="Arial" w:cs="Arial" w:eastAsia="Arial" w:hAnsi="Arial"/>
                <w:sz w:val="17"/>
                <w:szCs w:val="17"/>
                <w:color w:val="auto"/>
              </w:rPr>
              <w:t>One to five years</w:t>
            </w:r>
          </w:p>
        </w:tc>
        <w:tc>
          <w:tcPr>
            <w:tcW w:w="300" w:type="dxa"/>
            <w:vAlign w:val="bottom"/>
            <w:gridSpan w:val="2"/>
          </w:tcPr>
          <w:p>
            <w:pPr>
              <w:jc w:val="right"/>
              <w:ind w:right="6"/>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2,598,323</w:t>
            </w:r>
          </w:p>
        </w:tc>
        <w:tc>
          <w:tcPr>
            <w:tcW w:w="4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2,705,549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2,996,685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3,036,531</w:t>
            </w:r>
          </w:p>
        </w:tc>
        <w:tc>
          <w:tcPr>
            <w:tcW w:w="120" w:type="dxa"/>
            <w:vAlign w:val="bottom"/>
          </w:tcPr>
          <w:p>
            <w:pPr>
              <w:spacing w:after="0"/>
              <w:rPr>
                <w:sz w:val="18"/>
                <w:szCs w:val="18"/>
                <w:color w:val="auto"/>
              </w:rPr>
            </w:pPr>
          </w:p>
        </w:tc>
      </w:tr>
      <w:tr>
        <w:trPr>
          <w:trHeight w:val="209"/>
        </w:trPr>
        <w:tc>
          <w:tcPr>
            <w:tcW w:w="5940" w:type="dxa"/>
            <w:vAlign w:val="bottom"/>
            <w:shd w:val="clear" w:color="auto" w:fill="CCEEFF"/>
          </w:tcPr>
          <w:p>
            <w:pPr>
              <w:ind w:left="40"/>
              <w:spacing w:after="0"/>
              <w:rPr>
                <w:sz w:val="20"/>
                <w:szCs w:val="20"/>
                <w:color w:val="auto"/>
              </w:rPr>
            </w:pPr>
            <w:r>
              <w:rPr>
                <w:rFonts w:ascii="Arial" w:cs="Arial" w:eastAsia="Arial" w:hAnsi="Arial"/>
                <w:sz w:val="17"/>
                <w:szCs w:val="17"/>
                <w:color w:val="auto"/>
              </w:rPr>
              <w:t>Five to ten years</w:t>
            </w:r>
          </w:p>
        </w:tc>
        <w:tc>
          <w:tcPr>
            <w:tcW w:w="300" w:type="dxa"/>
            <w:vAlign w:val="bottom"/>
            <w:gridSpan w:val="2"/>
            <w:shd w:val="clear" w:color="auto" w:fill="CCEEFF"/>
          </w:tcPr>
          <w:p>
            <w:pPr>
              <w:jc w:val="right"/>
              <w:ind w:right="6"/>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619,780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654,484</w:t>
            </w: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619,663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635,846</w:t>
            </w:r>
          </w:p>
        </w:tc>
        <w:tc>
          <w:tcPr>
            <w:tcW w:w="120" w:type="dxa"/>
            <w:vAlign w:val="bottom"/>
            <w:shd w:val="clear" w:color="auto" w:fill="CCEEFF"/>
          </w:tcPr>
          <w:p>
            <w:pPr>
              <w:spacing w:after="0"/>
              <w:rPr>
                <w:sz w:val="18"/>
                <w:szCs w:val="18"/>
                <w:color w:val="auto"/>
              </w:rPr>
            </w:pPr>
          </w:p>
        </w:tc>
      </w:tr>
      <w:tr>
        <w:trPr>
          <w:trHeight w:val="209"/>
        </w:trPr>
        <w:tc>
          <w:tcPr>
            <w:tcW w:w="5940" w:type="dxa"/>
            <w:vAlign w:val="bottom"/>
          </w:tcPr>
          <w:p>
            <w:pPr>
              <w:ind w:left="40"/>
              <w:spacing w:after="0"/>
              <w:rPr>
                <w:sz w:val="20"/>
                <w:szCs w:val="20"/>
                <w:color w:val="auto"/>
              </w:rPr>
            </w:pPr>
            <w:r>
              <w:rPr>
                <w:rFonts w:ascii="Arial" w:cs="Arial" w:eastAsia="Arial" w:hAnsi="Arial"/>
                <w:sz w:val="17"/>
                <w:szCs w:val="17"/>
                <w:color w:val="auto"/>
              </w:rPr>
              <w:t>More than 10 years</w:t>
            </w:r>
          </w:p>
        </w:tc>
        <w:tc>
          <w:tcPr>
            <w:tcW w:w="140" w:type="dxa"/>
            <w:vAlign w:val="bottom"/>
          </w:tcPr>
          <w:p>
            <w:pPr>
              <w:spacing w:after="0"/>
              <w:rPr>
                <w:sz w:val="18"/>
                <w:szCs w:val="18"/>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606,517</w:t>
            </w:r>
          </w:p>
        </w:tc>
        <w:tc>
          <w:tcPr>
            <w:tcW w:w="4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754,039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606,507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754,039</w:t>
            </w:r>
          </w:p>
        </w:tc>
        <w:tc>
          <w:tcPr>
            <w:tcW w:w="120" w:type="dxa"/>
            <w:vAlign w:val="bottom"/>
          </w:tcPr>
          <w:p>
            <w:pPr>
              <w:spacing w:after="0"/>
              <w:rPr>
                <w:sz w:val="18"/>
                <w:szCs w:val="18"/>
                <w:color w:val="auto"/>
              </w:rPr>
            </w:pPr>
          </w:p>
        </w:tc>
      </w:tr>
      <w:tr>
        <w:trPr>
          <w:trHeight w:val="26"/>
        </w:trPr>
        <w:tc>
          <w:tcPr>
            <w:tcW w:w="5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29"/>
        </w:trPr>
        <w:tc>
          <w:tcPr>
            <w:tcW w:w="5940" w:type="dxa"/>
            <w:vAlign w:val="bottom"/>
            <w:shd w:val="clear" w:color="auto" w:fill="CCEEFF"/>
          </w:tcPr>
          <w:p>
            <w:pPr>
              <w:ind w:left="40"/>
              <w:spacing w:after="0"/>
              <w:rPr>
                <w:sz w:val="20"/>
                <w:szCs w:val="20"/>
                <w:color w:val="auto"/>
              </w:rPr>
            </w:pPr>
            <w:r>
              <w:rPr>
                <w:rFonts w:ascii="Arial" w:cs="Arial" w:eastAsia="Arial" w:hAnsi="Arial"/>
                <w:sz w:val="17"/>
                <w:szCs w:val="17"/>
                <w:color w:val="auto"/>
              </w:rPr>
              <w:t>Total</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3,824,620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4,114,072</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4,222,855</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4,426,416</w:t>
            </w:r>
          </w:p>
        </w:tc>
        <w:tc>
          <w:tcPr>
            <w:tcW w:w="120" w:type="dxa"/>
            <w:vAlign w:val="bottom"/>
            <w:shd w:val="clear" w:color="auto" w:fill="CCEEFF"/>
          </w:tcPr>
          <w:p>
            <w:pPr>
              <w:spacing w:after="0"/>
              <w:rPr>
                <w:sz w:val="19"/>
                <w:szCs w:val="19"/>
                <w:color w:val="auto"/>
              </w:rPr>
            </w:pP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The actual maturities may differ from contractual maturities because certain borrowers have the right to call or prepay obligations with or without penalties.</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Investment Income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Major categories of the Company’s net investment income are summarized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20" w:type="dxa"/>
            <w:vAlign w:val="bottom"/>
            <w:gridSpan w:val="4"/>
          </w:tcPr>
          <w:p>
            <w:pPr>
              <w:jc w:val="right"/>
              <w:ind w:right="517"/>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40" w:type="dxa"/>
            <w:vAlign w:val="bottom"/>
            <w:gridSpan w:val="5"/>
          </w:tcPr>
          <w:p>
            <w:pPr>
              <w:ind w:left="460"/>
              <w:spacing w:after="0"/>
              <w:rPr>
                <w:sz w:val="20"/>
                <w:szCs w:val="20"/>
                <w:color w:val="auto"/>
              </w:rPr>
            </w:pPr>
            <w:r>
              <w:rPr>
                <w:rFonts w:ascii="Arial" w:cs="Arial" w:eastAsia="Arial" w:hAnsi="Arial"/>
                <w:sz w:val="14"/>
                <w:szCs w:val="14"/>
                <w:b w:val="1"/>
                <w:bCs w:val="1"/>
                <w:color w:val="auto"/>
              </w:rPr>
              <w:t>Six months ended</w:t>
            </w:r>
          </w:p>
        </w:tc>
      </w:tr>
      <w:tr>
        <w:trPr>
          <w:trHeight w:val="200"/>
        </w:trPr>
        <w:tc>
          <w:tcPr>
            <w:tcW w:w="39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15"/>
        </w:trPr>
        <w:tc>
          <w:tcPr>
            <w:tcW w:w="39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8"/>
                <w:szCs w:val="18"/>
                <w:color w:val="auto"/>
              </w:rPr>
            </w:pPr>
          </w:p>
        </w:tc>
      </w:tr>
      <w:tr>
        <w:trPr>
          <w:trHeight w:val="470"/>
        </w:trPr>
        <w:tc>
          <w:tcPr>
            <w:tcW w:w="3960" w:type="dxa"/>
            <w:vAlign w:val="bottom"/>
          </w:tcPr>
          <w:p>
            <w:pPr>
              <w:ind w:left="40"/>
              <w:spacing w:after="0"/>
              <w:rPr>
                <w:sz w:val="20"/>
                <w:szCs w:val="20"/>
                <w:color w:val="auto"/>
              </w:rPr>
            </w:pPr>
            <w:r>
              <w:rPr>
                <w:rFonts w:ascii="Arial" w:cs="Arial" w:eastAsia="Arial" w:hAnsi="Arial"/>
                <w:sz w:val="17"/>
                <w:szCs w:val="17"/>
                <w:b w:val="1"/>
                <w:bCs w:val="1"/>
                <w:color w:val="auto"/>
              </w:rPr>
              <w:t>Income:</w:t>
            </w:r>
          </w:p>
        </w:tc>
        <w:tc>
          <w:tcPr>
            <w:tcW w:w="2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0"/>
        </w:trPr>
        <w:tc>
          <w:tcPr>
            <w:tcW w:w="3960" w:type="dxa"/>
            <w:vAlign w:val="bottom"/>
            <w:shd w:val="clear" w:color="auto" w:fill="CCEEFF"/>
          </w:tcPr>
          <w:p>
            <w:pPr>
              <w:ind w:left="40"/>
              <w:spacing w:after="0"/>
              <w:rPr>
                <w:sz w:val="20"/>
                <w:szCs w:val="20"/>
                <w:color w:val="auto"/>
              </w:rPr>
            </w:pPr>
            <w:r>
              <w:rPr>
                <w:rFonts w:ascii="Arial" w:cs="Arial" w:eastAsia="Arial" w:hAnsi="Arial"/>
                <w:sz w:val="17"/>
                <w:szCs w:val="17"/>
                <w:color w:val="auto"/>
              </w:rPr>
              <w:t>Fixed-maturity securities</w:t>
            </w:r>
          </w:p>
        </w:tc>
        <w:tc>
          <w:tcPr>
            <w:tcW w:w="2380" w:type="dxa"/>
            <w:vAlign w:val="bottom"/>
            <w:gridSpan w:val="2"/>
            <w:shd w:val="clear" w:color="auto" w:fill="CCEEFF"/>
          </w:tcPr>
          <w:p>
            <w:pPr>
              <w:jc w:val="right"/>
              <w:ind w:right="106"/>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1,474,341</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1,361,506</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3,001,211</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2,511,799</w:t>
            </w:r>
          </w:p>
        </w:tc>
        <w:tc>
          <w:tcPr>
            <w:tcW w:w="120" w:type="dxa"/>
            <w:vAlign w:val="bottom"/>
            <w:shd w:val="clear" w:color="auto" w:fill="CCEEFF"/>
          </w:tcPr>
          <w:p>
            <w:pPr>
              <w:spacing w:after="0"/>
              <w:rPr>
                <w:sz w:val="18"/>
                <w:szCs w:val="18"/>
                <w:color w:val="auto"/>
              </w:rPr>
            </w:pPr>
          </w:p>
        </w:tc>
      </w:tr>
      <w:tr>
        <w:trPr>
          <w:trHeight w:val="209"/>
        </w:trPr>
        <w:tc>
          <w:tcPr>
            <w:tcW w:w="3960" w:type="dxa"/>
            <w:vAlign w:val="bottom"/>
          </w:tcPr>
          <w:p>
            <w:pPr>
              <w:ind w:left="40"/>
              <w:spacing w:after="0"/>
              <w:rPr>
                <w:sz w:val="20"/>
                <w:szCs w:val="20"/>
                <w:color w:val="auto"/>
              </w:rPr>
            </w:pPr>
            <w:r>
              <w:rPr>
                <w:rFonts w:ascii="Arial" w:cs="Arial" w:eastAsia="Arial" w:hAnsi="Arial"/>
                <w:sz w:val="17"/>
                <w:szCs w:val="17"/>
                <w:color w:val="auto"/>
              </w:rPr>
              <w:t>Equity securities</w:t>
            </w:r>
          </w:p>
        </w:tc>
        <w:tc>
          <w:tcPr>
            <w:tcW w:w="2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205,509</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194,091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412,653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394,588</w:t>
            </w:r>
          </w:p>
        </w:tc>
        <w:tc>
          <w:tcPr>
            <w:tcW w:w="120" w:type="dxa"/>
            <w:vAlign w:val="bottom"/>
          </w:tcPr>
          <w:p>
            <w:pPr>
              <w:spacing w:after="0"/>
              <w:rPr>
                <w:sz w:val="18"/>
                <w:szCs w:val="18"/>
                <w:color w:val="auto"/>
              </w:rPr>
            </w:pPr>
          </w:p>
        </w:tc>
      </w:tr>
      <w:tr>
        <w:trPr>
          <w:trHeight w:val="215"/>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and cash equivalents</w:t>
            </w:r>
          </w:p>
        </w:tc>
        <w:tc>
          <w:tcPr>
            <w:tcW w:w="2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172,680</w:t>
            </w:r>
          </w:p>
        </w:tc>
        <w:tc>
          <w:tcPr>
            <w:tcW w:w="2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42,582</w:t>
            </w:r>
          </w:p>
        </w:tc>
        <w:tc>
          <w:tcPr>
            <w:tcW w:w="28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213,081</w:t>
            </w:r>
          </w:p>
        </w:tc>
        <w:tc>
          <w:tcPr>
            <w:tcW w:w="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115,841</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3960" w:type="dxa"/>
            <w:vAlign w:val="bottom"/>
          </w:tcPr>
          <w:p>
            <w:pPr>
              <w:ind w:left="40"/>
              <w:spacing w:after="0"/>
              <w:rPr>
                <w:sz w:val="20"/>
                <w:szCs w:val="20"/>
                <w:color w:val="auto"/>
              </w:rPr>
            </w:pPr>
            <w:r>
              <w:rPr>
                <w:rFonts w:ascii="Arial" w:cs="Arial" w:eastAsia="Arial" w:hAnsi="Arial"/>
                <w:sz w:val="17"/>
                <w:szCs w:val="17"/>
                <w:color w:val="auto"/>
              </w:rPr>
              <w:t>Total</w:t>
            </w:r>
          </w:p>
        </w:tc>
        <w:tc>
          <w:tcPr>
            <w:tcW w:w="2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1,852,530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1,598,179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3,626,945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3,022,228</w:t>
            </w:r>
          </w:p>
        </w:tc>
        <w:tc>
          <w:tcPr>
            <w:tcW w:w="120" w:type="dxa"/>
            <w:vAlign w:val="bottom"/>
          </w:tcPr>
          <w:p>
            <w:pPr>
              <w:spacing w:after="0"/>
              <w:rPr>
                <w:sz w:val="18"/>
                <w:szCs w:val="18"/>
                <w:color w:val="auto"/>
              </w:rPr>
            </w:pPr>
          </w:p>
        </w:tc>
      </w:tr>
      <w:tr>
        <w:trPr>
          <w:trHeight w:val="209"/>
        </w:trPr>
        <w:tc>
          <w:tcPr>
            <w:tcW w:w="396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Expenses:</w:t>
            </w:r>
          </w:p>
        </w:tc>
        <w:tc>
          <w:tcPr>
            <w:tcW w:w="2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5"/>
        </w:trPr>
        <w:tc>
          <w:tcPr>
            <w:tcW w:w="3960" w:type="dxa"/>
            <w:vAlign w:val="bottom"/>
          </w:tcPr>
          <w:p>
            <w:pPr>
              <w:ind w:left="40"/>
              <w:spacing w:after="0"/>
              <w:rPr>
                <w:sz w:val="20"/>
                <w:szCs w:val="20"/>
                <w:color w:val="auto"/>
              </w:rPr>
            </w:pPr>
            <w:r>
              <w:rPr>
                <w:rFonts w:ascii="Arial" w:cs="Arial" w:eastAsia="Arial" w:hAnsi="Arial"/>
                <w:sz w:val="17"/>
                <w:szCs w:val="17"/>
                <w:color w:val="auto"/>
              </w:rPr>
              <w:t>Investment expenses</w:t>
            </w:r>
          </w:p>
        </w:tc>
        <w:tc>
          <w:tcPr>
            <w:tcW w:w="2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132,761</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41,313</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283,464</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81,373</w:t>
            </w:r>
          </w:p>
        </w:tc>
        <w:tc>
          <w:tcPr>
            <w:tcW w:w="120" w:type="dxa"/>
            <w:vAlign w:val="bottom"/>
          </w:tcPr>
          <w:p>
            <w:pPr>
              <w:spacing w:after="0"/>
              <w:rPr>
                <w:sz w:val="18"/>
                <w:szCs w:val="18"/>
                <w:color w:val="auto"/>
              </w:rPr>
            </w:pPr>
          </w:p>
        </w:tc>
      </w:tr>
      <w:tr>
        <w:trPr>
          <w:trHeight w:val="229"/>
        </w:trPr>
        <w:tc>
          <w:tcPr>
            <w:tcW w:w="3960" w:type="dxa"/>
            <w:vAlign w:val="bottom"/>
            <w:shd w:val="clear" w:color="auto" w:fill="CCEEFF"/>
          </w:tcPr>
          <w:p>
            <w:pPr>
              <w:ind w:left="40"/>
              <w:spacing w:after="0"/>
              <w:rPr>
                <w:sz w:val="20"/>
                <w:szCs w:val="20"/>
                <w:color w:val="auto"/>
              </w:rPr>
            </w:pPr>
            <w:r>
              <w:rPr>
                <w:rFonts w:ascii="Arial" w:cs="Arial" w:eastAsia="Arial" w:hAnsi="Arial"/>
                <w:sz w:val="17"/>
                <w:szCs w:val="17"/>
                <w:color w:val="auto"/>
              </w:rPr>
              <w:t>Net investment income</w:t>
            </w:r>
          </w:p>
        </w:tc>
        <w:tc>
          <w:tcPr>
            <w:tcW w:w="2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1,719,769</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1,556,866</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3,343,481</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2,940,855</w:t>
            </w:r>
          </w:p>
        </w:tc>
        <w:tc>
          <w:tcPr>
            <w:tcW w:w="120" w:type="dxa"/>
            <w:vAlign w:val="bottom"/>
            <w:shd w:val="clear" w:color="auto" w:fill="CCEEFF"/>
          </w:tcPr>
          <w:p>
            <w:pPr>
              <w:spacing w:after="0"/>
              <w:rPr>
                <w:sz w:val="19"/>
                <w:szCs w:val="19"/>
                <w:color w:val="auto"/>
              </w:rPr>
            </w:pPr>
          </w:p>
        </w:tc>
      </w:tr>
      <w:tr>
        <w:trPr>
          <w:trHeight w:val="20"/>
        </w:trPr>
        <w:tc>
          <w:tcPr>
            <w:tcW w:w="396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1"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Proceeds from the sale and redemption of fixed-maturity securities held-to-maturity were $400,000 and $-0- for the six months ended June 30, 2019 and 2018, respectively.</w:t>
      </w:r>
    </w:p>
    <w:p>
      <w:pPr>
        <w:spacing w:after="0" w:line="17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Proceeds from the sale or maturity of fixed-maturity securities available-for-sale were $6,987,908 and $15,172,845 for the six months ended June 30, 2019 and 2018,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Proceeds from the sale of equity securities were $503,884 and $4,746,825 for the six months ended June 30, 2019 and 2018, respectively.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16" w:name="page17"/>
    <w:bookmarkEnd w:id="16"/>
    <w:p>
      <w:pPr>
        <w:spacing w:after="0"/>
        <w:rPr>
          <w:sz w:val="20"/>
          <w:szCs w:val="20"/>
          <w:color w:val="auto"/>
        </w:rPr>
      </w:pPr>
      <w:r>
        <w:rPr>
          <w:rFonts w:ascii="Arial" w:cs="Arial" w:eastAsia="Arial" w:hAnsi="Arial"/>
          <w:sz w:val="17"/>
          <w:szCs w:val="17"/>
          <w:color w:val="auto"/>
        </w:rPr>
        <w:t>The Company’s net gains (losses) on investments are summarized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9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ind w:right="286"/>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9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w w:val="83"/>
              </w:rPr>
              <w:t>2018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980" w:type="dxa"/>
            <w:vAlign w:val="bottom"/>
          </w:tcPr>
          <w:p>
            <w:pPr>
              <w:ind w:left="40"/>
              <w:spacing w:after="0"/>
              <w:rPr>
                <w:sz w:val="20"/>
                <w:szCs w:val="20"/>
                <w:color w:val="auto"/>
              </w:rPr>
            </w:pPr>
            <w:r>
              <w:rPr>
                <w:rFonts w:ascii="Arial" w:cs="Arial" w:eastAsia="Arial" w:hAnsi="Arial"/>
                <w:sz w:val="17"/>
                <w:szCs w:val="17"/>
                <w:b w:val="1"/>
                <w:bCs w:val="1"/>
                <w:color w:val="auto"/>
              </w:rPr>
              <w:t>Realized (Losses) Gains</w:t>
            </w:r>
          </w:p>
        </w:tc>
        <w:tc>
          <w:tcPr>
            <w:tcW w:w="2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3980" w:type="dxa"/>
            <w:vAlign w:val="bottom"/>
          </w:tcPr>
          <w:p>
            <w:pPr>
              <w:ind w:left="40"/>
              <w:spacing w:after="0"/>
              <w:rPr>
                <w:sz w:val="20"/>
                <w:szCs w:val="20"/>
                <w:color w:val="auto"/>
              </w:rPr>
            </w:pPr>
            <w:r>
              <w:rPr>
                <w:rFonts w:ascii="Arial" w:cs="Arial" w:eastAsia="Arial" w:hAnsi="Arial"/>
                <w:sz w:val="17"/>
                <w:szCs w:val="17"/>
                <w:b w:val="1"/>
                <w:bCs w:val="1"/>
                <w:color w:val="auto"/>
              </w:rPr>
              <w:t>Fixed-maturity securities:</w:t>
            </w:r>
          </w:p>
        </w:tc>
        <w:tc>
          <w:tcPr>
            <w:tcW w:w="2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ind w:left="40"/>
              <w:spacing w:after="0"/>
              <w:rPr>
                <w:sz w:val="20"/>
                <w:szCs w:val="20"/>
                <w:color w:val="auto"/>
              </w:rPr>
            </w:pPr>
            <w:r>
              <w:rPr>
                <w:rFonts w:ascii="Arial" w:cs="Arial" w:eastAsia="Arial" w:hAnsi="Arial"/>
                <w:sz w:val="17"/>
                <w:szCs w:val="17"/>
                <w:color w:val="auto"/>
              </w:rPr>
              <w:t>Gross realized gains</w:t>
            </w:r>
          </w:p>
        </w:tc>
        <w:tc>
          <w:tcPr>
            <w:tcW w:w="2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4,942</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(5,257)</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10,944</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6"/>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112,212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80" w:type="dxa"/>
            <w:vAlign w:val="bottom"/>
          </w:tcPr>
          <w:p>
            <w:pPr>
              <w:ind w:left="40"/>
              <w:spacing w:after="0"/>
              <w:rPr>
                <w:sz w:val="20"/>
                <w:szCs w:val="20"/>
                <w:color w:val="auto"/>
              </w:rPr>
            </w:pPr>
            <w:r>
              <w:rPr>
                <w:rFonts w:ascii="Arial" w:cs="Arial" w:eastAsia="Arial" w:hAnsi="Arial"/>
                <w:sz w:val="17"/>
                <w:szCs w:val="17"/>
                <w:color w:val="auto"/>
              </w:rPr>
              <w:t>Gross realized losses</w:t>
            </w:r>
          </w:p>
        </w:tc>
        <w:tc>
          <w:tcPr>
            <w:tcW w:w="2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(17,306)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(148,258)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(45,739)</w:t>
            </w:r>
          </w:p>
        </w:tc>
        <w:tc>
          <w:tcPr>
            <w:tcW w:w="4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(483,227)</w:t>
            </w:r>
          </w:p>
        </w:tc>
        <w:tc>
          <w:tcPr>
            <w:tcW w:w="0" w:type="dxa"/>
            <w:vAlign w:val="bottom"/>
          </w:tcPr>
          <w:p>
            <w:pPr>
              <w:spacing w:after="0"/>
              <w:rPr>
                <w:sz w:val="1"/>
                <w:szCs w:val="1"/>
                <w:color w:val="auto"/>
              </w:rPr>
            </w:pPr>
          </w:p>
        </w:tc>
      </w:tr>
      <w:tr>
        <w:trPr>
          <w:trHeight w:val="26"/>
        </w:trPr>
        <w:tc>
          <w:tcPr>
            <w:tcW w:w="39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398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(12,364)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(153,515)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(34,795)</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6"/>
              </w:rPr>
              <w:t>(371,015)</w:t>
            </w:r>
          </w:p>
        </w:tc>
        <w:tc>
          <w:tcPr>
            <w:tcW w:w="0" w:type="dxa"/>
            <w:vAlign w:val="bottom"/>
          </w:tcPr>
          <w:p>
            <w:pPr>
              <w:spacing w:after="0"/>
              <w:rPr>
                <w:sz w:val="1"/>
                <w:szCs w:val="1"/>
                <w:color w:val="auto"/>
              </w:rPr>
            </w:pPr>
          </w:p>
        </w:tc>
      </w:tr>
      <w:tr>
        <w:trPr>
          <w:trHeight w:val="209"/>
        </w:trPr>
        <w:tc>
          <w:tcPr>
            <w:tcW w:w="398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8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Equity securities:</w:t>
            </w:r>
          </w:p>
        </w:tc>
        <w:tc>
          <w:tcPr>
            <w:tcW w:w="2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80" w:type="dxa"/>
            <w:vAlign w:val="bottom"/>
          </w:tcPr>
          <w:p>
            <w:pPr>
              <w:ind w:left="40"/>
              <w:spacing w:after="0"/>
              <w:rPr>
                <w:sz w:val="20"/>
                <w:szCs w:val="20"/>
                <w:color w:val="auto"/>
              </w:rPr>
            </w:pPr>
            <w:r>
              <w:rPr>
                <w:rFonts w:ascii="Arial" w:cs="Arial" w:eastAsia="Arial" w:hAnsi="Arial"/>
                <w:sz w:val="17"/>
                <w:szCs w:val="17"/>
                <w:color w:val="auto"/>
              </w:rPr>
              <w:t>Gross realized gains</w:t>
            </w:r>
          </w:p>
        </w:tc>
        <w:tc>
          <w:tcPr>
            <w:tcW w:w="2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90,427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104,692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41,688</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315,250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80" w:type="dxa"/>
            <w:vAlign w:val="bottom"/>
            <w:shd w:val="clear" w:color="auto" w:fill="CCEEFF"/>
          </w:tcPr>
          <w:p>
            <w:pPr>
              <w:ind w:left="40"/>
              <w:spacing w:after="0"/>
              <w:rPr>
                <w:sz w:val="20"/>
                <w:szCs w:val="20"/>
                <w:color w:val="auto"/>
              </w:rPr>
            </w:pPr>
            <w:r>
              <w:rPr>
                <w:rFonts w:ascii="Arial" w:cs="Arial" w:eastAsia="Arial" w:hAnsi="Arial"/>
                <w:sz w:val="17"/>
                <w:szCs w:val="17"/>
                <w:color w:val="auto"/>
              </w:rPr>
              <w:t>Gross realized losses</w:t>
            </w:r>
          </w:p>
        </w:tc>
        <w:tc>
          <w:tcPr>
            <w:tcW w:w="2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(27,638)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(27,553)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(5,962)</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6"/>
              </w:rPr>
              <w:t>(264,384)</w:t>
            </w:r>
          </w:p>
        </w:tc>
        <w:tc>
          <w:tcPr>
            <w:tcW w:w="0" w:type="dxa"/>
            <w:vAlign w:val="bottom"/>
          </w:tcPr>
          <w:p>
            <w:pPr>
              <w:spacing w:after="0"/>
              <w:rPr>
                <w:sz w:val="1"/>
                <w:szCs w:val="1"/>
                <w:color w:val="auto"/>
              </w:rPr>
            </w:pPr>
          </w:p>
        </w:tc>
      </w:tr>
      <w:tr>
        <w:trPr>
          <w:trHeight w:val="215"/>
        </w:trPr>
        <w:tc>
          <w:tcPr>
            <w:tcW w:w="398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62,789</w:t>
            </w: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77,139</w:t>
            </w: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35,726</w:t>
            </w:r>
          </w:p>
        </w:tc>
        <w:tc>
          <w:tcPr>
            <w:tcW w:w="260" w:type="dxa"/>
            <w:vAlign w:val="bottom"/>
            <w:tcBorders>
              <w:top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50,866</w:t>
            </w: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8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80" w:type="dxa"/>
            <w:vAlign w:val="bottom"/>
          </w:tcPr>
          <w:p>
            <w:pPr>
              <w:ind w:left="200"/>
              <w:spacing w:after="0"/>
              <w:rPr>
                <w:sz w:val="20"/>
                <w:szCs w:val="20"/>
                <w:color w:val="auto"/>
              </w:rPr>
            </w:pPr>
            <w:r>
              <w:rPr>
                <w:rFonts w:ascii="Arial" w:cs="Arial" w:eastAsia="Arial" w:hAnsi="Arial"/>
                <w:sz w:val="17"/>
                <w:szCs w:val="17"/>
                <w:color w:val="auto"/>
              </w:rPr>
              <w:t>Net realized gains (losses)</w:t>
            </w:r>
          </w:p>
        </w:tc>
        <w:tc>
          <w:tcPr>
            <w:tcW w:w="2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50,425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(76,376)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931</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(320,149)</w:t>
            </w:r>
          </w:p>
        </w:tc>
        <w:tc>
          <w:tcPr>
            <w:tcW w:w="0" w:type="dxa"/>
            <w:vAlign w:val="bottom"/>
          </w:tcPr>
          <w:p>
            <w:pPr>
              <w:spacing w:after="0"/>
              <w:rPr>
                <w:sz w:val="1"/>
                <w:szCs w:val="1"/>
                <w:color w:val="auto"/>
              </w:rPr>
            </w:pPr>
          </w:p>
        </w:tc>
      </w:tr>
      <w:tr>
        <w:trPr>
          <w:trHeight w:val="209"/>
        </w:trPr>
        <w:tc>
          <w:tcPr>
            <w:tcW w:w="398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80" w:type="dxa"/>
            <w:vAlign w:val="bottom"/>
          </w:tcPr>
          <w:p>
            <w:pPr>
              <w:ind w:left="40"/>
              <w:spacing w:after="0"/>
              <w:rPr>
                <w:sz w:val="20"/>
                <w:szCs w:val="20"/>
                <w:color w:val="auto"/>
              </w:rPr>
            </w:pPr>
            <w:r>
              <w:rPr>
                <w:rFonts w:ascii="Arial" w:cs="Arial" w:eastAsia="Arial" w:hAnsi="Arial"/>
                <w:sz w:val="17"/>
                <w:szCs w:val="17"/>
                <w:b w:val="1"/>
                <w:bCs w:val="1"/>
                <w:color w:val="auto"/>
              </w:rPr>
              <w:t>Unrealized Gains (Losses)</w:t>
            </w:r>
          </w:p>
        </w:tc>
        <w:tc>
          <w:tcPr>
            <w:tcW w:w="2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8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80" w:type="dxa"/>
            <w:vAlign w:val="bottom"/>
          </w:tcPr>
          <w:p>
            <w:pPr>
              <w:ind w:left="40"/>
              <w:spacing w:after="0"/>
              <w:rPr>
                <w:sz w:val="20"/>
                <w:szCs w:val="20"/>
                <w:color w:val="auto"/>
              </w:rPr>
            </w:pPr>
            <w:r>
              <w:rPr>
                <w:rFonts w:ascii="Arial" w:cs="Arial" w:eastAsia="Arial" w:hAnsi="Arial"/>
                <w:sz w:val="17"/>
                <w:szCs w:val="17"/>
                <w:b w:val="1"/>
                <w:bCs w:val="1"/>
                <w:color w:val="auto"/>
              </w:rPr>
              <w:t>Equity securities:</w:t>
            </w:r>
          </w:p>
        </w:tc>
        <w:tc>
          <w:tcPr>
            <w:tcW w:w="2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80" w:type="dxa"/>
            <w:vAlign w:val="bottom"/>
            <w:shd w:val="clear" w:color="auto" w:fill="CCEEFF"/>
          </w:tcPr>
          <w:p>
            <w:pPr>
              <w:ind w:left="40"/>
              <w:spacing w:after="0"/>
              <w:rPr>
                <w:sz w:val="20"/>
                <w:szCs w:val="20"/>
                <w:color w:val="auto"/>
              </w:rPr>
            </w:pPr>
            <w:r>
              <w:rPr>
                <w:rFonts w:ascii="Arial" w:cs="Arial" w:eastAsia="Arial" w:hAnsi="Arial"/>
                <w:sz w:val="17"/>
                <w:szCs w:val="17"/>
                <w:color w:val="auto"/>
              </w:rPr>
              <w:t>Gross gains</w:t>
            </w:r>
          </w:p>
        </w:tc>
        <w:tc>
          <w:tcPr>
            <w:tcW w:w="2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440,301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2,232,438</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80" w:type="dxa"/>
            <w:vAlign w:val="bottom"/>
          </w:tcPr>
          <w:p>
            <w:pPr>
              <w:ind w:left="40"/>
              <w:spacing w:after="0"/>
              <w:rPr>
                <w:sz w:val="20"/>
                <w:szCs w:val="20"/>
                <w:color w:val="auto"/>
              </w:rPr>
            </w:pPr>
            <w:r>
              <w:rPr>
                <w:rFonts w:ascii="Arial" w:cs="Arial" w:eastAsia="Arial" w:hAnsi="Arial"/>
                <w:sz w:val="17"/>
                <w:szCs w:val="17"/>
                <w:color w:val="auto"/>
              </w:rPr>
              <w:t>Gross losses</w:t>
            </w:r>
          </w:p>
        </w:tc>
        <w:tc>
          <w:tcPr>
            <w:tcW w:w="2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(123,197)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(430,411)</w:t>
            </w:r>
          </w:p>
        </w:tc>
        <w:tc>
          <w:tcPr>
            <w:tcW w:w="0" w:type="dxa"/>
            <w:vAlign w:val="bottom"/>
          </w:tcPr>
          <w:p>
            <w:pPr>
              <w:spacing w:after="0"/>
              <w:rPr>
                <w:sz w:val="1"/>
                <w:szCs w:val="1"/>
                <w:color w:val="auto"/>
              </w:rPr>
            </w:pPr>
          </w:p>
        </w:tc>
      </w:tr>
      <w:tr>
        <w:trPr>
          <w:trHeight w:val="26"/>
        </w:trPr>
        <w:tc>
          <w:tcPr>
            <w:tcW w:w="39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398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440,301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(123,197)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2,232,438</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6"/>
              </w:rPr>
              <w:t>(430,411)</w:t>
            </w:r>
          </w:p>
        </w:tc>
        <w:tc>
          <w:tcPr>
            <w:tcW w:w="0" w:type="dxa"/>
            <w:vAlign w:val="bottom"/>
          </w:tcPr>
          <w:p>
            <w:pPr>
              <w:spacing w:after="0"/>
              <w:rPr>
                <w:sz w:val="1"/>
                <w:szCs w:val="1"/>
                <w:color w:val="auto"/>
              </w:rPr>
            </w:pPr>
          </w:p>
        </w:tc>
      </w:tr>
      <w:tr>
        <w:trPr>
          <w:trHeight w:val="209"/>
        </w:trPr>
        <w:tc>
          <w:tcPr>
            <w:tcW w:w="398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8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Other investments:</w:t>
            </w:r>
          </w:p>
        </w:tc>
        <w:tc>
          <w:tcPr>
            <w:tcW w:w="2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80" w:type="dxa"/>
            <w:vAlign w:val="bottom"/>
          </w:tcPr>
          <w:p>
            <w:pPr>
              <w:ind w:left="40"/>
              <w:spacing w:after="0"/>
              <w:rPr>
                <w:sz w:val="20"/>
                <w:szCs w:val="20"/>
                <w:color w:val="auto"/>
              </w:rPr>
            </w:pPr>
            <w:r>
              <w:rPr>
                <w:rFonts w:ascii="Arial" w:cs="Arial" w:eastAsia="Arial" w:hAnsi="Arial"/>
                <w:sz w:val="17"/>
                <w:szCs w:val="17"/>
                <w:color w:val="auto"/>
              </w:rPr>
              <w:t>Gross gains</w:t>
            </w:r>
          </w:p>
        </w:tc>
        <w:tc>
          <w:tcPr>
            <w:tcW w:w="2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187,929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92,840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480,649</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120,700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Gross losses</w:t>
            </w:r>
          </w:p>
        </w:tc>
        <w:tc>
          <w:tcPr>
            <w:tcW w:w="2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187,929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92,840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480,649</w:t>
            </w: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120,700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8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80" w:type="dxa"/>
            <w:vAlign w:val="bottom"/>
          </w:tcPr>
          <w:p>
            <w:pPr>
              <w:ind w:left="200"/>
              <w:spacing w:after="0"/>
              <w:rPr>
                <w:sz w:val="20"/>
                <w:szCs w:val="20"/>
                <w:color w:val="auto"/>
              </w:rPr>
            </w:pPr>
            <w:r>
              <w:rPr>
                <w:rFonts w:ascii="Arial" w:cs="Arial" w:eastAsia="Arial" w:hAnsi="Arial"/>
                <w:sz w:val="17"/>
                <w:szCs w:val="17"/>
                <w:color w:val="auto"/>
              </w:rPr>
              <w:t>Net unrealized gains (losses)</w:t>
            </w:r>
          </w:p>
        </w:tc>
        <w:tc>
          <w:tcPr>
            <w:tcW w:w="2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628,230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(30,357)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2,713,087</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(309,711)</w:t>
            </w:r>
          </w:p>
        </w:tc>
        <w:tc>
          <w:tcPr>
            <w:tcW w:w="0" w:type="dxa"/>
            <w:vAlign w:val="bottom"/>
          </w:tcPr>
          <w:p>
            <w:pPr>
              <w:spacing w:after="0"/>
              <w:rPr>
                <w:sz w:val="1"/>
                <w:szCs w:val="1"/>
                <w:color w:val="auto"/>
              </w:rPr>
            </w:pPr>
          </w:p>
        </w:tc>
      </w:tr>
      <w:tr>
        <w:trPr>
          <w:trHeight w:val="209"/>
        </w:trPr>
        <w:tc>
          <w:tcPr>
            <w:tcW w:w="398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80" w:type="dxa"/>
            <w:vAlign w:val="bottom"/>
          </w:tcPr>
          <w:p>
            <w:pPr>
              <w:ind w:left="40"/>
              <w:spacing w:after="0"/>
              <w:rPr>
                <w:sz w:val="20"/>
                <w:szCs w:val="20"/>
                <w:color w:val="auto"/>
              </w:rPr>
            </w:pPr>
            <w:r>
              <w:rPr>
                <w:rFonts w:ascii="Arial" w:cs="Arial" w:eastAsia="Arial" w:hAnsi="Arial"/>
                <w:sz w:val="17"/>
                <w:szCs w:val="17"/>
                <w:color w:val="auto"/>
              </w:rPr>
              <w:t>Net gains (losses) on investments</w:t>
            </w:r>
          </w:p>
        </w:tc>
        <w:tc>
          <w:tcPr>
            <w:tcW w:w="2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678,655</w:t>
            </w:r>
          </w:p>
        </w:tc>
        <w:tc>
          <w:tcPr>
            <w:tcW w:w="16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(106,733)</w:t>
            </w:r>
          </w:p>
        </w:tc>
        <w:tc>
          <w:tcPr>
            <w:tcW w:w="260" w:type="dxa"/>
            <w:vAlign w:val="bottom"/>
            <w:gridSpan w:val="2"/>
          </w:tcPr>
          <w:p>
            <w:pPr>
              <w:jc w:val="right"/>
              <w:ind w:right="160"/>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2,714,018</w:t>
            </w:r>
          </w:p>
        </w:tc>
        <w:tc>
          <w:tcPr>
            <w:tcW w:w="260" w:type="dxa"/>
            <w:vAlign w:val="bottom"/>
          </w:tcPr>
          <w:p>
            <w:pPr>
              <w:spacing w:after="0"/>
              <w:rPr>
                <w:sz w:val="18"/>
                <w:szCs w:val="18"/>
                <w:color w:val="auto"/>
              </w:rPr>
            </w:pPr>
          </w:p>
        </w:tc>
        <w:tc>
          <w:tcPr>
            <w:tcW w:w="420" w:type="dxa"/>
            <w:vAlign w:val="bottom"/>
          </w:tcPr>
          <w:p>
            <w:pPr>
              <w:jc w:val="right"/>
              <w:ind w:right="266"/>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(629,860)</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100" w:type="dxa"/>
            <w:vAlign w:val="bottom"/>
            <w:vMerge w:val="restart"/>
          </w:tcPr>
          <w:p>
            <w:pPr>
              <w:jc w:val="right"/>
              <w:ind w:right="195"/>
              <w:spacing w:after="0"/>
              <w:rPr>
                <w:sz w:val="20"/>
                <w:szCs w:val="20"/>
                <w:color w:val="auto"/>
              </w:rPr>
            </w:pPr>
            <w:r>
              <w:rPr>
                <w:rFonts w:ascii="Arial" w:cs="Arial" w:eastAsia="Arial" w:hAnsi="Arial"/>
                <w:sz w:val="17"/>
                <w:szCs w:val="17"/>
                <w:color w:val="auto"/>
              </w:rPr>
              <w:t>14</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39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0" w:right="239" w:bottom="1440" w:gutter="0" w:footer="0" w:header="0"/>
        </w:sectPr>
      </w:pPr>
    </w:p>
    <w:bookmarkStart w:id="17" w:name="page18"/>
    <w:bookmarkEnd w:id="17"/>
    <w:p>
      <w:pPr>
        <w:spacing w:after="0"/>
        <w:rPr>
          <w:sz w:val="20"/>
          <w:szCs w:val="20"/>
          <w:color w:val="auto"/>
        </w:rPr>
      </w:pPr>
      <w:r>
        <w:rPr>
          <w:rFonts w:ascii="Arial" w:cs="Arial" w:eastAsia="Arial" w:hAnsi="Arial"/>
          <w:sz w:val="17"/>
          <w:szCs w:val="17"/>
          <w:u w:val="single" w:color="auto"/>
          <w:color w:val="auto"/>
        </w:rPr>
        <w:t>Impairment Review</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Impairment of investment securities results in a charge to operations when a market decline below cost is deemed to be other-than-temporary. The Company regularly reviews its fixed-maturity securities to evaluate the necessity of recording impairment losses for other-than-temporary declines in the estimated fair value of investments. In evaluating potential impairment, GAAP specifies (i) if the Company does not have the intent to sell a debt security prior to recovery and (ii) it is more likely than not that it will not have to sell the debt security prior to recovery, the security would not be considered other-than-temporarily impaired unless there is a credit loss. When the Company does not intend to sell the security and it is more likely than not that the Company will not have to sell the security before recovery of its cost basis, it will recognize the credit component of an other-than-temporary impairment (“OTTI”) of a debt security in earnings and the remaining portion in comprehensive loss. The credit loss component recognized in earnings is identified as the amount of principal cash flows not expected to be received over the remaining term of the security as projected based on cash flow projections. For held-to-maturity debt securities, the amount of OTTI recorded in comprehensive loss for the noncredit portion of a previous OTTI is amortized prospectively over the remaining life of the security on the basis of timing of future estimated cash flows of the security.</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OTTI losses are recorded in the condensed consolidated statements of operations and comprehensive income (loss) as net realized losses on investments and result in a permanent reduction of the cost basis of the underlying investment. The determination of OTTI is a subjective process and different judgments and assumptions could affect the timing of loss realization. At June 30, 2019 and December 31, 2018, there were 49 and 156 fixed-maturity securities, respectively, that accounted for the gross unrealized loss. The Company determined that none of the other unrealized losses were deemed to be OTTI for its portfolio of investments for the six months ended June 30, 2019 and 2018. Significant factors influencing the Company’s determination that unrealized losses were temporary included the magnitude of the unrealized losses in relation to each security’s cost, the nature of the investment and management’s intent and ability to retain the investment for a period of time sufficient to allow for an anticipated recovery of estimated fair value to the Company’s cost basis.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18" w:name="page19"/>
    <w:bookmarkEnd w:id="18"/>
    <w:p>
      <w:pPr>
        <w:spacing w:after="0"/>
        <w:rPr>
          <w:sz w:val="20"/>
          <w:szCs w:val="20"/>
          <w:color w:val="auto"/>
        </w:rPr>
      </w:pPr>
      <w:r>
        <w:rPr>
          <w:rFonts w:ascii="Arial" w:cs="Arial" w:eastAsia="Arial" w:hAnsi="Arial"/>
          <w:sz w:val="16"/>
          <w:szCs w:val="16"/>
          <w:color w:val="auto"/>
        </w:rPr>
        <w:t>The Company held available-for-sale securities with unrealized losses representing declines that were considered temporary at June 30, 2019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3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6"/>
          </w:tcPr>
          <w:p>
            <w:pPr>
              <w:jc w:val="right"/>
              <w:ind w:right="840"/>
              <w:spacing w:after="0"/>
              <w:rPr>
                <w:sz w:val="20"/>
                <w:szCs w:val="20"/>
                <w:color w:val="auto"/>
              </w:rPr>
            </w:pPr>
            <w:r>
              <w:rPr>
                <w:rFonts w:ascii="Arial" w:cs="Arial" w:eastAsia="Arial" w:hAnsi="Arial"/>
                <w:sz w:val="14"/>
                <w:szCs w:val="14"/>
                <w:b w:val="1"/>
                <w:bCs w:val="1"/>
                <w:color w:val="auto"/>
              </w:rPr>
              <w:t>June 30, 2019</w:t>
            </w:r>
          </w:p>
        </w:tc>
        <w:tc>
          <w:tcPr>
            <w:tcW w:w="9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63"/>
        </w:trPr>
        <w:tc>
          <w:tcPr>
            <w:tcW w:w="2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80"/>
              <w:spacing w:after="0" w:line="157" w:lineRule="exact"/>
              <w:rPr>
                <w:sz w:val="20"/>
                <w:szCs w:val="20"/>
                <w:color w:val="auto"/>
              </w:rPr>
            </w:pPr>
            <w:r>
              <w:rPr>
                <w:rFonts w:ascii="Arial" w:cs="Arial" w:eastAsia="Arial" w:hAnsi="Arial"/>
                <w:sz w:val="14"/>
                <w:szCs w:val="14"/>
                <w:b w:val="1"/>
                <w:bCs w:val="1"/>
                <w:color w:val="auto"/>
                <w:w w:val="90"/>
              </w:rPr>
              <w:t>Less than 12 months</w:t>
            </w:r>
          </w:p>
        </w:tc>
        <w:tc>
          <w:tcPr>
            <w:tcW w:w="9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ind w:right="40"/>
              <w:spacing w:after="0" w:line="157" w:lineRule="exact"/>
              <w:rPr>
                <w:sz w:val="20"/>
                <w:szCs w:val="20"/>
                <w:color w:val="auto"/>
              </w:rPr>
            </w:pPr>
            <w:r>
              <w:rPr>
                <w:rFonts w:ascii="Arial" w:cs="Arial" w:eastAsia="Arial" w:hAnsi="Arial"/>
                <w:sz w:val="14"/>
                <w:szCs w:val="14"/>
                <w:b w:val="1"/>
                <w:bCs w:val="1"/>
                <w:color w:val="auto"/>
                <w:w w:val="92"/>
              </w:rPr>
              <w:t>12 months or more</w:t>
            </w:r>
          </w:p>
        </w:tc>
        <w:tc>
          <w:tcPr>
            <w:tcW w:w="9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ind w:right="80"/>
              <w:spacing w:after="0" w:line="157" w:lineRule="exact"/>
              <w:rPr>
                <w:sz w:val="20"/>
                <w:szCs w:val="20"/>
                <w:color w:val="auto"/>
              </w:rPr>
            </w:pPr>
            <w:r>
              <w:rPr>
                <w:rFonts w:ascii="Arial" w:cs="Arial" w:eastAsia="Arial" w:hAnsi="Arial"/>
                <w:sz w:val="14"/>
                <w:szCs w:val="14"/>
                <w:b w:val="1"/>
                <w:bCs w:val="1"/>
                <w:color w:val="auto"/>
              </w:rPr>
              <w:t>Total</w:t>
            </w:r>
          </w:p>
        </w:tc>
        <w:tc>
          <w:tcPr>
            <w:tcW w:w="7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4"/>
        </w:trPr>
        <w:tc>
          <w:tcPr>
            <w:tcW w:w="2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20"/>
              <w:spacing w:after="0" w:line="144" w:lineRule="exact"/>
              <w:rPr>
                <w:sz w:val="20"/>
                <w:szCs w:val="20"/>
                <w:color w:val="auto"/>
              </w:rPr>
            </w:pPr>
            <w:r>
              <w:rPr>
                <w:rFonts w:ascii="Arial" w:cs="Arial" w:eastAsia="Arial" w:hAnsi="Arial"/>
                <w:sz w:val="14"/>
                <w:szCs w:val="14"/>
                <w:b w:val="1"/>
                <w:bCs w:val="1"/>
                <w:color w:val="auto"/>
                <w:w w:val="92"/>
              </w:rPr>
              <w:t>Estimated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0"/>
              </w:rPr>
              <w:t>No. of</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20"/>
              <w:spacing w:after="0" w:line="144" w:lineRule="exact"/>
              <w:rPr>
                <w:sz w:val="20"/>
                <w:szCs w:val="20"/>
                <w:color w:val="auto"/>
              </w:rPr>
            </w:pPr>
            <w:r>
              <w:rPr>
                <w:rFonts w:ascii="Arial" w:cs="Arial" w:eastAsia="Arial" w:hAnsi="Arial"/>
                <w:sz w:val="14"/>
                <w:szCs w:val="14"/>
                <w:b w:val="1"/>
                <w:bCs w:val="1"/>
                <w:color w:val="auto"/>
                <w:w w:val="95"/>
              </w:rPr>
              <w:t>Estimated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center"/>
              <w:spacing w:after="0" w:line="144" w:lineRule="exact"/>
              <w:rPr>
                <w:sz w:val="20"/>
                <w:szCs w:val="20"/>
                <w:color w:val="auto"/>
              </w:rPr>
            </w:pPr>
            <w:r>
              <w:rPr>
                <w:rFonts w:ascii="Arial" w:cs="Arial" w:eastAsia="Arial" w:hAnsi="Arial"/>
                <w:sz w:val="14"/>
                <w:szCs w:val="14"/>
                <w:b w:val="1"/>
                <w:bCs w:val="1"/>
                <w:color w:val="auto"/>
                <w:w w:val="90"/>
              </w:rPr>
              <w:t>No. of</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00"/>
              <w:spacing w:after="0" w:line="144" w:lineRule="exact"/>
              <w:rPr>
                <w:sz w:val="20"/>
                <w:szCs w:val="20"/>
                <w:color w:val="auto"/>
              </w:rPr>
            </w:pPr>
            <w:r>
              <w:rPr>
                <w:rFonts w:ascii="Arial" w:cs="Arial" w:eastAsia="Arial" w:hAnsi="Arial"/>
                <w:sz w:val="14"/>
                <w:szCs w:val="14"/>
                <w:b w:val="1"/>
                <w:bCs w:val="1"/>
                <w:color w:val="auto"/>
                <w:w w:val="92"/>
              </w:rPr>
              <w:t>Estimated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7"/>
        </w:trPr>
        <w:tc>
          <w:tcPr>
            <w:tcW w:w="2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120"/>
              <w:spacing w:after="0" w:line="157" w:lineRule="exact"/>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ind w:right="340"/>
              <w:spacing w:after="0" w:line="157" w:lineRule="exact"/>
              <w:rPr>
                <w:sz w:val="20"/>
                <w:szCs w:val="20"/>
                <w:color w:val="auto"/>
              </w:rPr>
            </w:pPr>
            <w:r>
              <w:rPr>
                <w:rFonts w:ascii="Arial" w:cs="Arial" w:eastAsia="Arial" w:hAnsi="Arial"/>
                <w:sz w:val="14"/>
                <w:szCs w:val="14"/>
                <w:b w:val="1"/>
                <w:bCs w:val="1"/>
                <w:color w:val="auto"/>
                <w:w w:val="95"/>
              </w:rPr>
              <w:t>Unrealized</w:t>
            </w:r>
          </w:p>
        </w:tc>
        <w:tc>
          <w:tcPr>
            <w:tcW w:w="9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88"/>
              </w:rPr>
              <w:t>Positions</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120"/>
              <w:spacing w:after="0" w:line="157" w:lineRule="exact"/>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w w:val="95"/>
              </w:rPr>
              <w:t>Unrealized</w:t>
            </w:r>
          </w:p>
        </w:tc>
        <w:tc>
          <w:tcPr>
            <w:tcW w:w="92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w w:val="88"/>
              </w:rPr>
              <w:t>Positions</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3"/>
          </w:tcPr>
          <w:p>
            <w:pPr>
              <w:jc w:val="right"/>
              <w:ind w:right="220"/>
              <w:spacing w:after="0" w:line="157" w:lineRule="exact"/>
              <w:rPr>
                <w:sz w:val="20"/>
                <w:szCs w:val="20"/>
                <w:color w:val="auto"/>
              </w:rPr>
            </w:pPr>
            <w:r>
              <w:rPr>
                <w:rFonts w:ascii="Arial" w:cs="Arial" w:eastAsia="Arial" w:hAnsi="Arial"/>
                <w:sz w:val="14"/>
                <w:szCs w:val="14"/>
                <w:b w:val="1"/>
                <w:bCs w:val="1"/>
                <w:color w:val="auto"/>
                <w:w w:val="93"/>
              </w:rPr>
              <w:t>Unrealized</w:t>
            </w:r>
          </w:p>
        </w:tc>
      </w:tr>
      <w:tr>
        <w:trPr>
          <w:trHeight w:val="177"/>
        </w:trPr>
        <w:tc>
          <w:tcPr>
            <w:tcW w:w="2380" w:type="dxa"/>
            <w:vAlign w:val="bottom"/>
          </w:tcPr>
          <w:p>
            <w:pPr>
              <w:ind w:left="40"/>
              <w:spacing w:after="0"/>
              <w:rPr>
                <w:sz w:val="20"/>
                <w:szCs w:val="20"/>
                <w:color w:val="auto"/>
              </w:rPr>
            </w:pPr>
            <w:r>
              <w:rPr>
                <w:rFonts w:ascii="Arial" w:cs="Arial" w:eastAsia="Arial" w:hAnsi="Arial"/>
                <w:sz w:val="14"/>
                <w:szCs w:val="14"/>
                <w:b w:val="1"/>
                <w:bCs w:val="1"/>
                <w:color w:val="auto"/>
              </w:rPr>
              <w:t>Category</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Losses</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8"/>
              </w:rPr>
              <w:t>Held</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Value</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Held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Losses</w:t>
            </w:r>
          </w:p>
        </w:tc>
      </w:tr>
      <w:tr>
        <w:trPr>
          <w:trHeight w:val="469"/>
        </w:trPr>
        <w:tc>
          <w:tcPr>
            <w:tcW w:w="2380" w:type="dxa"/>
            <w:vAlign w:val="bottom"/>
          </w:tcPr>
          <w:p>
            <w:pPr>
              <w:ind w:left="40"/>
              <w:spacing w:after="0"/>
              <w:rPr>
                <w:sz w:val="20"/>
                <w:szCs w:val="20"/>
                <w:color w:val="auto"/>
              </w:rPr>
            </w:pPr>
            <w:r>
              <w:rPr>
                <w:rFonts w:ascii="Arial" w:cs="Arial" w:eastAsia="Arial" w:hAnsi="Arial"/>
                <w:sz w:val="17"/>
                <w:szCs w:val="17"/>
                <w:b w:val="1"/>
                <w:bCs w:val="1"/>
                <w:color w:val="auto"/>
              </w:rPr>
              <w:t>Fixed-Maturity Securities: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5"/>
        </w:trPr>
        <w:tc>
          <w:tcPr>
            <w:tcW w:w="2380" w:type="dxa"/>
            <w:vAlign w:val="bottom"/>
          </w:tcPr>
          <w:p>
            <w:pPr>
              <w:ind w:left="40"/>
              <w:spacing w:after="0"/>
              <w:rPr>
                <w:sz w:val="20"/>
                <w:szCs w:val="20"/>
                <w:color w:val="auto"/>
              </w:rPr>
            </w:pPr>
            <w:r>
              <w:rPr>
                <w:rFonts w:ascii="Arial" w:cs="Arial" w:eastAsia="Arial" w:hAnsi="Arial"/>
                <w:sz w:val="17"/>
                <w:szCs w:val="17"/>
                <w:color w:val="auto"/>
              </w:rPr>
              <w:t>U.S. Treasury securities</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5"/>
        </w:trPr>
        <w:tc>
          <w:tcPr>
            <w:tcW w:w="2380" w:type="dxa"/>
            <w:vAlign w:val="bottom"/>
          </w:tcPr>
          <w:p>
            <w:pPr>
              <w:ind w:left="40"/>
              <w:spacing w:after="0"/>
              <w:rPr>
                <w:sz w:val="20"/>
                <w:szCs w:val="20"/>
                <w:color w:val="auto"/>
              </w:rPr>
            </w:pPr>
            <w:r>
              <w:rPr>
                <w:rFonts w:ascii="Arial" w:cs="Arial" w:eastAsia="Arial" w:hAnsi="Arial"/>
                <w:sz w:val="17"/>
                <w:szCs w:val="17"/>
                <w:color w:val="auto"/>
              </w:rPr>
              <w:t>and obligations of U.S.</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2380" w:type="dxa"/>
            <w:vAlign w:val="bottom"/>
          </w:tcPr>
          <w:p>
            <w:pPr>
              <w:ind w:left="40"/>
              <w:spacing w:after="0"/>
              <w:rPr>
                <w:sz w:val="20"/>
                <w:szCs w:val="20"/>
                <w:color w:val="auto"/>
              </w:rPr>
            </w:pPr>
            <w:r>
              <w:rPr>
                <w:rFonts w:ascii="Arial" w:cs="Arial" w:eastAsia="Arial" w:hAnsi="Arial"/>
                <w:sz w:val="17"/>
                <w:szCs w:val="17"/>
                <w:color w:val="auto"/>
              </w:rPr>
              <w:t>government corporations</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2380" w:type="dxa"/>
            <w:vAlign w:val="bottom"/>
            <w:shd w:val="clear" w:color="auto" w:fill="CCEEFF"/>
          </w:tcPr>
          <w:p>
            <w:pPr>
              <w:ind w:left="40"/>
              <w:spacing w:after="0"/>
              <w:rPr>
                <w:sz w:val="20"/>
                <w:szCs w:val="20"/>
                <w:color w:val="auto"/>
              </w:rPr>
            </w:pPr>
            <w:r>
              <w:rPr>
                <w:rFonts w:ascii="Arial" w:cs="Arial" w:eastAsia="Arial" w:hAnsi="Arial"/>
                <w:sz w:val="17"/>
                <w:szCs w:val="17"/>
                <w:color w:val="auto"/>
              </w:rPr>
              <w:t>and agencies</w:t>
            </w:r>
          </w:p>
        </w:tc>
        <w:tc>
          <w:tcPr>
            <w:tcW w:w="1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1,992,340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(1,557)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1,992,340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(1,557)</w:t>
            </w:r>
          </w:p>
        </w:tc>
      </w:tr>
      <w:tr>
        <w:trPr>
          <w:trHeight w:val="209"/>
        </w:trPr>
        <w:tc>
          <w:tcPr>
            <w:tcW w:w="2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2380" w:type="dxa"/>
            <w:vAlign w:val="bottom"/>
            <w:shd w:val="clear" w:color="auto" w:fill="CCEEFF"/>
          </w:tcPr>
          <w:p>
            <w:pPr>
              <w:ind w:left="40"/>
              <w:spacing w:after="0"/>
              <w:rPr>
                <w:sz w:val="20"/>
                <w:szCs w:val="20"/>
                <w:color w:val="auto"/>
              </w:rPr>
            </w:pPr>
            <w:r>
              <w:rPr>
                <w:rFonts w:ascii="Arial" w:cs="Arial" w:eastAsia="Arial" w:hAnsi="Arial"/>
                <w:sz w:val="17"/>
                <w:szCs w:val="17"/>
                <w:color w:val="auto"/>
              </w:rPr>
              <w:t>Political subdivisions of</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9"/>
        </w:trPr>
        <w:tc>
          <w:tcPr>
            <w:tcW w:w="2380" w:type="dxa"/>
            <w:vAlign w:val="bottom"/>
          </w:tcPr>
          <w:p>
            <w:pPr>
              <w:ind w:left="40"/>
              <w:spacing w:after="0"/>
              <w:rPr>
                <w:sz w:val="20"/>
                <w:szCs w:val="20"/>
                <w:color w:val="auto"/>
              </w:rPr>
            </w:pPr>
            <w:r>
              <w:rPr>
                <w:rFonts w:ascii="Arial" w:cs="Arial" w:eastAsia="Arial" w:hAnsi="Arial"/>
                <w:sz w:val="17"/>
                <w:szCs w:val="17"/>
                <w:color w:val="auto"/>
              </w:rPr>
              <w:t>States, Territories and</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2380" w:type="dxa"/>
            <w:vAlign w:val="bottom"/>
            <w:shd w:val="clear" w:color="auto" w:fill="CCEEFF"/>
          </w:tcPr>
          <w:p>
            <w:pPr>
              <w:ind w:left="40"/>
              <w:spacing w:after="0"/>
              <w:rPr>
                <w:sz w:val="20"/>
                <w:szCs w:val="20"/>
                <w:color w:val="auto"/>
              </w:rPr>
            </w:pPr>
            <w:r>
              <w:rPr>
                <w:rFonts w:ascii="Arial" w:cs="Arial" w:eastAsia="Arial" w:hAnsi="Arial"/>
                <w:sz w:val="17"/>
                <w:szCs w:val="17"/>
                <w:color w:val="auto"/>
              </w:rPr>
              <w:t>Possessions</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302,880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302,880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(309)</w:t>
            </w:r>
          </w:p>
        </w:tc>
      </w:tr>
      <w:tr>
        <w:trPr>
          <w:trHeight w:val="209"/>
        </w:trPr>
        <w:tc>
          <w:tcPr>
            <w:tcW w:w="2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238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Corporate and other</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9"/>
        </w:trPr>
        <w:tc>
          <w:tcPr>
            <w:tcW w:w="2380" w:type="dxa"/>
            <w:vAlign w:val="bottom"/>
          </w:tcPr>
          <w:p>
            <w:pPr>
              <w:ind w:left="40"/>
              <w:spacing w:after="0"/>
              <w:rPr>
                <w:sz w:val="20"/>
                <w:szCs w:val="20"/>
                <w:color w:val="auto"/>
              </w:rPr>
            </w:pPr>
            <w:r>
              <w:rPr>
                <w:rFonts w:ascii="Arial" w:cs="Arial" w:eastAsia="Arial" w:hAnsi="Arial"/>
                <w:sz w:val="17"/>
                <w:szCs w:val="17"/>
                <w:color w:val="auto"/>
              </w:rPr>
              <w:t>bonds industrial and</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2380" w:type="dxa"/>
            <w:vAlign w:val="bottom"/>
            <w:shd w:val="clear" w:color="auto" w:fill="CCEEFF"/>
          </w:tcPr>
          <w:p>
            <w:pPr>
              <w:ind w:left="40"/>
              <w:spacing w:after="0"/>
              <w:rPr>
                <w:sz w:val="20"/>
                <w:szCs w:val="20"/>
                <w:color w:val="auto"/>
              </w:rPr>
            </w:pPr>
            <w:r>
              <w:rPr>
                <w:rFonts w:ascii="Arial" w:cs="Arial" w:eastAsia="Arial" w:hAnsi="Arial"/>
                <w:sz w:val="17"/>
                <w:szCs w:val="17"/>
                <w:color w:val="auto"/>
              </w:rPr>
              <w:t>miscellaneous</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1,959,040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(14,450)</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1"/>
              </w:rPr>
              <w:t>11,608,094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(84,187)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1"/>
              </w:rPr>
              <w:t>13,567,134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(98,637)</w:t>
            </w:r>
          </w:p>
        </w:tc>
      </w:tr>
      <w:tr>
        <w:trPr>
          <w:trHeight w:val="209"/>
        </w:trPr>
        <w:tc>
          <w:tcPr>
            <w:tcW w:w="2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42"/>
        </w:trPr>
        <w:tc>
          <w:tcPr>
            <w:tcW w:w="2380" w:type="dxa"/>
            <w:vAlign w:val="bottom"/>
            <w:shd w:val="clear" w:color="auto" w:fill="CCEEFF"/>
          </w:tcPr>
          <w:p>
            <w:pPr>
              <w:ind w:left="40"/>
              <w:spacing w:after="0"/>
              <w:rPr>
                <w:sz w:val="20"/>
                <w:szCs w:val="20"/>
                <w:color w:val="auto"/>
              </w:rPr>
            </w:pPr>
            <w:r>
              <w:rPr>
                <w:rFonts w:ascii="Arial" w:cs="Arial" w:eastAsia="Arial" w:hAnsi="Arial"/>
                <w:sz w:val="17"/>
                <w:szCs w:val="17"/>
                <w:color w:val="auto"/>
                <w:w w:val="97"/>
              </w:rPr>
              <w:t>Residential mortgage and other</w:t>
            </w: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r>
        <w:trPr>
          <w:trHeight w:val="238"/>
        </w:trPr>
        <w:tc>
          <w:tcPr>
            <w:tcW w:w="2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5"/>
        </w:trPr>
        <w:tc>
          <w:tcPr>
            <w:tcW w:w="2380" w:type="dxa"/>
            <w:vAlign w:val="bottom"/>
          </w:tcPr>
          <w:p>
            <w:pPr>
              <w:ind w:left="40"/>
              <w:spacing w:after="0"/>
              <w:rPr>
                <w:sz w:val="20"/>
                <w:szCs w:val="20"/>
                <w:color w:val="auto"/>
              </w:rPr>
            </w:pPr>
            <w:r>
              <w:rPr>
                <w:rFonts w:ascii="Arial" w:cs="Arial" w:eastAsia="Arial" w:hAnsi="Arial"/>
                <w:sz w:val="17"/>
                <w:szCs w:val="17"/>
                <w:color w:val="auto"/>
              </w:rPr>
              <w:t>asset backed securities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591,845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(8,750)</w:t>
            </w:r>
          </w:p>
        </w:tc>
        <w:tc>
          <w:tcPr>
            <w:tcW w:w="900" w:type="dxa"/>
            <w:vAlign w:val="bottom"/>
          </w:tcPr>
          <w:p>
            <w:pPr>
              <w:jc w:val="right"/>
              <w:spacing w:after="0"/>
              <w:rPr>
                <w:sz w:val="20"/>
                <w:szCs w:val="20"/>
                <w:color w:val="auto"/>
              </w:rPr>
            </w:pPr>
            <w:r>
              <w:rPr>
                <w:rFonts w:ascii="Arial" w:cs="Arial" w:eastAsia="Arial" w:hAnsi="Arial"/>
                <w:sz w:val="17"/>
                <w:szCs w:val="17"/>
                <w:color w:val="auto"/>
              </w:rPr>
              <w:t>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w w:val="91"/>
              </w:rPr>
              <w:t>15,983,171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(376,663)</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24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w w:val="91"/>
              </w:rPr>
              <w:t>16,575,016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7"/>
                <w:szCs w:val="17"/>
                <w:color w:val="auto"/>
              </w:rPr>
              <w:t>(385,413)</w:t>
            </w:r>
          </w:p>
        </w:tc>
      </w:tr>
      <w:tr>
        <w:trPr>
          <w:trHeight w:val="209"/>
        </w:trPr>
        <w:tc>
          <w:tcPr>
            <w:tcW w:w="2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9"/>
        </w:trPr>
        <w:tc>
          <w:tcPr>
            <w:tcW w:w="2380" w:type="dxa"/>
            <w:vAlign w:val="bottom"/>
          </w:tcPr>
          <w:p>
            <w:pPr>
              <w:ind w:left="40"/>
              <w:spacing w:after="0"/>
              <w:rPr>
                <w:sz w:val="20"/>
                <w:szCs w:val="20"/>
                <w:color w:val="auto"/>
              </w:rPr>
            </w:pPr>
            <w:r>
              <w:rPr>
                <w:rFonts w:ascii="Arial" w:cs="Arial" w:eastAsia="Arial" w:hAnsi="Arial"/>
                <w:sz w:val="17"/>
                <w:szCs w:val="17"/>
                <w:color w:val="auto"/>
              </w:rPr>
              <w:t>Total fixed-maturity</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9"/>
        </w:trPr>
        <w:tc>
          <w:tcPr>
            <w:tcW w:w="2380" w:type="dxa"/>
            <w:vAlign w:val="bottom"/>
            <w:shd w:val="clear" w:color="auto" w:fill="CCEEFF"/>
          </w:tcPr>
          <w:p>
            <w:pPr>
              <w:ind w:left="40"/>
              <w:spacing w:after="0"/>
              <w:rPr>
                <w:sz w:val="20"/>
                <w:szCs w:val="20"/>
                <w:color w:val="auto"/>
              </w:rPr>
            </w:pPr>
            <w:r>
              <w:rPr>
                <w:rFonts w:ascii="Arial" w:cs="Arial" w:eastAsia="Arial" w:hAnsi="Arial"/>
                <w:sz w:val="17"/>
                <w:szCs w:val="17"/>
                <w:color w:val="auto"/>
              </w:rPr>
              <w:t>securities</w:t>
            </w:r>
          </w:p>
        </w:tc>
        <w:tc>
          <w:tcPr>
            <w:tcW w:w="1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2,550,885</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(23,200)</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1"/>
              </w:rPr>
              <w:t>29,886,485</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(462,716)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1"/>
              </w:rPr>
              <w:t>32,437,370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(485,916)</w:t>
            </w:r>
          </w:p>
        </w:tc>
      </w:tr>
      <w:tr>
        <w:trPr>
          <w:trHeight w:val="619"/>
        </w:trPr>
        <w:tc>
          <w:tcPr>
            <w:tcW w:w="23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7"/>
                <w:szCs w:val="17"/>
                <w:color w:val="auto"/>
                <w:w w:val="84"/>
              </w:rPr>
              <w:t>16</w:t>
            </w:r>
          </w:p>
        </w:tc>
        <w:tc>
          <w:tcPr>
            <w:tcW w:w="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420"/>
          </w:cols>
          <w:pgMar w:left="240" w:top="550" w:right="239" w:bottom="1440" w:gutter="0" w:footer="0" w:header="0"/>
        </w:sectPr>
      </w:pPr>
    </w:p>
    <w:bookmarkStart w:id="19" w:name="page20"/>
    <w:bookmarkEnd w:id="19"/>
    <w:p>
      <w:pPr>
        <w:spacing w:after="0"/>
        <w:rPr>
          <w:sz w:val="20"/>
          <w:szCs w:val="20"/>
          <w:color w:val="auto"/>
        </w:rPr>
      </w:pPr>
      <w:r>
        <w:rPr>
          <w:rFonts w:ascii="Arial" w:cs="Arial" w:eastAsia="Arial" w:hAnsi="Arial"/>
          <w:sz w:val="16"/>
          <w:szCs w:val="16"/>
          <w:color w:val="auto"/>
        </w:rPr>
        <w:t>The Company held available-for-sale securities with unrealized losses representing declines that were considered temporary at December 31, 2018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3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6"/>
          </w:tcPr>
          <w:p>
            <w:pPr>
              <w:jc w:val="right"/>
              <w:ind w:right="680"/>
              <w:spacing w:after="0"/>
              <w:rPr>
                <w:sz w:val="20"/>
                <w:szCs w:val="20"/>
                <w:color w:val="auto"/>
              </w:rPr>
            </w:pPr>
            <w:r>
              <w:rPr>
                <w:rFonts w:ascii="Arial" w:cs="Arial" w:eastAsia="Arial" w:hAnsi="Arial"/>
                <w:sz w:val="14"/>
                <w:szCs w:val="14"/>
                <w:b w:val="1"/>
                <w:bCs w:val="1"/>
                <w:color w:val="auto"/>
              </w:rPr>
              <w:t>December 31, 2018</w:t>
            </w:r>
          </w:p>
        </w:tc>
        <w:tc>
          <w:tcPr>
            <w:tcW w:w="9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63"/>
        </w:trPr>
        <w:tc>
          <w:tcPr>
            <w:tcW w:w="2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120"/>
              <w:spacing w:after="0" w:line="157" w:lineRule="exact"/>
              <w:rPr>
                <w:sz w:val="20"/>
                <w:szCs w:val="20"/>
                <w:color w:val="auto"/>
              </w:rPr>
            </w:pPr>
            <w:r>
              <w:rPr>
                <w:rFonts w:ascii="Arial" w:cs="Arial" w:eastAsia="Arial" w:hAnsi="Arial"/>
                <w:sz w:val="14"/>
                <w:szCs w:val="14"/>
                <w:b w:val="1"/>
                <w:bCs w:val="1"/>
                <w:color w:val="auto"/>
                <w:w w:val="89"/>
              </w:rPr>
              <w:t>Less than 12 months</w:t>
            </w:r>
          </w:p>
        </w:tc>
        <w:tc>
          <w:tcPr>
            <w:tcW w:w="9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140"/>
              <w:spacing w:after="0" w:line="157" w:lineRule="exact"/>
              <w:rPr>
                <w:sz w:val="20"/>
                <w:szCs w:val="20"/>
                <w:color w:val="auto"/>
              </w:rPr>
            </w:pPr>
            <w:r>
              <w:rPr>
                <w:rFonts w:ascii="Arial" w:cs="Arial" w:eastAsia="Arial" w:hAnsi="Arial"/>
                <w:sz w:val="14"/>
                <w:szCs w:val="14"/>
                <w:b w:val="1"/>
                <w:bCs w:val="1"/>
                <w:color w:val="auto"/>
                <w:w w:val="92"/>
              </w:rPr>
              <w:t>12 months or more</w:t>
            </w:r>
          </w:p>
        </w:tc>
        <w:tc>
          <w:tcPr>
            <w:tcW w:w="9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Borders>
              <w:bottom w:val="single" w:sz="8" w:color="auto"/>
            </w:tcBorders>
            <w:gridSpan w:val="4"/>
          </w:tcPr>
          <w:p>
            <w:pPr>
              <w:jc w:val="right"/>
              <w:ind w:right="120"/>
              <w:spacing w:after="0" w:line="157" w:lineRule="exact"/>
              <w:rPr>
                <w:sz w:val="20"/>
                <w:szCs w:val="20"/>
                <w:color w:val="auto"/>
              </w:rPr>
            </w:pPr>
            <w:r>
              <w:rPr>
                <w:rFonts w:ascii="Arial" w:cs="Arial" w:eastAsia="Arial" w:hAnsi="Arial"/>
                <w:sz w:val="14"/>
                <w:szCs w:val="14"/>
                <w:b w:val="1"/>
                <w:bCs w:val="1"/>
                <w:color w:val="auto"/>
              </w:rPr>
              <w:t>Total</w:t>
            </w:r>
          </w:p>
        </w:tc>
        <w:tc>
          <w:tcPr>
            <w:tcW w:w="7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4"/>
        </w:trPr>
        <w:tc>
          <w:tcPr>
            <w:tcW w:w="2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80"/>
              <w:spacing w:after="0" w:line="144" w:lineRule="exact"/>
              <w:rPr>
                <w:sz w:val="20"/>
                <w:szCs w:val="20"/>
                <w:color w:val="auto"/>
              </w:rPr>
            </w:pPr>
            <w:r>
              <w:rPr>
                <w:rFonts w:ascii="Arial" w:cs="Arial" w:eastAsia="Arial" w:hAnsi="Arial"/>
                <w:sz w:val="14"/>
                <w:szCs w:val="14"/>
                <w:b w:val="1"/>
                <w:bCs w:val="1"/>
                <w:color w:val="auto"/>
                <w:w w:val="92"/>
              </w:rPr>
              <w:t>Estimated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0"/>
              </w:rPr>
              <w:t>No. of</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20"/>
              <w:spacing w:after="0" w:line="144" w:lineRule="exact"/>
              <w:rPr>
                <w:sz w:val="20"/>
                <w:szCs w:val="20"/>
                <w:color w:val="auto"/>
              </w:rPr>
            </w:pPr>
            <w:r>
              <w:rPr>
                <w:rFonts w:ascii="Arial" w:cs="Arial" w:eastAsia="Arial" w:hAnsi="Arial"/>
                <w:sz w:val="14"/>
                <w:szCs w:val="14"/>
                <w:b w:val="1"/>
                <w:bCs w:val="1"/>
                <w:color w:val="auto"/>
                <w:w w:val="95"/>
              </w:rPr>
              <w:t>Estimated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center"/>
              <w:spacing w:after="0" w:line="144" w:lineRule="exact"/>
              <w:rPr>
                <w:sz w:val="20"/>
                <w:szCs w:val="20"/>
                <w:color w:val="auto"/>
              </w:rPr>
            </w:pPr>
            <w:r>
              <w:rPr>
                <w:rFonts w:ascii="Arial" w:cs="Arial" w:eastAsia="Arial" w:hAnsi="Arial"/>
                <w:sz w:val="14"/>
                <w:szCs w:val="14"/>
                <w:b w:val="1"/>
                <w:bCs w:val="1"/>
                <w:color w:val="auto"/>
                <w:w w:val="90"/>
              </w:rPr>
              <w:t>No. of</w:t>
            </w:r>
          </w:p>
        </w:tc>
        <w:tc>
          <w:tcPr>
            <w:tcW w:w="220" w:type="dxa"/>
            <w:vAlign w:val="bottom"/>
          </w:tcPr>
          <w:p>
            <w:pPr>
              <w:spacing w:after="0"/>
              <w:rPr>
                <w:sz w:val="12"/>
                <w:szCs w:val="12"/>
                <w:color w:val="auto"/>
              </w:rPr>
            </w:pPr>
          </w:p>
        </w:tc>
        <w:tc>
          <w:tcPr>
            <w:tcW w:w="1020" w:type="dxa"/>
            <w:vAlign w:val="bottom"/>
            <w:gridSpan w:val="2"/>
          </w:tcPr>
          <w:p>
            <w:pPr>
              <w:jc w:val="center"/>
              <w:ind w:right="80"/>
              <w:spacing w:after="0" w:line="144" w:lineRule="exact"/>
              <w:rPr>
                <w:sz w:val="20"/>
                <w:szCs w:val="20"/>
                <w:color w:val="auto"/>
              </w:rPr>
            </w:pPr>
            <w:r>
              <w:rPr>
                <w:rFonts w:ascii="Arial" w:cs="Arial" w:eastAsia="Arial" w:hAnsi="Arial"/>
                <w:sz w:val="14"/>
                <w:szCs w:val="14"/>
                <w:b w:val="1"/>
                <w:bCs w:val="1"/>
                <w:color w:val="auto"/>
                <w:w w:val="92"/>
              </w:rPr>
              <w:t>Estimated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7"/>
        </w:trPr>
        <w:tc>
          <w:tcPr>
            <w:tcW w:w="2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80"/>
              <w:spacing w:after="0" w:line="157" w:lineRule="exact"/>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ind w:right="340"/>
              <w:spacing w:after="0" w:line="157" w:lineRule="exact"/>
              <w:rPr>
                <w:sz w:val="20"/>
                <w:szCs w:val="20"/>
                <w:color w:val="auto"/>
              </w:rPr>
            </w:pPr>
            <w:r>
              <w:rPr>
                <w:rFonts w:ascii="Arial" w:cs="Arial" w:eastAsia="Arial" w:hAnsi="Arial"/>
                <w:sz w:val="14"/>
                <w:szCs w:val="14"/>
                <w:b w:val="1"/>
                <w:bCs w:val="1"/>
                <w:color w:val="auto"/>
                <w:w w:val="95"/>
              </w:rPr>
              <w:t>Unrealized</w:t>
            </w:r>
          </w:p>
        </w:tc>
        <w:tc>
          <w:tcPr>
            <w:tcW w:w="9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88"/>
              </w:rPr>
              <w:t>Positions</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120"/>
              <w:spacing w:after="0" w:line="157" w:lineRule="exact"/>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right"/>
              <w:ind w:right="320"/>
              <w:spacing w:after="0" w:line="157" w:lineRule="exact"/>
              <w:rPr>
                <w:sz w:val="20"/>
                <w:szCs w:val="20"/>
                <w:color w:val="auto"/>
              </w:rPr>
            </w:pPr>
            <w:r>
              <w:rPr>
                <w:rFonts w:ascii="Arial" w:cs="Arial" w:eastAsia="Arial" w:hAnsi="Arial"/>
                <w:sz w:val="14"/>
                <w:szCs w:val="14"/>
                <w:b w:val="1"/>
                <w:bCs w:val="1"/>
                <w:color w:val="auto"/>
                <w:w w:val="95"/>
              </w:rPr>
              <w:t>Unrealized</w:t>
            </w:r>
          </w:p>
        </w:tc>
        <w:tc>
          <w:tcPr>
            <w:tcW w:w="92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w w:val="88"/>
              </w:rPr>
              <w:t>Positions</w:t>
            </w:r>
          </w:p>
        </w:tc>
        <w:tc>
          <w:tcPr>
            <w:tcW w:w="220" w:type="dxa"/>
            <w:vAlign w:val="bottom"/>
          </w:tcPr>
          <w:p>
            <w:pPr>
              <w:spacing w:after="0"/>
              <w:rPr>
                <w:sz w:val="13"/>
                <w:szCs w:val="13"/>
                <w:color w:val="auto"/>
              </w:rPr>
            </w:pPr>
          </w:p>
        </w:tc>
        <w:tc>
          <w:tcPr>
            <w:tcW w:w="1020" w:type="dxa"/>
            <w:vAlign w:val="bottom"/>
            <w:gridSpan w:val="2"/>
          </w:tcPr>
          <w:p>
            <w:pPr>
              <w:jc w:val="center"/>
              <w:ind w:right="80"/>
              <w:spacing w:after="0" w:line="157"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3"/>
          </w:tcPr>
          <w:p>
            <w:pPr>
              <w:jc w:val="right"/>
              <w:ind w:right="220"/>
              <w:spacing w:after="0" w:line="157" w:lineRule="exact"/>
              <w:rPr>
                <w:sz w:val="20"/>
                <w:szCs w:val="20"/>
                <w:color w:val="auto"/>
              </w:rPr>
            </w:pPr>
            <w:r>
              <w:rPr>
                <w:rFonts w:ascii="Arial" w:cs="Arial" w:eastAsia="Arial" w:hAnsi="Arial"/>
                <w:sz w:val="14"/>
                <w:szCs w:val="14"/>
                <w:b w:val="1"/>
                <w:bCs w:val="1"/>
                <w:color w:val="auto"/>
                <w:w w:val="93"/>
              </w:rPr>
              <w:t>Unrealized</w:t>
            </w:r>
          </w:p>
        </w:tc>
      </w:tr>
      <w:tr>
        <w:trPr>
          <w:trHeight w:val="177"/>
        </w:trPr>
        <w:tc>
          <w:tcPr>
            <w:tcW w:w="2380" w:type="dxa"/>
            <w:vAlign w:val="bottom"/>
          </w:tcPr>
          <w:p>
            <w:pPr>
              <w:ind w:left="40"/>
              <w:spacing w:after="0"/>
              <w:rPr>
                <w:sz w:val="20"/>
                <w:szCs w:val="20"/>
                <w:color w:val="auto"/>
              </w:rPr>
            </w:pPr>
            <w:r>
              <w:rPr>
                <w:rFonts w:ascii="Arial" w:cs="Arial" w:eastAsia="Arial" w:hAnsi="Arial"/>
                <w:sz w:val="14"/>
                <w:szCs w:val="14"/>
                <w:b w:val="1"/>
                <w:bCs w:val="1"/>
                <w:color w:val="auto"/>
              </w:rPr>
              <w:t>Category</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Losses</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8"/>
              </w:rPr>
              <w:t>Held</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Value</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Losses</w:t>
            </w: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Held</w:t>
            </w:r>
          </w:p>
        </w:tc>
        <w:tc>
          <w:tcPr>
            <w:tcW w:w="220" w:type="dxa"/>
            <w:vAlign w:val="bottom"/>
          </w:tcPr>
          <w:p>
            <w:pPr>
              <w:spacing w:after="0"/>
              <w:rPr>
                <w:sz w:val="15"/>
                <w:szCs w:val="15"/>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Losses</w:t>
            </w:r>
          </w:p>
        </w:tc>
      </w:tr>
      <w:tr>
        <w:trPr>
          <w:trHeight w:val="469"/>
        </w:trPr>
        <w:tc>
          <w:tcPr>
            <w:tcW w:w="2380" w:type="dxa"/>
            <w:vAlign w:val="bottom"/>
          </w:tcPr>
          <w:p>
            <w:pPr>
              <w:ind w:left="40"/>
              <w:spacing w:after="0"/>
              <w:rPr>
                <w:sz w:val="20"/>
                <w:szCs w:val="20"/>
                <w:color w:val="auto"/>
              </w:rPr>
            </w:pPr>
            <w:r>
              <w:rPr>
                <w:rFonts w:ascii="Arial" w:cs="Arial" w:eastAsia="Arial" w:hAnsi="Arial"/>
                <w:sz w:val="17"/>
                <w:szCs w:val="17"/>
                <w:b w:val="1"/>
                <w:bCs w:val="1"/>
                <w:color w:val="auto"/>
              </w:rPr>
              <w:t>Fixed-Maturity Securities: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5"/>
        </w:trPr>
        <w:tc>
          <w:tcPr>
            <w:tcW w:w="2380" w:type="dxa"/>
            <w:vAlign w:val="bottom"/>
          </w:tcPr>
          <w:p>
            <w:pPr>
              <w:ind w:left="40"/>
              <w:spacing w:after="0"/>
              <w:rPr>
                <w:sz w:val="20"/>
                <w:szCs w:val="20"/>
                <w:color w:val="auto"/>
              </w:rPr>
            </w:pPr>
            <w:r>
              <w:rPr>
                <w:rFonts w:ascii="Arial" w:cs="Arial" w:eastAsia="Arial" w:hAnsi="Arial"/>
                <w:sz w:val="17"/>
                <w:szCs w:val="17"/>
                <w:color w:val="auto"/>
              </w:rPr>
              <w:t>U.S. Treasury securities</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5"/>
        </w:trPr>
        <w:tc>
          <w:tcPr>
            <w:tcW w:w="2380" w:type="dxa"/>
            <w:vAlign w:val="bottom"/>
          </w:tcPr>
          <w:p>
            <w:pPr>
              <w:ind w:left="40"/>
              <w:spacing w:after="0"/>
              <w:rPr>
                <w:sz w:val="20"/>
                <w:szCs w:val="20"/>
                <w:color w:val="auto"/>
              </w:rPr>
            </w:pPr>
            <w:r>
              <w:rPr>
                <w:rFonts w:ascii="Arial" w:cs="Arial" w:eastAsia="Arial" w:hAnsi="Arial"/>
                <w:sz w:val="17"/>
                <w:szCs w:val="17"/>
                <w:color w:val="auto"/>
              </w:rPr>
              <w:t>and obligations of U.S.</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2380" w:type="dxa"/>
            <w:vAlign w:val="bottom"/>
          </w:tcPr>
          <w:p>
            <w:pPr>
              <w:ind w:left="40"/>
              <w:spacing w:after="0"/>
              <w:rPr>
                <w:sz w:val="20"/>
                <w:szCs w:val="20"/>
                <w:color w:val="auto"/>
              </w:rPr>
            </w:pPr>
            <w:r>
              <w:rPr>
                <w:rFonts w:ascii="Arial" w:cs="Arial" w:eastAsia="Arial" w:hAnsi="Arial"/>
                <w:sz w:val="17"/>
                <w:szCs w:val="17"/>
                <w:color w:val="auto"/>
              </w:rPr>
              <w:t>government corporations</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2380" w:type="dxa"/>
            <w:vAlign w:val="bottom"/>
            <w:shd w:val="clear" w:color="auto" w:fill="CCEEFF"/>
          </w:tcPr>
          <w:p>
            <w:pPr>
              <w:ind w:left="40"/>
              <w:spacing w:after="0"/>
              <w:rPr>
                <w:sz w:val="20"/>
                <w:szCs w:val="20"/>
                <w:color w:val="auto"/>
              </w:rPr>
            </w:pPr>
            <w:r>
              <w:rPr>
                <w:rFonts w:ascii="Arial" w:cs="Arial" w:eastAsia="Arial" w:hAnsi="Arial"/>
                <w:sz w:val="17"/>
                <w:szCs w:val="17"/>
                <w:color w:val="auto"/>
              </w:rPr>
              <w:t>and agencies</w:t>
            </w:r>
          </w:p>
        </w:tc>
        <w:tc>
          <w:tcPr>
            <w:tcW w:w="1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4,948,530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(28,000)</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  4,948,530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(28,000)</w:t>
            </w:r>
          </w:p>
        </w:tc>
      </w:tr>
      <w:tr>
        <w:trPr>
          <w:trHeight w:val="209"/>
        </w:trPr>
        <w:tc>
          <w:tcPr>
            <w:tcW w:w="2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2380" w:type="dxa"/>
            <w:vAlign w:val="bottom"/>
            <w:shd w:val="clear" w:color="auto" w:fill="CCEEFF"/>
          </w:tcPr>
          <w:p>
            <w:pPr>
              <w:ind w:left="40"/>
              <w:spacing w:after="0"/>
              <w:rPr>
                <w:sz w:val="20"/>
                <w:szCs w:val="20"/>
                <w:color w:val="auto"/>
              </w:rPr>
            </w:pPr>
            <w:r>
              <w:rPr>
                <w:rFonts w:ascii="Arial" w:cs="Arial" w:eastAsia="Arial" w:hAnsi="Arial"/>
                <w:sz w:val="17"/>
                <w:szCs w:val="17"/>
                <w:color w:val="auto"/>
              </w:rPr>
              <w:t>Political subdivisions of</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9"/>
        </w:trPr>
        <w:tc>
          <w:tcPr>
            <w:tcW w:w="2380" w:type="dxa"/>
            <w:vAlign w:val="bottom"/>
          </w:tcPr>
          <w:p>
            <w:pPr>
              <w:ind w:left="40"/>
              <w:spacing w:after="0"/>
              <w:rPr>
                <w:sz w:val="20"/>
                <w:szCs w:val="20"/>
                <w:color w:val="auto"/>
              </w:rPr>
            </w:pPr>
            <w:r>
              <w:rPr>
                <w:rFonts w:ascii="Arial" w:cs="Arial" w:eastAsia="Arial" w:hAnsi="Arial"/>
                <w:sz w:val="17"/>
                <w:szCs w:val="17"/>
                <w:color w:val="auto"/>
              </w:rPr>
              <w:t>States, Territories and</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2380" w:type="dxa"/>
            <w:vAlign w:val="bottom"/>
            <w:shd w:val="clear" w:color="auto" w:fill="CCEEFF"/>
          </w:tcPr>
          <w:p>
            <w:pPr>
              <w:ind w:left="40"/>
              <w:spacing w:after="0"/>
              <w:rPr>
                <w:sz w:val="20"/>
                <w:szCs w:val="20"/>
                <w:color w:val="auto"/>
              </w:rPr>
            </w:pPr>
            <w:r>
              <w:rPr>
                <w:rFonts w:ascii="Arial" w:cs="Arial" w:eastAsia="Arial" w:hAnsi="Arial"/>
                <w:sz w:val="17"/>
                <w:szCs w:val="17"/>
                <w:color w:val="auto"/>
              </w:rPr>
              <w:t>Possessions</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555,375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(12,327)</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1,436,242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(36,508)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1,991,617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(48,835)</w:t>
            </w:r>
          </w:p>
        </w:tc>
      </w:tr>
      <w:tr>
        <w:trPr>
          <w:trHeight w:val="209"/>
        </w:trPr>
        <w:tc>
          <w:tcPr>
            <w:tcW w:w="2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238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Corporate and other</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9"/>
        </w:trPr>
        <w:tc>
          <w:tcPr>
            <w:tcW w:w="2380" w:type="dxa"/>
            <w:vAlign w:val="bottom"/>
          </w:tcPr>
          <w:p>
            <w:pPr>
              <w:ind w:left="40"/>
              <w:spacing w:after="0"/>
              <w:rPr>
                <w:sz w:val="20"/>
                <w:szCs w:val="20"/>
                <w:color w:val="auto"/>
              </w:rPr>
            </w:pPr>
            <w:r>
              <w:rPr>
                <w:rFonts w:ascii="Arial" w:cs="Arial" w:eastAsia="Arial" w:hAnsi="Arial"/>
                <w:sz w:val="17"/>
                <w:szCs w:val="17"/>
                <w:color w:val="auto"/>
              </w:rPr>
              <w:t>bonds industrial and</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2380" w:type="dxa"/>
            <w:vAlign w:val="bottom"/>
            <w:shd w:val="clear" w:color="auto" w:fill="CCEEFF"/>
          </w:tcPr>
          <w:p>
            <w:pPr>
              <w:ind w:left="40"/>
              <w:spacing w:after="0"/>
              <w:rPr>
                <w:sz w:val="20"/>
                <w:szCs w:val="20"/>
                <w:color w:val="auto"/>
              </w:rPr>
            </w:pPr>
            <w:r>
              <w:rPr>
                <w:rFonts w:ascii="Arial" w:cs="Arial" w:eastAsia="Arial" w:hAnsi="Arial"/>
                <w:sz w:val="17"/>
                <w:szCs w:val="17"/>
                <w:color w:val="auto"/>
              </w:rPr>
              <w:t>miscellaneous</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1"/>
              </w:rPr>
              <w:t>81,004,459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6"/>
              </w:rPr>
              <w:t>(2,775,540)</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1"/>
              </w:rPr>
              <w:t>13,424,888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(676,605)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94,429,347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w w:val="94"/>
              </w:rPr>
              <w:t>(3,452,145)</w:t>
            </w:r>
          </w:p>
        </w:tc>
      </w:tr>
      <w:tr>
        <w:trPr>
          <w:trHeight w:val="209"/>
        </w:trPr>
        <w:tc>
          <w:tcPr>
            <w:tcW w:w="2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2380" w:type="dxa"/>
            <w:vAlign w:val="bottom"/>
            <w:shd w:val="clear" w:color="auto" w:fill="CCEEFF"/>
          </w:tcPr>
          <w:p>
            <w:pPr>
              <w:ind w:left="40"/>
              <w:spacing w:after="0"/>
              <w:rPr>
                <w:sz w:val="20"/>
                <w:szCs w:val="20"/>
                <w:color w:val="auto"/>
              </w:rPr>
            </w:pPr>
            <w:r>
              <w:rPr>
                <w:rFonts w:ascii="Arial" w:cs="Arial" w:eastAsia="Arial" w:hAnsi="Arial"/>
                <w:sz w:val="17"/>
                <w:szCs w:val="17"/>
                <w:color w:val="auto"/>
                <w:w w:val="97"/>
              </w:rPr>
              <w:t>Residential mortgage and other</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2380" w:type="dxa"/>
            <w:vAlign w:val="bottom"/>
          </w:tcPr>
          <w:p>
            <w:pPr>
              <w:ind w:left="40"/>
              <w:spacing w:after="0"/>
              <w:rPr>
                <w:sz w:val="20"/>
                <w:szCs w:val="20"/>
                <w:color w:val="auto"/>
              </w:rPr>
            </w:pPr>
            <w:r>
              <w:rPr>
                <w:rFonts w:ascii="Arial" w:cs="Arial" w:eastAsia="Arial" w:hAnsi="Arial"/>
                <w:sz w:val="17"/>
                <w:szCs w:val="17"/>
                <w:color w:val="auto"/>
              </w:rPr>
              <w:t>asset backed securities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7,002,713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(231,229)</w:t>
            </w:r>
          </w:p>
        </w:tc>
        <w:tc>
          <w:tcPr>
            <w:tcW w:w="900" w:type="dxa"/>
            <w:vAlign w:val="bottom"/>
          </w:tcPr>
          <w:p>
            <w:pPr>
              <w:jc w:val="right"/>
              <w:spacing w:after="0"/>
              <w:rPr>
                <w:sz w:val="20"/>
                <w:szCs w:val="20"/>
                <w:color w:val="auto"/>
              </w:rPr>
            </w:pPr>
            <w:r>
              <w:rPr>
                <w:rFonts w:ascii="Arial" w:cs="Arial" w:eastAsia="Arial" w:hAnsi="Arial"/>
                <w:sz w:val="17"/>
                <w:szCs w:val="17"/>
                <w:color w:val="auto"/>
              </w:rPr>
              <w:t>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w w:val="91"/>
              </w:rPr>
              <w:t>11,928,425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(331,012)</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19</w:t>
            </w:r>
          </w:p>
        </w:tc>
        <w:tc>
          <w:tcPr>
            <w:tcW w:w="1240" w:type="dxa"/>
            <w:vAlign w:val="bottom"/>
            <w:gridSpan w:val="3"/>
          </w:tcPr>
          <w:p>
            <w:pPr>
              <w:jc w:val="right"/>
              <w:ind w:right="100"/>
              <w:spacing w:after="0"/>
              <w:rPr>
                <w:sz w:val="20"/>
                <w:szCs w:val="20"/>
                <w:color w:val="auto"/>
              </w:rPr>
            </w:pPr>
            <w:r>
              <w:rPr>
                <w:rFonts w:ascii="Arial" w:cs="Arial" w:eastAsia="Arial" w:hAnsi="Arial"/>
                <w:sz w:val="17"/>
                <w:szCs w:val="17"/>
                <w:color w:val="auto"/>
              </w:rPr>
              <w:t>18,931,138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7"/>
                <w:szCs w:val="17"/>
                <w:color w:val="auto"/>
              </w:rPr>
              <w:t>(562,241)</w:t>
            </w:r>
          </w:p>
        </w:tc>
      </w:tr>
      <w:tr>
        <w:trPr>
          <w:trHeight w:val="209"/>
        </w:trPr>
        <w:tc>
          <w:tcPr>
            <w:tcW w:w="2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9"/>
        </w:trPr>
        <w:tc>
          <w:tcPr>
            <w:tcW w:w="2380" w:type="dxa"/>
            <w:vAlign w:val="bottom"/>
          </w:tcPr>
          <w:p>
            <w:pPr>
              <w:ind w:left="40"/>
              <w:spacing w:after="0"/>
              <w:rPr>
                <w:sz w:val="20"/>
                <w:szCs w:val="20"/>
                <w:color w:val="auto"/>
              </w:rPr>
            </w:pPr>
            <w:r>
              <w:rPr>
                <w:rFonts w:ascii="Arial" w:cs="Arial" w:eastAsia="Arial" w:hAnsi="Arial"/>
                <w:sz w:val="17"/>
                <w:szCs w:val="17"/>
                <w:color w:val="auto"/>
              </w:rPr>
              <w:t>Total fixed-maturity</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9"/>
        </w:trPr>
        <w:tc>
          <w:tcPr>
            <w:tcW w:w="2380" w:type="dxa"/>
            <w:vAlign w:val="bottom"/>
            <w:shd w:val="clear" w:color="auto" w:fill="CCEEFF"/>
          </w:tcPr>
          <w:p>
            <w:pPr>
              <w:ind w:left="40"/>
              <w:spacing w:after="0"/>
              <w:rPr>
                <w:sz w:val="20"/>
                <w:szCs w:val="20"/>
                <w:color w:val="auto"/>
              </w:rPr>
            </w:pPr>
            <w:r>
              <w:rPr>
                <w:rFonts w:ascii="Arial" w:cs="Arial" w:eastAsia="Arial" w:hAnsi="Arial"/>
                <w:sz w:val="17"/>
                <w:szCs w:val="17"/>
                <w:color w:val="auto"/>
              </w:rPr>
              <w:t>securities</w:t>
            </w:r>
          </w:p>
        </w:tc>
        <w:tc>
          <w:tcPr>
            <w:tcW w:w="1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1"/>
              </w:rPr>
              <w:t>93,511,077</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6"/>
              </w:rPr>
              <w:t>(3,047,096)</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1"/>
              </w:rPr>
              <w:t>26,789,555</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(1,044,125)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120,300,632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w w:val="94"/>
              </w:rPr>
              <w:t>(4,091,221)</w:t>
            </w:r>
          </w:p>
        </w:tc>
      </w:tr>
      <w:tr>
        <w:trPr>
          <w:trHeight w:val="645"/>
        </w:trPr>
        <w:tc>
          <w:tcPr>
            <w:tcW w:w="23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7"/>
                <w:szCs w:val="17"/>
                <w:color w:val="auto"/>
                <w:w w:val="84"/>
              </w:rPr>
              <w:t>17</w:t>
            </w:r>
          </w:p>
        </w:tc>
        <w:tc>
          <w:tcPr>
            <w:tcW w:w="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420"/>
          </w:cols>
          <w:pgMar w:left="240" w:top="549" w:right="2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color w:val="auto"/>
        </w:rPr>
        <w:t>Note 4 - Fair Value Measurements</w:t>
      </w:r>
    </w:p>
    <w:p>
      <w:pPr>
        <w:spacing w:after="0" w:line="2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Fair value is the price that would be received upon sale of an asset or paid to transfer a liability in an orderly transaction between market participants at the measurement date. The valuation technique used by the Company to fair value its financial instruments is the market approach, which uses prices and other relevant information generated by market transactions involving identical or comparable assets.</w:t>
      </w:r>
    </w:p>
    <w:p>
      <w:pPr>
        <w:spacing w:after="0" w:line="180"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The fair value hierarchy gives the highest priority to quoted prices in active markets for identical assets or liabilities (Level 1) and the lowest priority to unobservable inputs (Level 3). If the inputs used to measure the assets or liabilities fall within different levels of the hierarchy, the classification is based on the lowest level input that is significant to the fair value measurement of the asset or liability. Classification of assets and liabilities within the hierarchy considers the markets in which the assets and liabilities are traded, including during period of market disruption, and the reliability and transparency of the assumptions used to determine fair value. The hierarchy requires the use of observable market data when available. The levels of the hierarchy and those investments included in each are as follows:</w:t>
      </w:r>
    </w:p>
    <w:p>
      <w:pPr>
        <w:spacing w:after="0" w:line="1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Level 1</w:t>
      </w:r>
      <w:r>
        <w:rPr>
          <w:rFonts w:ascii="Arial" w:cs="Arial" w:eastAsia="Arial" w:hAnsi="Arial"/>
          <w:sz w:val="17"/>
          <w:szCs w:val="17"/>
          <w:color w:val="auto"/>
        </w:rPr>
        <w:t>—Inputs to the valuation methodology are quoted prices (unadjusted) for identical assets or liabilities traded in active markets. Included are those investments</w:t>
      </w:r>
      <w:r>
        <w:rPr>
          <w:rFonts w:ascii="Arial" w:cs="Arial" w:eastAsia="Arial" w:hAnsi="Arial"/>
          <w:sz w:val="17"/>
          <w:szCs w:val="17"/>
          <w:i w:val="1"/>
          <w:iCs w:val="1"/>
          <w:color w:val="auto"/>
        </w:rPr>
        <w:t xml:space="preserve"> </w:t>
      </w:r>
      <w:r>
        <w:rPr>
          <w:rFonts w:ascii="Arial" w:cs="Arial" w:eastAsia="Arial" w:hAnsi="Arial"/>
          <w:sz w:val="17"/>
          <w:szCs w:val="17"/>
          <w:color w:val="auto"/>
        </w:rPr>
        <w:t>traded on an active exchange, such as the Nasdaq Global Select Market, U.S. Treasury securities and obligations of U.S. government agencies, together with corporate debt securities that are generally investment grade.</w:t>
      </w:r>
    </w:p>
    <w:p>
      <w:pPr>
        <w:spacing w:after="0" w:line="18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i w:val="1"/>
          <w:iCs w:val="1"/>
          <w:color w:val="auto"/>
        </w:rPr>
        <w:t>Level 2</w:t>
      </w:r>
      <w:r>
        <w:rPr>
          <w:rFonts w:ascii="Arial" w:cs="Arial" w:eastAsia="Arial" w:hAnsi="Arial"/>
          <w:sz w:val="17"/>
          <w:szCs w:val="17"/>
          <w:color w:val="auto"/>
        </w:rPr>
        <w:t>—Inputs to the valuation methodology include quoted prices for similar assets or liabilities in active markets, quoted prices for identical or similar assets or</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liabilities in markets that are not active, inputs other than quoted prices that are observable for the asset or liability and market-corroborated inputs. Municipal and corporate bonds, and residential mortgage-backed securities, that are traded in less active markets are classified as Level 2. These securities are valued using market price quotations for recently executed transactions.</w:t>
      </w:r>
    </w:p>
    <w:p>
      <w:pPr>
        <w:spacing w:after="0" w:line="18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Level 3</w:t>
      </w:r>
      <w:r>
        <w:rPr>
          <w:rFonts w:ascii="Arial" w:cs="Arial" w:eastAsia="Arial" w:hAnsi="Arial"/>
          <w:sz w:val="17"/>
          <w:szCs w:val="17"/>
          <w:color w:val="auto"/>
        </w:rPr>
        <w:t>—Inputs to the valuation methodology are unobservable for the asset or liability and are significant to the fair value measurement. Material assumptions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factors considered in pricing investment securities and other assets may include appraisals, projected cash flows, market clearing activity or liquidity circumstances in the security or similar securities that may have occurred since the prior pricing period.</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availability of observable inputs varies and is affected by a wide variety of factors. When the valuation is based on models or inputs that are less observable or unobservable in the market, the determination of fair value requires significantly more judgment. The degree of judgment exercised by management in determining fair value is greatest for investments categorized as Level 3. For investments in this category, the Company considers prices and inputs that are current as of the measurement date. In periods of market dislocation, as characterized by current market conditions, the ability to observe prices and inputs may be reduced for many instruments. This condition could cause a security to be reclassified between levels.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21" w:name="page22"/>
    <w:bookmarkEnd w:id="21"/>
    <w:p>
      <w:pPr>
        <w:spacing w:after="0" w:line="281" w:lineRule="auto"/>
        <w:rPr>
          <w:sz w:val="20"/>
          <w:szCs w:val="20"/>
          <w:color w:val="auto"/>
        </w:rPr>
      </w:pPr>
      <w:r>
        <w:rPr>
          <w:rFonts w:ascii="Arial" w:cs="Arial" w:eastAsia="Arial" w:hAnsi="Arial"/>
          <w:sz w:val="17"/>
          <w:szCs w:val="17"/>
          <w:color w:val="auto"/>
        </w:rPr>
        <w:t>The following table presents information about the Company’s investments that are measured at fair value on a recurring basis at June 30, 2019 and December 31, 2018 indicating the fair value hierarchy of the valuation inputs the Company utilized to determine such fair value: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4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3"/>
          </w:tcPr>
          <w:p>
            <w:pPr>
              <w:jc w:val="right"/>
              <w:ind w:right="568"/>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237"/>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238"/>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69"/>
        </w:trPr>
        <w:tc>
          <w:tcPr>
            <w:tcW w:w="4400" w:type="dxa"/>
            <w:vAlign w:val="bottom"/>
          </w:tcPr>
          <w:p>
            <w:pPr>
              <w:ind w:left="40"/>
              <w:spacing w:after="0"/>
              <w:rPr>
                <w:sz w:val="20"/>
                <w:szCs w:val="20"/>
                <w:color w:val="auto"/>
              </w:rPr>
            </w:pPr>
            <w:r>
              <w:rPr>
                <w:rFonts w:ascii="Arial" w:cs="Arial" w:eastAsia="Arial" w:hAnsi="Arial"/>
                <w:sz w:val="17"/>
                <w:szCs w:val="17"/>
                <w:b w:val="1"/>
                <w:bCs w:val="1"/>
                <w:color w:val="auto"/>
              </w:rPr>
              <w:t>Fixed-maturity securities available-for-sale</w:t>
            </w: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400" w:type="dxa"/>
            <w:vAlign w:val="bottom"/>
          </w:tcPr>
          <w:p>
            <w:pPr>
              <w:ind w:left="40"/>
              <w:spacing w:after="0"/>
              <w:rPr>
                <w:sz w:val="20"/>
                <w:szCs w:val="20"/>
                <w:color w:val="auto"/>
              </w:rPr>
            </w:pPr>
            <w:r>
              <w:rPr>
                <w:rFonts w:ascii="Arial" w:cs="Arial" w:eastAsia="Arial" w:hAnsi="Arial"/>
                <w:sz w:val="17"/>
                <w:szCs w:val="17"/>
                <w:color w:val="auto"/>
              </w:rPr>
              <w:t>U.S. Treasury securities</w:t>
            </w:r>
          </w:p>
        </w:tc>
        <w:tc>
          <w:tcPr>
            <w:tcW w:w="1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400" w:type="dxa"/>
            <w:vAlign w:val="bottom"/>
          </w:tcPr>
          <w:p>
            <w:pPr>
              <w:ind w:left="40"/>
              <w:spacing w:after="0"/>
              <w:rPr>
                <w:sz w:val="20"/>
                <w:szCs w:val="20"/>
                <w:color w:val="auto"/>
              </w:rPr>
            </w:pPr>
            <w:r>
              <w:rPr>
                <w:rFonts w:ascii="Arial" w:cs="Arial" w:eastAsia="Arial" w:hAnsi="Arial"/>
                <w:sz w:val="17"/>
                <w:szCs w:val="17"/>
                <w:color w:val="auto"/>
              </w:rPr>
              <w:t>and obligations of U.S.</w:t>
            </w:r>
          </w:p>
        </w:tc>
        <w:tc>
          <w:tcPr>
            <w:tcW w:w="1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400" w:type="dxa"/>
            <w:vAlign w:val="bottom"/>
          </w:tcPr>
          <w:p>
            <w:pPr>
              <w:ind w:left="40"/>
              <w:spacing w:after="0"/>
              <w:rPr>
                <w:sz w:val="20"/>
                <w:szCs w:val="20"/>
                <w:color w:val="auto"/>
              </w:rPr>
            </w:pPr>
            <w:r>
              <w:rPr>
                <w:rFonts w:ascii="Arial" w:cs="Arial" w:eastAsia="Arial" w:hAnsi="Arial"/>
                <w:sz w:val="17"/>
                <w:szCs w:val="17"/>
                <w:color w:val="auto"/>
              </w:rPr>
              <w:t>government corporations</w:t>
            </w:r>
          </w:p>
        </w:tc>
        <w:tc>
          <w:tcPr>
            <w:tcW w:w="1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ind w:left="40"/>
              <w:spacing w:after="0"/>
              <w:rPr>
                <w:sz w:val="20"/>
                <w:szCs w:val="20"/>
                <w:color w:val="auto"/>
              </w:rPr>
            </w:pPr>
            <w:r>
              <w:rPr>
                <w:rFonts w:ascii="Arial" w:cs="Arial" w:eastAsia="Arial" w:hAnsi="Arial"/>
                <w:sz w:val="17"/>
                <w:szCs w:val="17"/>
                <w:color w:val="auto"/>
              </w:rPr>
              <w:t>and agencies</w:t>
            </w:r>
          </w:p>
        </w:tc>
        <w:tc>
          <w:tcPr>
            <w:tcW w:w="1840" w:type="dxa"/>
            <w:vAlign w:val="bottom"/>
            <w:gridSpan w:val="3"/>
            <w:shd w:val="clear" w:color="auto" w:fill="CCEEFF"/>
          </w:tcPr>
          <w:p>
            <w:pPr>
              <w:jc w:val="right"/>
              <w:ind w:right="6"/>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8,377,086</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748"/>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8,377,086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0" w:type="dxa"/>
            <w:vAlign w:val="bottom"/>
            <w:shd w:val="clear" w:color="auto" w:fill="CCEEFF"/>
          </w:tcPr>
          <w:p>
            <w:pPr>
              <w:ind w:left="40"/>
              <w:spacing w:after="0"/>
              <w:rPr>
                <w:sz w:val="20"/>
                <w:szCs w:val="20"/>
                <w:color w:val="auto"/>
              </w:rPr>
            </w:pPr>
            <w:r>
              <w:rPr>
                <w:rFonts w:ascii="Arial" w:cs="Arial" w:eastAsia="Arial" w:hAnsi="Arial"/>
                <w:sz w:val="17"/>
                <w:szCs w:val="17"/>
                <w:color w:val="auto"/>
              </w:rPr>
              <w:t>Political subdivisions of</w:t>
            </w:r>
          </w:p>
        </w:tc>
        <w:tc>
          <w:tcPr>
            <w:tcW w:w="1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0" w:type="dxa"/>
            <w:vAlign w:val="bottom"/>
          </w:tcPr>
          <w:p>
            <w:pPr>
              <w:ind w:left="40"/>
              <w:spacing w:after="0"/>
              <w:rPr>
                <w:sz w:val="20"/>
                <w:szCs w:val="20"/>
                <w:color w:val="auto"/>
              </w:rPr>
            </w:pPr>
            <w:r>
              <w:rPr>
                <w:rFonts w:ascii="Arial" w:cs="Arial" w:eastAsia="Arial" w:hAnsi="Arial"/>
                <w:sz w:val="17"/>
                <w:szCs w:val="17"/>
                <w:color w:val="auto"/>
              </w:rPr>
              <w:t>States, Territories and</w:t>
            </w:r>
          </w:p>
        </w:tc>
        <w:tc>
          <w:tcPr>
            <w:tcW w:w="1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0" w:type="dxa"/>
            <w:vAlign w:val="bottom"/>
            <w:shd w:val="clear" w:color="auto" w:fill="CCEEFF"/>
          </w:tcPr>
          <w:p>
            <w:pPr>
              <w:ind w:left="40"/>
              <w:spacing w:after="0"/>
              <w:rPr>
                <w:sz w:val="20"/>
                <w:szCs w:val="20"/>
                <w:color w:val="auto"/>
              </w:rPr>
            </w:pPr>
            <w:r>
              <w:rPr>
                <w:rFonts w:ascii="Arial" w:cs="Arial" w:eastAsia="Arial" w:hAnsi="Arial"/>
                <w:sz w:val="17"/>
                <w:szCs w:val="17"/>
                <w:color w:val="auto"/>
              </w:rPr>
              <w:t>Possessions</w:t>
            </w:r>
          </w:p>
        </w:tc>
        <w:tc>
          <w:tcPr>
            <w:tcW w:w="1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5,843,061</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5,843,061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Corporate and other</w:t>
            </w:r>
          </w:p>
        </w:tc>
        <w:tc>
          <w:tcPr>
            <w:tcW w:w="1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0" w:type="dxa"/>
            <w:vAlign w:val="bottom"/>
          </w:tcPr>
          <w:p>
            <w:pPr>
              <w:ind w:left="40"/>
              <w:spacing w:after="0"/>
              <w:rPr>
                <w:sz w:val="20"/>
                <w:szCs w:val="20"/>
                <w:color w:val="auto"/>
              </w:rPr>
            </w:pPr>
            <w:r>
              <w:rPr>
                <w:rFonts w:ascii="Arial" w:cs="Arial" w:eastAsia="Arial" w:hAnsi="Arial"/>
                <w:sz w:val="17"/>
                <w:szCs w:val="17"/>
                <w:color w:val="auto"/>
              </w:rPr>
              <w:t>bonds industrial and</w:t>
            </w:r>
          </w:p>
        </w:tc>
        <w:tc>
          <w:tcPr>
            <w:tcW w:w="1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0" w:type="dxa"/>
            <w:vAlign w:val="bottom"/>
            <w:shd w:val="clear" w:color="auto" w:fill="CCEEFF"/>
          </w:tcPr>
          <w:p>
            <w:pPr>
              <w:ind w:left="40"/>
              <w:spacing w:after="0"/>
              <w:rPr>
                <w:sz w:val="20"/>
                <w:szCs w:val="20"/>
                <w:color w:val="auto"/>
              </w:rPr>
            </w:pPr>
            <w:r>
              <w:rPr>
                <w:rFonts w:ascii="Arial" w:cs="Arial" w:eastAsia="Arial" w:hAnsi="Arial"/>
                <w:sz w:val="17"/>
                <w:szCs w:val="17"/>
                <w:color w:val="auto"/>
              </w:rPr>
              <w:t>miscellaneous</w:t>
            </w:r>
          </w:p>
        </w:tc>
        <w:tc>
          <w:tcPr>
            <w:tcW w:w="1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126,359,225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3,744,319</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130,103,544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Residential mortgage backed securities</w:t>
            </w:r>
          </w:p>
        </w:tc>
        <w:tc>
          <w:tcPr>
            <w:tcW w:w="16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20,011,178</w:t>
            </w:r>
          </w:p>
        </w:tc>
        <w:tc>
          <w:tcPr>
            <w:tcW w:w="2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20,011,178</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0" w:type="dxa"/>
            <w:vAlign w:val="bottom"/>
          </w:tcPr>
          <w:p>
            <w:pPr>
              <w:ind w:left="40"/>
              <w:spacing w:after="0"/>
              <w:rPr>
                <w:sz w:val="20"/>
                <w:szCs w:val="20"/>
                <w:color w:val="auto"/>
              </w:rPr>
            </w:pPr>
            <w:r>
              <w:rPr>
                <w:rFonts w:ascii="Arial" w:cs="Arial" w:eastAsia="Arial" w:hAnsi="Arial"/>
                <w:sz w:val="17"/>
                <w:szCs w:val="17"/>
                <w:color w:val="auto"/>
              </w:rPr>
              <w:t>Total fixed maturities</w:t>
            </w:r>
          </w:p>
        </w:tc>
        <w:tc>
          <w:tcPr>
            <w:tcW w:w="1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w w:val="97"/>
              </w:rPr>
              <w:t>134,736,311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29,598,558</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w w:val="95"/>
              </w:rPr>
              <w:t>164,334,869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Equity securities</w:t>
            </w:r>
          </w:p>
        </w:tc>
        <w:tc>
          <w:tcPr>
            <w:tcW w:w="16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22,738,950</w:t>
            </w:r>
          </w:p>
        </w:tc>
        <w:tc>
          <w:tcPr>
            <w:tcW w:w="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22,738,950</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0" w:type="dxa"/>
            <w:vAlign w:val="bottom"/>
          </w:tcPr>
          <w:p>
            <w:pPr>
              <w:ind w:left="40"/>
              <w:spacing w:after="0"/>
              <w:rPr>
                <w:sz w:val="20"/>
                <w:szCs w:val="20"/>
                <w:color w:val="auto"/>
              </w:rPr>
            </w:pPr>
            <w:r>
              <w:rPr>
                <w:rFonts w:ascii="Arial" w:cs="Arial" w:eastAsia="Arial" w:hAnsi="Arial"/>
                <w:sz w:val="17"/>
                <w:szCs w:val="17"/>
                <w:color w:val="auto"/>
              </w:rPr>
              <w:t>Total investments</w:t>
            </w:r>
          </w:p>
        </w:tc>
        <w:tc>
          <w:tcPr>
            <w:tcW w:w="1680" w:type="dxa"/>
            <w:vAlign w:val="bottom"/>
            <w:gridSpan w:val="2"/>
          </w:tcPr>
          <w:p>
            <w:pPr>
              <w:spacing w:after="0"/>
              <w:rPr>
                <w:sz w:val="18"/>
                <w:szCs w:val="18"/>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7"/>
                <w:szCs w:val="17"/>
                <w:color w:val="auto"/>
                <w:w w:val="97"/>
              </w:rPr>
              <w:t>157,475,261</w:t>
            </w:r>
          </w:p>
        </w:tc>
        <w:tc>
          <w:tcPr>
            <w:tcW w:w="4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29,598,558</w:t>
            </w:r>
          </w:p>
        </w:tc>
        <w:tc>
          <w:tcPr>
            <w:tcW w:w="1180" w:type="dxa"/>
            <w:vAlign w:val="bottom"/>
            <w:gridSpan w:val="2"/>
          </w:tcPr>
          <w:p>
            <w:pPr>
              <w:jc w:val="right"/>
              <w:ind w:right="748"/>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4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w w:val="95"/>
              </w:rPr>
              <w:t>187,073,819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4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4"/>
                <w:szCs w:val="14"/>
                <w:b w:val="1"/>
                <w:bCs w:val="1"/>
                <w:color w:val="auto"/>
              </w:rPr>
              <w:t>December 31, 2018</w:t>
            </w: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237"/>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238"/>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69"/>
        </w:trPr>
        <w:tc>
          <w:tcPr>
            <w:tcW w:w="4400" w:type="dxa"/>
            <w:vAlign w:val="bottom"/>
          </w:tcPr>
          <w:p>
            <w:pPr>
              <w:ind w:left="40"/>
              <w:spacing w:after="0"/>
              <w:rPr>
                <w:sz w:val="20"/>
                <w:szCs w:val="20"/>
                <w:color w:val="auto"/>
              </w:rPr>
            </w:pPr>
            <w:r>
              <w:rPr>
                <w:rFonts w:ascii="Arial" w:cs="Arial" w:eastAsia="Arial" w:hAnsi="Arial"/>
                <w:sz w:val="17"/>
                <w:szCs w:val="17"/>
                <w:b w:val="1"/>
                <w:bCs w:val="1"/>
                <w:color w:val="auto"/>
              </w:rPr>
              <w:t>Fixed-maturity securities available-for-sale</w:t>
            </w: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400" w:type="dxa"/>
            <w:vAlign w:val="bottom"/>
          </w:tcPr>
          <w:p>
            <w:pPr>
              <w:ind w:left="40"/>
              <w:spacing w:after="0"/>
              <w:rPr>
                <w:sz w:val="20"/>
                <w:szCs w:val="20"/>
                <w:color w:val="auto"/>
              </w:rPr>
            </w:pPr>
            <w:r>
              <w:rPr>
                <w:rFonts w:ascii="Arial" w:cs="Arial" w:eastAsia="Arial" w:hAnsi="Arial"/>
                <w:sz w:val="17"/>
                <w:szCs w:val="17"/>
                <w:color w:val="auto"/>
              </w:rPr>
              <w:t>U.S. Treasury securities</w:t>
            </w:r>
          </w:p>
        </w:tc>
        <w:tc>
          <w:tcPr>
            <w:tcW w:w="1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400" w:type="dxa"/>
            <w:vAlign w:val="bottom"/>
          </w:tcPr>
          <w:p>
            <w:pPr>
              <w:ind w:left="40"/>
              <w:spacing w:after="0"/>
              <w:rPr>
                <w:sz w:val="20"/>
                <w:szCs w:val="20"/>
                <w:color w:val="auto"/>
              </w:rPr>
            </w:pPr>
            <w:r>
              <w:rPr>
                <w:rFonts w:ascii="Arial" w:cs="Arial" w:eastAsia="Arial" w:hAnsi="Arial"/>
                <w:sz w:val="17"/>
                <w:szCs w:val="17"/>
                <w:color w:val="auto"/>
              </w:rPr>
              <w:t>and obligations of U.S.</w:t>
            </w:r>
          </w:p>
        </w:tc>
        <w:tc>
          <w:tcPr>
            <w:tcW w:w="1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400" w:type="dxa"/>
            <w:vAlign w:val="bottom"/>
          </w:tcPr>
          <w:p>
            <w:pPr>
              <w:ind w:left="40"/>
              <w:spacing w:after="0"/>
              <w:rPr>
                <w:sz w:val="20"/>
                <w:szCs w:val="20"/>
                <w:color w:val="auto"/>
              </w:rPr>
            </w:pPr>
            <w:r>
              <w:rPr>
                <w:rFonts w:ascii="Arial" w:cs="Arial" w:eastAsia="Arial" w:hAnsi="Arial"/>
                <w:sz w:val="17"/>
                <w:szCs w:val="17"/>
                <w:color w:val="auto"/>
              </w:rPr>
              <w:t>government corporations</w:t>
            </w:r>
          </w:p>
        </w:tc>
        <w:tc>
          <w:tcPr>
            <w:tcW w:w="1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ind w:left="40"/>
              <w:spacing w:after="0"/>
              <w:rPr>
                <w:sz w:val="20"/>
                <w:szCs w:val="20"/>
                <w:color w:val="auto"/>
              </w:rPr>
            </w:pPr>
            <w:r>
              <w:rPr>
                <w:rFonts w:ascii="Arial" w:cs="Arial" w:eastAsia="Arial" w:hAnsi="Arial"/>
                <w:sz w:val="17"/>
                <w:szCs w:val="17"/>
                <w:color w:val="auto"/>
              </w:rPr>
              <w:t>and agencies</w:t>
            </w:r>
          </w:p>
        </w:tc>
        <w:tc>
          <w:tcPr>
            <w:tcW w:w="1840" w:type="dxa"/>
            <w:vAlign w:val="bottom"/>
            <w:gridSpan w:val="3"/>
            <w:shd w:val="clear" w:color="auto" w:fill="CCEEFF"/>
          </w:tcPr>
          <w:p>
            <w:pPr>
              <w:jc w:val="right"/>
              <w:ind w:right="6"/>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8,220,381</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748"/>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8,220,381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0" w:type="dxa"/>
            <w:vAlign w:val="bottom"/>
            <w:shd w:val="clear" w:color="auto" w:fill="CCEEFF"/>
          </w:tcPr>
          <w:p>
            <w:pPr>
              <w:ind w:left="40"/>
              <w:spacing w:after="0"/>
              <w:rPr>
                <w:sz w:val="20"/>
                <w:szCs w:val="20"/>
                <w:color w:val="auto"/>
              </w:rPr>
            </w:pPr>
            <w:r>
              <w:rPr>
                <w:rFonts w:ascii="Arial" w:cs="Arial" w:eastAsia="Arial" w:hAnsi="Arial"/>
                <w:sz w:val="17"/>
                <w:szCs w:val="17"/>
                <w:color w:val="auto"/>
              </w:rPr>
              <w:t>Political subdivisions of</w:t>
            </w:r>
          </w:p>
        </w:tc>
        <w:tc>
          <w:tcPr>
            <w:tcW w:w="1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0" w:type="dxa"/>
            <w:vAlign w:val="bottom"/>
          </w:tcPr>
          <w:p>
            <w:pPr>
              <w:ind w:left="40"/>
              <w:spacing w:after="0"/>
              <w:rPr>
                <w:sz w:val="20"/>
                <w:szCs w:val="20"/>
                <w:color w:val="auto"/>
              </w:rPr>
            </w:pPr>
            <w:r>
              <w:rPr>
                <w:rFonts w:ascii="Arial" w:cs="Arial" w:eastAsia="Arial" w:hAnsi="Arial"/>
                <w:sz w:val="17"/>
                <w:szCs w:val="17"/>
                <w:color w:val="auto"/>
              </w:rPr>
              <w:t>States, Territories and</w:t>
            </w:r>
          </w:p>
        </w:tc>
        <w:tc>
          <w:tcPr>
            <w:tcW w:w="1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0" w:type="dxa"/>
            <w:vAlign w:val="bottom"/>
            <w:shd w:val="clear" w:color="auto" w:fill="CCEEFF"/>
          </w:tcPr>
          <w:p>
            <w:pPr>
              <w:ind w:left="40"/>
              <w:spacing w:after="0"/>
              <w:rPr>
                <w:sz w:val="20"/>
                <w:szCs w:val="20"/>
                <w:color w:val="auto"/>
              </w:rPr>
            </w:pPr>
            <w:r>
              <w:rPr>
                <w:rFonts w:ascii="Arial" w:cs="Arial" w:eastAsia="Arial" w:hAnsi="Arial"/>
                <w:sz w:val="17"/>
                <w:szCs w:val="17"/>
                <w:color w:val="auto"/>
              </w:rPr>
              <w:t>Possessions</w:t>
            </w:r>
          </w:p>
        </w:tc>
        <w:tc>
          <w:tcPr>
            <w:tcW w:w="1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6,341,608</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6,341,608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Corporate and other</w:t>
            </w:r>
          </w:p>
        </w:tc>
        <w:tc>
          <w:tcPr>
            <w:tcW w:w="1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0" w:type="dxa"/>
            <w:vAlign w:val="bottom"/>
          </w:tcPr>
          <w:p>
            <w:pPr>
              <w:ind w:left="40"/>
              <w:spacing w:after="0"/>
              <w:rPr>
                <w:sz w:val="20"/>
                <w:szCs w:val="20"/>
                <w:color w:val="auto"/>
              </w:rPr>
            </w:pPr>
            <w:r>
              <w:rPr>
                <w:rFonts w:ascii="Arial" w:cs="Arial" w:eastAsia="Arial" w:hAnsi="Arial"/>
                <w:sz w:val="17"/>
                <w:szCs w:val="17"/>
                <w:color w:val="auto"/>
              </w:rPr>
              <w:t>bonds industrial and</w:t>
            </w:r>
          </w:p>
        </w:tc>
        <w:tc>
          <w:tcPr>
            <w:tcW w:w="1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0" w:type="dxa"/>
            <w:vAlign w:val="bottom"/>
            <w:shd w:val="clear" w:color="auto" w:fill="CCEEFF"/>
          </w:tcPr>
          <w:p>
            <w:pPr>
              <w:ind w:left="40"/>
              <w:spacing w:after="0"/>
              <w:rPr>
                <w:sz w:val="20"/>
                <w:szCs w:val="20"/>
                <w:color w:val="auto"/>
              </w:rPr>
            </w:pPr>
            <w:r>
              <w:rPr>
                <w:rFonts w:ascii="Arial" w:cs="Arial" w:eastAsia="Arial" w:hAnsi="Arial"/>
                <w:sz w:val="17"/>
                <w:szCs w:val="17"/>
                <w:color w:val="auto"/>
              </w:rPr>
              <w:t>miscellaneous</w:t>
            </w:r>
          </w:p>
        </w:tc>
        <w:tc>
          <w:tcPr>
            <w:tcW w:w="1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112,076,270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3,674,023</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115,750,293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Residential mortgage backed securities</w:t>
            </w:r>
          </w:p>
        </w:tc>
        <w:tc>
          <w:tcPr>
            <w:tcW w:w="16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21,465,234</w:t>
            </w:r>
          </w:p>
        </w:tc>
        <w:tc>
          <w:tcPr>
            <w:tcW w:w="2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21,465,234</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0" w:type="dxa"/>
            <w:vAlign w:val="bottom"/>
          </w:tcPr>
          <w:p>
            <w:pPr>
              <w:ind w:left="40"/>
              <w:spacing w:after="0"/>
              <w:rPr>
                <w:sz w:val="20"/>
                <w:szCs w:val="20"/>
                <w:color w:val="auto"/>
              </w:rPr>
            </w:pPr>
            <w:r>
              <w:rPr>
                <w:rFonts w:ascii="Arial" w:cs="Arial" w:eastAsia="Arial" w:hAnsi="Arial"/>
                <w:sz w:val="17"/>
                <w:szCs w:val="17"/>
                <w:color w:val="auto"/>
              </w:rPr>
              <w:t>Total fixed maturities</w:t>
            </w:r>
          </w:p>
        </w:tc>
        <w:tc>
          <w:tcPr>
            <w:tcW w:w="1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w w:val="97"/>
              </w:rPr>
              <w:t>120,296,651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31,480,865</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w w:val="95"/>
              </w:rPr>
              <w:t>151,777,516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Equity securities</w:t>
            </w:r>
          </w:p>
        </w:tc>
        <w:tc>
          <w:tcPr>
            <w:tcW w:w="16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16,572,616</w:t>
            </w:r>
          </w:p>
        </w:tc>
        <w:tc>
          <w:tcPr>
            <w:tcW w:w="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16,572,616</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0" w:type="dxa"/>
            <w:vAlign w:val="bottom"/>
          </w:tcPr>
          <w:p>
            <w:pPr>
              <w:ind w:left="40"/>
              <w:spacing w:after="0"/>
              <w:rPr>
                <w:sz w:val="20"/>
                <w:szCs w:val="20"/>
                <w:color w:val="auto"/>
              </w:rPr>
            </w:pPr>
            <w:r>
              <w:rPr>
                <w:rFonts w:ascii="Arial" w:cs="Arial" w:eastAsia="Arial" w:hAnsi="Arial"/>
                <w:sz w:val="17"/>
                <w:szCs w:val="17"/>
                <w:color w:val="auto"/>
              </w:rPr>
              <w:t>Total investments</w:t>
            </w:r>
          </w:p>
        </w:tc>
        <w:tc>
          <w:tcPr>
            <w:tcW w:w="1840" w:type="dxa"/>
            <w:vAlign w:val="bottom"/>
            <w:gridSpan w:val="3"/>
          </w:tcPr>
          <w:p>
            <w:pPr>
              <w:jc w:val="right"/>
              <w:ind w:right="6"/>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w w:val="97"/>
              </w:rPr>
              <w:t>136,869,267</w:t>
            </w:r>
          </w:p>
        </w:tc>
        <w:tc>
          <w:tcPr>
            <w:tcW w:w="4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31,480,865</w:t>
            </w:r>
          </w:p>
        </w:tc>
        <w:tc>
          <w:tcPr>
            <w:tcW w:w="1180" w:type="dxa"/>
            <w:vAlign w:val="bottom"/>
            <w:gridSpan w:val="2"/>
          </w:tcPr>
          <w:p>
            <w:pPr>
              <w:jc w:val="right"/>
              <w:ind w:right="748"/>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4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w w:val="95"/>
              </w:rPr>
              <w:t>168,350,132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640" w:type="dxa"/>
            <w:vAlign w:val="bottom"/>
            <w:vMerge w:val="restart"/>
          </w:tcPr>
          <w:p>
            <w:pPr>
              <w:jc w:val="right"/>
              <w:ind w:right="155"/>
              <w:spacing w:after="0"/>
              <w:rPr>
                <w:sz w:val="20"/>
                <w:szCs w:val="20"/>
                <w:color w:val="auto"/>
              </w:rPr>
            </w:pPr>
            <w:r>
              <w:rPr>
                <w:rFonts w:ascii="Arial" w:cs="Arial" w:eastAsia="Arial" w:hAnsi="Arial"/>
                <w:sz w:val="17"/>
                <w:szCs w:val="17"/>
                <w:color w:val="auto"/>
              </w:rPr>
              <w:t>19</w:t>
            </w: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9"/>
        </w:trPr>
        <w:tc>
          <w:tcPr>
            <w:tcW w:w="44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vMerge w:val="continue"/>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0" w:right="239" w:bottom="1440" w:gutter="0" w:footer="0" w:header="0"/>
        </w:sectPr>
      </w:pPr>
    </w:p>
    <w:bookmarkStart w:id="22" w:name="page23"/>
    <w:bookmarkEnd w:id="22"/>
    <w:p>
      <w:pPr>
        <w:jc w:val="both"/>
        <w:spacing w:after="0" w:line="265" w:lineRule="auto"/>
        <w:rPr>
          <w:sz w:val="20"/>
          <w:szCs w:val="20"/>
          <w:color w:val="auto"/>
        </w:rPr>
      </w:pPr>
      <w:r>
        <w:rPr>
          <w:rFonts w:ascii="Arial" w:cs="Arial" w:eastAsia="Arial" w:hAnsi="Arial"/>
          <w:sz w:val="17"/>
          <w:szCs w:val="17"/>
          <w:color w:val="auto"/>
        </w:rPr>
        <w:t>Pursuant to ASC 820 “Fair Value Measurement,” an entity is permitted, as a practical expedient, to estimate the fair value of an investment within the scope of ASC 820 using the net asset value (“NAV”) per share of the investment. The following table sets forth the Company’s investment in a hedge fund measured at NAV per share as of June 30, 2019 and December 31, 2018. The Company measures this investment at fair value on a recurring basis. Fair value using NAV per share is as follows as of the dates indicated: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7"/>
        </w:trPr>
        <w:tc>
          <w:tcPr>
            <w:tcW w:w="8840" w:type="dxa"/>
            <w:vAlign w:val="bottom"/>
          </w:tcPr>
          <w:p>
            <w:pPr>
              <w:spacing w:after="0"/>
              <w:rPr>
                <w:sz w:val="20"/>
                <w:szCs w:val="20"/>
                <w:color w:val="auto"/>
              </w:rPr>
            </w:pPr>
            <w:r>
              <w:rPr>
                <w:rFonts w:ascii="Arial" w:cs="Arial" w:eastAsia="Arial" w:hAnsi="Arial"/>
                <w:sz w:val="14"/>
                <w:szCs w:val="14"/>
                <w:b w:val="1"/>
                <w:bCs w:val="1"/>
                <w:color w:val="auto"/>
              </w:rPr>
              <w:t>Category</w:t>
            </w: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r>
      <w:tr>
        <w:trPr>
          <w:trHeight w:val="470"/>
        </w:trPr>
        <w:tc>
          <w:tcPr>
            <w:tcW w:w="8840" w:type="dxa"/>
            <w:vAlign w:val="bottom"/>
          </w:tcPr>
          <w:p>
            <w:pPr>
              <w:ind w:left="40"/>
              <w:spacing w:after="0"/>
              <w:rPr>
                <w:sz w:val="20"/>
                <w:szCs w:val="20"/>
                <w:color w:val="auto"/>
              </w:rPr>
            </w:pPr>
            <w:r>
              <w:rPr>
                <w:rFonts w:ascii="Arial" w:cs="Arial" w:eastAsia="Arial" w:hAnsi="Arial"/>
                <w:sz w:val="17"/>
                <w:szCs w:val="17"/>
                <w:b w:val="1"/>
                <w:bCs w:val="1"/>
                <w:color w:val="auto"/>
              </w:rPr>
              <w:t>Other Investments: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0"/>
        </w:trPr>
        <w:tc>
          <w:tcPr>
            <w:tcW w:w="884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Hedge fund</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ind w:left="220"/>
              <w:spacing w:after="0"/>
              <w:rPr>
                <w:sz w:val="20"/>
                <w:szCs w:val="20"/>
                <w:color w:val="auto"/>
              </w:rPr>
            </w:pPr>
            <w:r>
              <w:rPr>
                <w:rFonts w:ascii="Arial" w:cs="Arial" w:eastAsia="Arial" w:hAnsi="Arial"/>
                <w:sz w:val="17"/>
                <w:szCs w:val="17"/>
                <w:color w:val="auto"/>
                <w:w w:val="89"/>
              </w:rPr>
              <w:t>2,335,874</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ind w:left="300"/>
              <w:spacing w:after="0"/>
              <w:rPr>
                <w:sz w:val="20"/>
                <w:szCs w:val="20"/>
                <w:color w:val="auto"/>
              </w:rPr>
            </w:pPr>
            <w:r>
              <w:rPr>
                <w:rFonts w:ascii="Arial" w:cs="Arial" w:eastAsia="Arial" w:hAnsi="Arial"/>
                <w:sz w:val="17"/>
                <w:szCs w:val="17"/>
                <w:color w:val="auto"/>
                <w:w w:val="89"/>
              </w:rPr>
              <w:t>1,855,225</w:t>
            </w:r>
          </w:p>
        </w:tc>
        <w:tc>
          <w:tcPr>
            <w:tcW w:w="120" w:type="dxa"/>
            <w:vAlign w:val="bottom"/>
            <w:shd w:val="clear" w:color="auto" w:fill="CCEEFF"/>
          </w:tcPr>
          <w:p>
            <w:pPr>
              <w:spacing w:after="0"/>
              <w:rPr>
                <w:sz w:val="18"/>
                <w:szCs w:val="18"/>
                <w:color w:val="auto"/>
              </w:rPr>
            </w:pPr>
          </w:p>
        </w:tc>
      </w:tr>
      <w:tr>
        <w:trPr>
          <w:trHeight w:val="26"/>
        </w:trPr>
        <w:tc>
          <w:tcPr>
            <w:tcW w:w="88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09"/>
        </w:trPr>
        <w:tc>
          <w:tcPr>
            <w:tcW w:w="8840" w:type="dxa"/>
            <w:vAlign w:val="bottom"/>
          </w:tcPr>
          <w:p>
            <w:pPr>
              <w:ind w:left="40"/>
              <w:spacing w:after="0"/>
              <w:rPr>
                <w:sz w:val="20"/>
                <w:szCs w:val="20"/>
                <w:color w:val="auto"/>
              </w:rPr>
            </w:pPr>
            <w:r>
              <w:rPr>
                <w:rFonts w:ascii="Arial" w:cs="Arial" w:eastAsia="Arial" w:hAnsi="Arial"/>
                <w:sz w:val="17"/>
                <w:szCs w:val="17"/>
                <w:color w:val="auto"/>
              </w:rPr>
              <w:t>Total</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920" w:type="dxa"/>
            <w:vAlign w:val="bottom"/>
          </w:tcPr>
          <w:p>
            <w:pPr>
              <w:ind w:left="220"/>
              <w:spacing w:after="0"/>
              <w:rPr>
                <w:sz w:val="20"/>
                <w:szCs w:val="20"/>
                <w:color w:val="auto"/>
              </w:rPr>
            </w:pPr>
            <w:r>
              <w:rPr>
                <w:rFonts w:ascii="Arial" w:cs="Arial" w:eastAsia="Arial" w:hAnsi="Arial"/>
                <w:sz w:val="17"/>
                <w:szCs w:val="17"/>
                <w:color w:val="auto"/>
                <w:w w:val="89"/>
              </w:rPr>
              <w:t>2,335,874</w:t>
            </w:r>
          </w:p>
        </w:tc>
        <w:tc>
          <w:tcPr>
            <w:tcW w:w="3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tcPr>
          <w:p>
            <w:pPr>
              <w:ind w:left="300"/>
              <w:spacing w:after="0"/>
              <w:rPr>
                <w:sz w:val="20"/>
                <w:szCs w:val="20"/>
                <w:color w:val="auto"/>
              </w:rPr>
            </w:pPr>
            <w:r>
              <w:rPr>
                <w:rFonts w:ascii="Arial" w:cs="Arial" w:eastAsia="Arial" w:hAnsi="Arial"/>
                <w:sz w:val="17"/>
                <w:szCs w:val="17"/>
                <w:color w:val="auto"/>
                <w:w w:val="89"/>
              </w:rPr>
              <w:t>1,855,225</w:t>
            </w:r>
          </w:p>
        </w:tc>
        <w:tc>
          <w:tcPr>
            <w:tcW w:w="120" w:type="dxa"/>
            <w:vAlign w:val="bottom"/>
          </w:tcPr>
          <w:p>
            <w:pPr>
              <w:spacing w:after="0"/>
              <w:rPr>
                <w:sz w:val="18"/>
                <w:szCs w:val="18"/>
                <w:color w:val="auto"/>
              </w:rPr>
            </w:pPr>
          </w:p>
        </w:tc>
      </w:tr>
      <w:tr>
        <w:trPr>
          <w:trHeight w:val="20"/>
        </w:trPr>
        <w:tc>
          <w:tcPr>
            <w:tcW w:w="8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investment is generally redeemable with at least 45 days prior written notice. The hedge fund investment is accounted for as a limited partnership by the Company. Income is earned based upon the Company’s allocated share of the partnership's changes in unrealized gains and losses to its partners. Such amounts have been recorded in the condensed consolidated statements of operations and comprehensive loss within net gains (losses) on investments.</w:t>
      </w:r>
    </w:p>
    <w:p>
      <w:pPr>
        <w:spacing w:after="0" w:line="163"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The estimated fair value and the level of the fair value hierarchy of the Company’s long-term debt as of June 30, 2019 and December 31, 2018 not measured at fair value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0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June 30, 2019</w:t>
            </w:r>
          </w:p>
        </w:tc>
        <w:tc>
          <w:tcPr>
            <w:tcW w:w="2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5"/>
        </w:trPr>
        <w:tc>
          <w:tcPr>
            <w:tcW w:w="6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ind w:left="14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ind w:left="200"/>
              <w:spacing w:after="0"/>
              <w:rPr>
                <w:sz w:val="20"/>
                <w:szCs w:val="20"/>
                <w:color w:val="auto"/>
              </w:rPr>
            </w:pPr>
            <w:r>
              <w:rPr>
                <w:rFonts w:ascii="Arial" w:cs="Arial" w:eastAsia="Arial" w:hAnsi="Arial"/>
                <w:sz w:val="14"/>
                <w:szCs w:val="14"/>
                <w:b w:val="1"/>
                <w:bCs w:val="1"/>
                <w:color w:val="auto"/>
              </w:rPr>
              <w:t>Total</w:t>
            </w:r>
          </w:p>
        </w:tc>
      </w:tr>
      <w:tr>
        <w:trPr>
          <w:trHeight w:val="233"/>
        </w:trPr>
        <w:tc>
          <w:tcPr>
            <w:tcW w:w="6040" w:type="dxa"/>
            <w:vAlign w:val="bottom"/>
          </w:tcPr>
          <w:p>
            <w:pPr>
              <w:ind w:left="40"/>
              <w:spacing w:after="0"/>
              <w:rPr>
                <w:sz w:val="20"/>
                <w:szCs w:val="20"/>
                <w:color w:val="auto"/>
              </w:rPr>
            </w:pPr>
            <w:r>
              <w:rPr>
                <w:rFonts w:ascii="Arial" w:cs="Arial" w:eastAsia="Arial" w:hAnsi="Arial"/>
                <w:sz w:val="17"/>
                <w:szCs w:val="17"/>
                <w:b w:val="1"/>
                <w:bCs w:val="1"/>
                <w:color w:val="auto"/>
              </w:rPr>
              <w:t>Long-term debt</w:t>
            </w:r>
          </w:p>
        </w:tc>
        <w:tc>
          <w:tcPr>
            <w:tcW w:w="4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6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040" w:type="dxa"/>
            <w:vAlign w:val="bottom"/>
            <w:shd w:val="clear" w:color="auto" w:fill="CCEEFF"/>
          </w:tcPr>
          <w:p>
            <w:pPr>
              <w:ind w:left="40"/>
              <w:spacing w:after="0"/>
              <w:rPr>
                <w:sz w:val="20"/>
                <w:szCs w:val="20"/>
                <w:color w:val="auto"/>
              </w:rPr>
            </w:pPr>
            <w:r>
              <w:rPr>
                <w:rFonts w:ascii="Arial" w:cs="Arial" w:eastAsia="Arial" w:hAnsi="Arial"/>
                <w:sz w:val="17"/>
                <w:szCs w:val="17"/>
                <w:color w:val="auto"/>
              </w:rPr>
              <w:t>Senior Notes due 2022</w:t>
            </w:r>
          </w:p>
        </w:tc>
        <w:tc>
          <w:tcPr>
            <w:tcW w:w="960" w:type="dxa"/>
            <w:vAlign w:val="bottom"/>
            <w:gridSpan w:val="2"/>
            <w:shd w:val="clear" w:color="auto" w:fill="CCEEFF"/>
          </w:tcPr>
          <w:p>
            <w:pPr>
              <w:jc w:val="right"/>
              <w:ind w:right="768"/>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ind w:left="120"/>
              <w:spacing w:after="0"/>
              <w:rPr>
                <w:sz w:val="20"/>
                <w:szCs w:val="20"/>
                <w:color w:val="auto"/>
              </w:rPr>
            </w:pPr>
            <w:r>
              <w:rPr>
                <w:rFonts w:ascii="Arial" w:cs="Arial" w:eastAsia="Arial" w:hAnsi="Arial"/>
                <w:sz w:val="17"/>
                <w:szCs w:val="17"/>
                <w:color w:val="auto"/>
                <w:w w:val="89"/>
              </w:rPr>
              <w:t>27,326,918</w:t>
            </w:r>
          </w:p>
        </w:tc>
        <w:tc>
          <w:tcPr>
            <w:tcW w:w="1180" w:type="dxa"/>
            <w:vAlign w:val="bottom"/>
            <w:gridSpan w:val="2"/>
            <w:shd w:val="clear" w:color="auto" w:fill="CCEEFF"/>
          </w:tcPr>
          <w:p>
            <w:pPr>
              <w:jc w:val="right"/>
              <w:ind w:right="748"/>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27,326,918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25"/>
        </w:trPr>
        <w:tc>
          <w:tcPr>
            <w:tcW w:w="60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5"/>
        </w:trPr>
        <w:tc>
          <w:tcPr>
            <w:tcW w:w="6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ind w:left="14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ind w:left="200"/>
              <w:spacing w:after="0"/>
              <w:rPr>
                <w:sz w:val="20"/>
                <w:szCs w:val="20"/>
                <w:color w:val="auto"/>
              </w:rPr>
            </w:pPr>
            <w:r>
              <w:rPr>
                <w:rFonts w:ascii="Arial" w:cs="Arial" w:eastAsia="Arial" w:hAnsi="Arial"/>
                <w:sz w:val="14"/>
                <w:szCs w:val="14"/>
                <w:b w:val="1"/>
                <w:bCs w:val="1"/>
                <w:color w:val="auto"/>
              </w:rPr>
              <w:t>Total</w:t>
            </w:r>
          </w:p>
        </w:tc>
      </w:tr>
      <w:tr>
        <w:trPr>
          <w:trHeight w:val="233"/>
        </w:trPr>
        <w:tc>
          <w:tcPr>
            <w:tcW w:w="6040" w:type="dxa"/>
            <w:vAlign w:val="bottom"/>
          </w:tcPr>
          <w:p>
            <w:pPr>
              <w:ind w:left="40"/>
              <w:spacing w:after="0"/>
              <w:rPr>
                <w:sz w:val="20"/>
                <w:szCs w:val="20"/>
                <w:color w:val="auto"/>
              </w:rPr>
            </w:pPr>
            <w:r>
              <w:rPr>
                <w:rFonts w:ascii="Arial" w:cs="Arial" w:eastAsia="Arial" w:hAnsi="Arial"/>
                <w:sz w:val="17"/>
                <w:szCs w:val="17"/>
                <w:b w:val="1"/>
                <w:bCs w:val="1"/>
                <w:color w:val="auto"/>
              </w:rPr>
              <w:t>Long-term debt</w:t>
            </w:r>
          </w:p>
        </w:tc>
        <w:tc>
          <w:tcPr>
            <w:tcW w:w="4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6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040" w:type="dxa"/>
            <w:vAlign w:val="bottom"/>
            <w:shd w:val="clear" w:color="auto" w:fill="CCEEFF"/>
          </w:tcPr>
          <w:p>
            <w:pPr>
              <w:ind w:left="40"/>
              <w:spacing w:after="0"/>
              <w:rPr>
                <w:sz w:val="20"/>
                <w:szCs w:val="20"/>
                <w:color w:val="auto"/>
              </w:rPr>
            </w:pPr>
            <w:r>
              <w:rPr>
                <w:rFonts w:ascii="Arial" w:cs="Arial" w:eastAsia="Arial" w:hAnsi="Arial"/>
                <w:sz w:val="17"/>
                <w:szCs w:val="17"/>
                <w:color w:val="auto"/>
              </w:rPr>
              <w:t>Senior Notes due 2022</w:t>
            </w:r>
          </w:p>
        </w:tc>
        <w:tc>
          <w:tcPr>
            <w:tcW w:w="960" w:type="dxa"/>
            <w:vAlign w:val="bottom"/>
            <w:gridSpan w:val="2"/>
            <w:shd w:val="clear" w:color="auto" w:fill="CCEEFF"/>
          </w:tcPr>
          <w:p>
            <w:pPr>
              <w:jc w:val="right"/>
              <w:ind w:right="768"/>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ind w:left="120"/>
              <w:spacing w:after="0"/>
              <w:rPr>
                <w:sz w:val="20"/>
                <w:szCs w:val="20"/>
                <w:color w:val="auto"/>
              </w:rPr>
            </w:pPr>
            <w:r>
              <w:rPr>
                <w:rFonts w:ascii="Arial" w:cs="Arial" w:eastAsia="Arial" w:hAnsi="Arial"/>
                <w:sz w:val="17"/>
                <w:szCs w:val="17"/>
                <w:color w:val="auto"/>
                <w:w w:val="89"/>
              </w:rPr>
              <w:t>28,521,734</w:t>
            </w:r>
          </w:p>
        </w:tc>
        <w:tc>
          <w:tcPr>
            <w:tcW w:w="1180" w:type="dxa"/>
            <w:vAlign w:val="bottom"/>
            <w:gridSpan w:val="2"/>
            <w:shd w:val="clear" w:color="auto" w:fill="CCEEFF"/>
          </w:tcPr>
          <w:p>
            <w:pPr>
              <w:jc w:val="right"/>
              <w:ind w:right="748"/>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28,521,734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16"/>
        </w:trPr>
        <w:tc>
          <w:tcPr>
            <w:tcW w:w="6040" w:type="dxa"/>
            <w:vAlign w:val="bottom"/>
          </w:tcPr>
          <w:p>
            <w:pPr>
              <w:spacing w:after="0"/>
              <w:rPr>
                <w:sz w:val="20"/>
                <w:szCs w:val="20"/>
                <w:color w:val="auto"/>
              </w:rPr>
            </w:pPr>
            <w:r>
              <w:rPr>
                <w:rFonts w:ascii="Arial" w:cs="Arial" w:eastAsia="Arial" w:hAnsi="Arial"/>
                <w:sz w:val="17"/>
                <w:szCs w:val="17"/>
                <w:b w:val="1"/>
                <w:bCs w:val="1"/>
                <w:color w:val="auto"/>
              </w:rPr>
              <w:t>Note 5 - Fair Value of Financial Instruments and Real Estate</w:t>
            </w: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The Company uses the following methods and assumptions in estimating the fair value of financial instruments and real estate:</w:t>
      </w:r>
    </w:p>
    <w:p>
      <w:pPr>
        <w:spacing w:after="0" w:line="223"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i w:val="1"/>
          <w:iCs w:val="1"/>
          <w:color w:val="auto"/>
        </w:rPr>
        <w:t xml:space="preserve">Equity securities, available-for-sale fixed income securities, held-to-maturity fixed income securities, and other investments: </w:t>
      </w:r>
      <w:r>
        <w:rPr>
          <w:rFonts w:ascii="Arial" w:cs="Arial" w:eastAsia="Arial" w:hAnsi="Arial"/>
          <w:sz w:val="17"/>
          <w:szCs w:val="17"/>
          <w:color w:val="auto"/>
        </w:rPr>
        <w:t>Fair value disclosures for these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investments are included in “Note 3 - Investments” and “Note 4 – Fair Value Measurements”.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Cash and cash equivalents: </w:t>
      </w:r>
      <w:r>
        <w:rPr>
          <w:rFonts w:ascii="Arial" w:cs="Arial" w:eastAsia="Arial" w:hAnsi="Arial"/>
          <w:sz w:val="15"/>
          <w:szCs w:val="15"/>
          <w:color w:val="auto"/>
        </w:rPr>
        <w:t>The carrying values of cash and cash equivalents approximate their fair values because of the short-term nature of these instruments.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23" w:name="page24"/>
    <w:bookmarkEnd w:id="23"/>
    <w:p>
      <w:pPr>
        <w:jc w:val="both"/>
        <w:spacing w:after="0" w:line="281" w:lineRule="auto"/>
        <w:rPr>
          <w:sz w:val="20"/>
          <w:szCs w:val="20"/>
          <w:color w:val="auto"/>
        </w:rPr>
      </w:pPr>
      <w:r>
        <w:rPr>
          <w:rFonts w:ascii="Arial" w:cs="Arial" w:eastAsia="Arial" w:hAnsi="Arial"/>
          <w:sz w:val="17"/>
          <w:szCs w:val="17"/>
          <w:b w:val="1"/>
          <w:bCs w:val="1"/>
          <w:i w:val="1"/>
          <w:iCs w:val="1"/>
          <w:color w:val="auto"/>
        </w:rPr>
        <w:t xml:space="preserve">Premiums receivable and reinsurance receivables: </w:t>
      </w:r>
      <w:r>
        <w:rPr>
          <w:rFonts w:ascii="Arial" w:cs="Arial" w:eastAsia="Arial" w:hAnsi="Arial"/>
          <w:sz w:val="17"/>
          <w:szCs w:val="17"/>
          <w:color w:val="auto"/>
        </w:rPr>
        <w:t>The carrying values reported in the condensed consolidated balance sheets for these financial instruments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approximate their fair values due to the short-term nature of the assets.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Real estate: </w:t>
      </w:r>
      <w:r>
        <w:rPr>
          <w:rFonts w:ascii="Arial" w:cs="Arial" w:eastAsia="Arial" w:hAnsi="Arial"/>
          <w:sz w:val="15"/>
          <w:szCs w:val="15"/>
          <w:color w:val="auto"/>
        </w:rPr>
        <w:t>The fair value of the land and building included in property and equipment, which is used in the Company’s operations, approximates the carrying value.</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The fair value was based on an appraisal prepared using the sales comparison approach, and accordingly the real estate is a Level 3 asset under the fair value hierarchy.</w:t>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Reinsurance balances payable: </w:t>
      </w:r>
      <w:r>
        <w:rPr>
          <w:rFonts w:ascii="Arial" w:cs="Arial" w:eastAsia="Arial" w:hAnsi="Arial"/>
          <w:sz w:val="15"/>
          <w:szCs w:val="15"/>
          <w:color w:val="auto"/>
        </w:rPr>
        <w:t>The carrying value reported in the condensed consolidated balance sheets for these financial instruments approximates fair value.</w:t>
      </w:r>
    </w:p>
    <w:p>
      <w:pPr>
        <w:spacing w:after="0" w:line="24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b w:val="1"/>
          <w:bCs w:val="1"/>
          <w:i w:val="1"/>
          <w:iCs w:val="1"/>
          <w:color w:val="auto"/>
        </w:rPr>
        <w:t xml:space="preserve">Long-term debt: </w:t>
      </w:r>
      <w:r>
        <w:rPr>
          <w:rFonts w:ascii="Arial" w:cs="Arial" w:eastAsia="Arial" w:hAnsi="Arial"/>
          <w:sz w:val="17"/>
          <w:szCs w:val="17"/>
          <w:color w:val="auto"/>
        </w:rPr>
        <w:t>The estimated fair value of long-term debt is based on observable market interest rates when available. When observable market interest rates were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 available, the estimated fair values of debt were based on observable market interest rates of comparable instruments adjusted for differences between the observed instruments and the instruments being valued or estimated using discounted cash flow analyses, based on current incremental borrowing rates for similar types of borrowing arrangements.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The estimated fair values of the Company’s financial instruments and real estate as of June 30, 2019 and December 31, 2018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3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jc w:val="right"/>
              <w:ind w:right="738"/>
              <w:spacing w:after="0"/>
              <w:rPr>
                <w:sz w:val="20"/>
                <w:szCs w:val="20"/>
                <w:color w:val="auto"/>
              </w:rPr>
            </w:pPr>
            <w:r>
              <w:rPr>
                <w:rFonts w:ascii="Arial" w:cs="Arial" w:eastAsia="Arial" w:hAnsi="Arial"/>
                <w:sz w:val="14"/>
                <w:szCs w:val="14"/>
                <w:b w:val="1"/>
                <w:bCs w:val="1"/>
                <w:color w:val="auto"/>
              </w:rPr>
              <w:t>June 30, 2019</w:t>
            </w:r>
          </w:p>
        </w:tc>
        <w:tc>
          <w:tcPr>
            <w:tcW w:w="2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jc w:val="right"/>
              <w:ind w:right="578"/>
              <w:spacing w:after="0"/>
              <w:rPr>
                <w:sz w:val="20"/>
                <w:szCs w:val="20"/>
                <w:color w:val="auto"/>
              </w:rPr>
            </w:pPr>
            <w:r>
              <w:rPr>
                <w:rFonts w:ascii="Arial" w:cs="Arial" w:eastAsia="Arial" w:hAnsi="Arial"/>
                <w:sz w:val="14"/>
                <w:szCs w:val="14"/>
                <w:b w:val="1"/>
                <w:bCs w:val="1"/>
                <w:color w:val="auto"/>
              </w:rPr>
              <w:t>December 31, 2018</w:t>
            </w:r>
          </w:p>
        </w:tc>
        <w:tc>
          <w:tcPr>
            <w:tcW w:w="120" w:type="dxa"/>
            <w:vAlign w:val="bottom"/>
          </w:tcPr>
          <w:p>
            <w:pPr>
              <w:spacing w:after="0"/>
              <w:rPr>
                <w:sz w:val="15"/>
                <w:szCs w:val="15"/>
                <w:color w:val="auto"/>
              </w:rPr>
            </w:pPr>
          </w:p>
        </w:tc>
      </w:tr>
      <w:tr>
        <w:trPr>
          <w:trHeight w:val="225"/>
        </w:trPr>
        <w:tc>
          <w:tcPr>
            <w:tcW w:w="43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179"/>
              <w:spacing w:after="0"/>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158"/>
              <w:spacing w:after="0"/>
              <w:rPr>
                <w:sz w:val="20"/>
                <w:szCs w:val="20"/>
                <w:color w:val="auto"/>
              </w:rPr>
            </w:pPr>
            <w:r>
              <w:rPr>
                <w:rFonts w:ascii="Arial" w:cs="Arial" w:eastAsia="Arial" w:hAnsi="Arial"/>
                <w:sz w:val="14"/>
                <w:szCs w:val="14"/>
                <w:b w:val="1"/>
                <w:bCs w:val="1"/>
                <w:color w:val="auto"/>
              </w:rPr>
              <w:t>Estimated</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199"/>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Estimated</w:t>
            </w:r>
          </w:p>
        </w:tc>
      </w:tr>
      <w:tr>
        <w:trPr>
          <w:trHeight w:val="200"/>
        </w:trPr>
        <w:tc>
          <w:tcPr>
            <w:tcW w:w="43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299"/>
              <w:spacing w:after="0"/>
              <w:rPr>
                <w:sz w:val="20"/>
                <w:szCs w:val="20"/>
                <w:color w:val="auto"/>
              </w:rPr>
            </w:pPr>
            <w:r>
              <w:rPr>
                <w:rFonts w:ascii="Arial" w:cs="Arial" w:eastAsia="Arial" w:hAnsi="Arial"/>
                <w:sz w:val="14"/>
                <w:szCs w:val="14"/>
                <w:b w:val="1"/>
                <w:bCs w:val="1"/>
                <w:color w:val="auto"/>
              </w:rPr>
              <w:t>Value</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158"/>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319"/>
              <w:spacing w:after="0"/>
              <w:rPr>
                <w:sz w:val="20"/>
                <w:szCs w:val="20"/>
                <w:color w:val="auto"/>
              </w:rPr>
            </w:pPr>
            <w:r>
              <w:rPr>
                <w:rFonts w:ascii="Arial" w:cs="Arial" w:eastAsia="Arial" w:hAnsi="Arial"/>
                <w:sz w:val="14"/>
                <w:szCs w:val="14"/>
                <w:b w:val="1"/>
                <w:bCs w:val="1"/>
                <w:color w:val="auto"/>
              </w:rPr>
              <w:t>Value</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r>
      <w:tr>
        <w:trPr>
          <w:trHeight w:val="235"/>
        </w:trPr>
        <w:tc>
          <w:tcPr>
            <w:tcW w:w="43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4340" w:type="dxa"/>
            <w:vAlign w:val="bottom"/>
            <w:shd w:val="clear" w:color="auto" w:fill="CCEEFF"/>
          </w:tcPr>
          <w:p>
            <w:pPr>
              <w:ind w:left="40"/>
              <w:spacing w:after="0"/>
              <w:rPr>
                <w:sz w:val="20"/>
                <w:szCs w:val="20"/>
                <w:color w:val="auto"/>
              </w:rPr>
            </w:pPr>
            <w:r>
              <w:rPr>
                <w:rFonts w:ascii="Arial" w:cs="Arial" w:eastAsia="Arial" w:hAnsi="Arial"/>
                <w:sz w:val="17"/>
                <w:szCs w:val="17"/>
                <w:color w:val="auto"/>
              </w:rPr>
              <w:t>Fixed-maturity securities-held-to maturity</w:t>
            </w: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3,824,620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4,114,072</w:t>
            </w: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4,222,855</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4,426,416</w:t>
            </w:r>
          </w:p>
        </w:tc>
        <w:tc>
          <w:tcPr>
            <w:tcW w:w="120" w:type="dxa"/>
            <w:vAlign w:val="bottom"/>
            <w:shd w:val="clear" w:color="auto" w:fill="CCEEFF"/>
          </w:tcPr>
          <w:p>
            <w:pPr>
              <w:spacing w:after="0"/>
              <w:rPr>
                <w:sz w:val="18"/>
                <w:szCs w:val="18"/>
                <w:color w:val="auto"/>
              </w:rPr>
            </w:pPr>
          </w:p>
        </w:tc>
      </w:tr>
      <w:tr>
        <w:trPr>
          <w:trHeight w:val="209"/>
        </w:trPr>
        <w:tc>
          <w:tcPr>
            <w:tcW w:w="4340" w:type="dxa"/>
            <w:vAlign w:val="bottom"/>
          </w:tcPr>
          <w:p>
            <w:pPr>
              <w:ind w:left="40"/>
              <w:spacing w:after="0"/>
              <w:rPr>
                <w:sz w:val="20"/>
                <w:szCs w:val="20"/>
                <w:color w:val="auto"/>
              </w:rPr>
            </w:pPr>
            <w:r>
              <w:rPr>
                <w:rFonts w:ascii="Arial" w:cs="Arial" w:eastAsia="Arial" w:hAnsi="Arial"/>
                <w:sz w:val="17"/>
                <w:szCs w:val="17"/>
                <w:color w:val="auto"/>
              </w:rPr>
              <w:t>Cash and cash equivalents</w:t>
            </w:r>
          </w:p>
        </w:tc>
        <w:tc>
          <w:tcPr>
            <w:tcW w:w="19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18,895,805</w:t>
            </w:r>
          </w:p>
        </w:tc>
        <w:tc>
          <w:tcPr>
            <w:tcW w:w="4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18,895,805</w:t>
            </w:r>
          </w:p>
        </w:tc>
        <w:tc>
          <w:tcPr>
            <w:tcW w:w="44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21,138,403</w:t>
            </w:r>
          </w:p>
        </w:tc>
        <w:tc>
          <w:tcPr>
            <w:tcW w:w="4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21,138,403</w:t>
            </w:r>
          </w:p>
        </w:tc>
        <w:tc>
          <w:tcPr>
            <w:tcW w:w="120" w:type="dxa"/>
            <w:vAlign w:val="bottom"/>
          </w:tcPr>
          <w:p>
            <w:pPr>
              <w:spacing w:after="0"/>
              <w:rPr>
                <w:sz w:val="18"/>
                <w:szCs w:val="18"/>
                <w:color w:val="auto"/>
              </w:rPr>
            </w:pPr>
          </w:p>
        </w:tc>
      </w:tr>
      <w:tr>
        <w:trPr>
          <w:trHeight w:val="209"/>
        </w:trPr>
        <w:tc>
          <w:tcPr>
            <w:tcW w:w="4340" w:type="dxa"/>
            <w:vAlign w:val="bottom"/>
            <w:shd w:val="clear" w:color="auto" w:fill="CCEEFF"/>
          </w:tcPr>
          <w:p>
            <w:pPr>
              <w:ind w:left="40"/>
              <w:spacing w:after="0"/>
              <w:rPr>
                <w:sz w:val="20"/>
                <w:szCs w:val="20"/>
                <w:color w:val="auto"/>
              </w:rPr>
            </w:pPr>
            <w:r>
              <w:rPr>
                <w:rFonts w:ascii="Arial" w:cs="Arial" w:eastAsia="Arial" w:hAnsi="Arial"/>
                <w:sz w:val="17"/>
                <w:szCs w:val="17"/>
                <w:color w:val="auto"/>
              </w:rPr>
              <w:t>Premiums receivable, net</w:t>
            </w: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14,958,200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14,958,200</w:t>
            </w: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13,961,599</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13,961,599</w:t>
            </w:r>
          </w:p>
        </w:tc>
        <w:tc>
          <w:tcPr>
            <w:tcW w:w="120" w:type="dxa"/>
            <w:vAlign w:val="bottom"/>
            <w:shd w:val="clear" w:color="auto" w:fill="CCEEFF"/>
          </w:tcPr>
          <w:p>
            <w:pPr>
              <w:spacing w:after="0"/>
              <w:rPr>
                <w:sz w:val="18"/>
                <w:szCs w:val="18"/>
                <w:color w:val="auto"/>
              </w:rPr>
            </w:pPr>
          </w:p>
        </w:tc>
      </w:tr>
      <w:tr>
        <w:trPr>
          <w:trHeight w:val="209"/>
        </w:trPr>
        <w:tc>
          <w:tcPr>
            <w:tcW w:w="4340" w:type="dxa"/>
            <w:vAlign w:val="bottom"/>
          </w:tcPr>
          <w:p>
            <w:pPr>
              <w:ind w:left="40"/>
              <w:spacing w:after="0"/>
              <w:rPr>
                <w:sz w:val="20"/>
                <w:szCs w:val="20"/>
                <w:color w:val="auto"/>
              </w:rPr>
            </w:pPr>
            <w:r>
              <w:rPr>
                <w:rFonts w:ascii="Arial" w:cs="Arial" w:eastAsia="Arial" w:hAnsi="Arial"/>
                <w:sz w:val="17"/>
                <w:szCs w:val="17"/>
                <w:color w:val="auto"/>
              </w:rPr>
              <w:t>Reinsurance receivables, net</w:t>
            </w:r>
          </w:p>
        </w:tc>
        <w:tc>
          <w:tcPr>
            <w:tcW w:w="19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28,643,360</w:t>
            </w:r>
          </w:p>
        </w:tc>
        <w:tc>
          <w:tcPr>
            <w:tcW w:w="4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28,643,360</w:t>
            </w:r>
          </w:p>
        </w:tc>
        <w:tc>
          <w:tcPr>
            <w:tcW w:w="44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26,367,115</w:t>
            </w:r>
          </w:p>
        </w:tc>
        <w:tc>
          <w:tcPr>
            <w:tcW w:w="4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26,367,115</w:t>
            </w:r>
          </w:p>
        </w:tc>
        <w:tc>
          <w:tcPr>
            <w:tcW w:w="120" w:type="dxa"/>
            <w:vAlign w:val="bottom"/>
          </w:tcPr>
          <w:p>
            <w:pPr>
              <w:spacing w:after="0"/>
              <w:rPr>
                <w:sz w:val="18"/>
                <w:szCs w:val="18"/>
                <w:color w:val="auto"/>
              </w:rPr>
            </w:pPr>
          </w:p>
        </w:tc>
      </w:tr>
      <w:tr>
        <w:trPr>
          <w:trHeight w:val="209"/>
        </w:trPr>
        <w:tc>
          <w:tcPr>
            <w:tcW w:w="4340" w:type="dxa"/>
            <w:vAlign w:val="bottom"/>
            <w:shd w:val="clear" w:color="auto" w:fill="CCEEFF"/>
          </w:tcPr>
          <w:p>
            <w:pPr>
              <w:ind w:left="40"/>
              <w:spacing w:after="0"/>
              <w:rPr>
                <w:sz w:val="20"/>
                <w:szCs w:val="20"/>
                <w:color w:val="auto"/>
              </w:rPr>
            </w:pPr>
            <w:r>
              <w:rPr>
                <w:rFonts w:ascii="Arial" w:cs="Arial" w:eastAsia="Arial" w:hAnsi="Arial"/>
                <w:sz w:val="17"/>
                <w:szCs w:val="17"/>
                <w:color w:val="auto"/>
              </w:rPr>
              <w:t>Real estate, net of accumulated depreciation</w:t>
            </w: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2,307,072</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2,705,000</w:t>
            </w: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2,300,827</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2,705,000</w:t>
            </w:r>
          </w:p>
        </w:tc>
        <w:tc>
          <w:tcPr>
            <w:tcW w:w="120" w:type="dxa"/>
            <w:vAlign w:val="bottom"/>
            <w:shd w:val="clear" w:color="auto" w:fill="CCEEFF"/>
          </w:tcPr>
          <w:p>
            <w:pPr>
              <w:spacing w:after="0"/>
              <w:rPr>
                <w:sz w:val="18"/>
                <w:szCs w:val="18"/>
                <w:color w:val="auto"/>
              </w:rPr>
            </w:pPr>
          </w:p>
        </w:tc>
      </w:tr>
      <w:tr>
        <w:trPr>
          <w:trHeight w:val="209"/>
        </w:trPr>
        <w:tc>
          <w:tcPr>
            <w:tcW w:w="4340" w:type="dxa"/>
            <w:vAlign w:val="bottom"/>
          </w:tcPr>
          <w:p>
            <w:pPr>
              <w:ind w:left="40"/>
              <w:spacing w:after="0"/>
              <w:rPr>
                <w:sz w:val="20"/>
                <w:szCs w:val="20"/>
                <w:color w:val="auto"/>
              </w:rPr>
            </w:pPr>
            <w:r>
              <w:rPr>
                <w:rFonts w:ascii="Arial" w:cs="Arial" w:eastAsia="Arial" w:hAnsi="Arial"/>
                <w:sz w:val="17"/>
                <w:szCs w:val="17"/>
                <w:color w:val="auto"/>
              </w:rPr>
              <w:t>Reinsurance balances payable</w:t>
            </w:r>
          </w:p>
        </w:tc>
        <w:tc>
          <w:tcPr>
            <w:tcW w:w="19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2,806,903</w:t>
            </w:r>
          </w:p>
        </w:tc>
        <w:tc>
          <w:tcPr>
            <w:tcW w:w="4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2,806,903</w:t>
            </w:r>
          </w:p>
        </w:tc>
        <w:tc>
          <w:tcPr>
            <w:tcW w:w="44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1,933,376</w:t>
            </w:r>
          </w:p>
        </w:tc>
        <w:tc>
          <w:tcPr>
            <w:tcW w:w="4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1,933,376</w:t>
            </w:r>
          </w:p>
        </w:tc>
        <w:tc>
          <w:tcPr>
            <w:tcW w:w="120" w:type="dxa"/>
            <w:vAlign w:val="bottom"/>
          </w:tcPr>
          <w:p>
            <w:pPr>
              <w:spacing w:after="0"/>
              <w:rPr>
                <w:sz w:val="18"/>
                <w:szCs w:val="18"/>
                <w:color w:val="auto"/>
              </w:rPr>
            </w:pPr>
          </w:p>
        </w:tc>
      </w:tr>
      <w:tr>
        <w:trPr>
          <w:trHeight w:val="209"/>
        </w:trPr>
        <w:tc>
          <w:tcPr>
            <w:tcW w:w="4340" w:type="dxa"/>
            <w:vAlign w:val="bottom"/>
            <w:shd w:val="clear" w:color="auto" w:fill="CCEEFF"/>
          </w:tcPr>
          <w:p>
            <w:pPr>
              <w:ind w:left="40"/>
              <w:spacing w:after="0"/>
              <w:rPr>
                <w:sz w:val="20"/>
                <w:szCs w:val="20"/>
                <w:color w:val="auto"/>
              </w:rPr>
            </w:pPr>
            <w:r>
              <w:rPr>
                <w:rFonts w:ascii="Arial" w:cs="Arial" w:eastAsia="Arial" w:hAnsi="Arial"/>
                <w:sz w:val="17"/>
                <w:szCs w:val="17"/>
                <w:color w:val="auto"/>
              </w:rPr>
              <w:t>Long-term debt, net</w:t>
            </w: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29,383,341</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27,326,918</w:t>
            </w: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29,295,251</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28,521,734</w:t>
            </w:r>
          </w:p>
        </w:tc>
        <w:tc>
          <w:tcPr>
            <w:tcW w:w="120" w:type="dxa"/>
            <w:vAlign w:val="bottom"/>
            <w:shd w:val="clear" w:color="auto" w:fill="CCEEFF"/>
          </w:tcPr>
          <w:p>
            <w:pPr>
              <w:spacing w:after="0"/>
              <w:rPr>
                <w:sz w:val="18"/>
                <w:szCs w:val="18"/>
                <w:color w:val="auto"/>
              </w:rPr>
            </w:pPr>
          </w:p>
        </w:tc>
      </w:tr>
      <w:tr>
        <w:trPr>
          <w:trHeight w:val="836"/>
        </w:trPr>
        <w:tc>
          <w:tcPr>
            <w:tcW w:w="43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21</w:t>
            </w: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50" w:right="23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color w:val="auto"/>
        </w:rPr>
        <w:t>Note 6 – Property and Casualty Insurance Activity</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Premiums Earned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Premiums written, ceded and earned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Direct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176"/>
              <w:spacing w:after="0"/>
              <w:rPr>
                <w:sz w:val="20"/>
                <w:szCs w:val="20"/>
                <w:color w:val="auto"/>
              </w:rPr>
            </w:pPr>
            <w:r>
              <w:rPr>
                <w:rFonts w:ascii="Arial" w:cs="Arial" w:eastAsia="Arial" w:hAnsi="Arial"/>
                <w:sz w:val="14"/>
                <w:szCs w:val="14"/>
                <w:b w:val="1"/>
                <w:bCs w:val="1"/>
                <w:color w:val="auto"/>
              </w:rPr>
              <w:t>Assumed</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Ceded</w:t>
            </w:r>
          </w:p>
        </w:tc>
        <w:tc>
          <w:tcPr>
            <w:tcW w:w="200" w:type="dxa"/>
            <w:vAlign w:val="bottom"/>
          </w:tcPr>
          <w:p>
            <w:pPr>
              <w:spacing w:after="0"/>
              <w:rPr>
                <w:sz w:val="15"/>
                <w:szCs w:val="15"/>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470"/>
        </w:trPr>
        <w:tc>
          <w:tcPr>
            <w:tcW w:w="6080" w:type="dxa"/>
            <w:vAlign w:val="bottom"/>
            <w:gridSpan w:val="2"/>
          </w:tcPr>
          <w:p>
            <w:pPr>
              <w:spacing w:after="0"/>
              <w:rPr>
                <w:sz w:val="20"/>
                <w:szCs w:val="20"/>
                <w:color w:val="auto"/>
              </w:rPr>
            </w:pPr>
            <w:r>
              <w:rPr>
                <w:rFonts w:ascii="Arial" w:cs="Arial" w:eastAsia="Arial" w:hAnsi="Arial"/>
                <w:sz w:val="17"/>
                <w:szCs w:val="17"/>
                <w:b w:val="1"/>
                <w:bCs w:val="1"/>
                <w:color w:val="auto"/>
              </w:rPr>
              <w:t>Six months ended June 30, 2019</w:t>
            </w: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Premiums written</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82,309,827</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9"/>
              </w:rPr>
              <w:t>(15,327,796)</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66,982,108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60" w:type="dxa"/>
            <w:vAlign w:val="bottom"/>
          </w:tcPr>
          <w:p>
            <w:pPr>
              <w:ind w:left="20"/>
              <w:spacing w:after="0"/>
              <w:rPr>
                <w:sz w:val="20"/>
                <w:szCs w:val="20"/>
                <w:color w:val="auto"/>
              </w:rPr>
            </w:pPr>
            <w:r>
              <w:rPr>
                <w:rFonts w:ascii="Arial" w:cs="Arial" w:eastAsia="Arial" w:hAnsi="Arial"/>
                <w:sz w:val="17"/>
                <w:szCs w:val="17"/>
                <w:color w:val="auto"/>
              </w:rPr>
              <w:t>Change in unearned premiums</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(6,456,216)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202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271,074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(6,184,940)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Premiums earned</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75,853,611</w:t>
            </w:r>
          </w:p>
        </w:tc>
        <w:tc>
          <w:tcPr>
            <w:tcW w:w="16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9"/>
              </w:rPr>
              <w:t>(15,056,722)</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60,797,168</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0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Six months ended June 30, 2018</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60" w:type="dxa"/>
            <w:vAlign w:val="bottom"/>
          </w:tcPr>
          <w:p>
            <w:pPr>
              <w:ind w:left="20"/>
              <w:spacing w:after="0"/>
              <w:rPr>
                <w:sz w:val="20"/>
                <w:szCs w:val="20"/>
                <w:color w:val="auto"/>
              </w:rPr>
            </w:pPr>
            <w:r>
              <w:rPr>
                <w:rFonts w:ascii="Arial" w:cs="Arial" w:eastAsia="Arial" w:hAnsi="Arial"/>
                <w:sz w:val="17"/>
                <w:szCs w:val="17"/>
                <w:color w:val="auto"/>
              </w:rPr>
              <w:t>Premiums written</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68,389,960</w:t>
            </w:r>
          </w:p>
        </w:tc>
        <w:tc>
          <w:tcPr>
            <w:tcW w:w="16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824</w:t>
            </w:r>
          </w:p>
        </w:tc>
        <w:tc>
          <w:tcPr>
            <w:tcW w:w="4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w w:val="99"/>
              </w:rPr>
              <w:t>(16,725,724)</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51,665,060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unearned premiums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(5,495,329)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769,436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(4,722,829)</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060" w:type="dxa"/>
            <w:vAlign w:val="bottom"/>
          </w:tcPr>
          <w:p>
            <w:pPr>
              <w:ind w:left="20"/>
              <w:spacing w:after="0"/>
              <w:rPr>
                <w:sz w:val="20"/>
                <w:szCs w:val="20"/>
                <w:color w:val="auto"/>
              </w:rPr>
            </w:pPr>
            <w:r>
              <w:rPr>
                <w:rFonts w:ascii="Arial" w:cs="Arial" w:eastAsia="Arial" w:hAnsi="Arial"/>
                <w:sz w:val="17"/>
                <w:szCs w:val="17"/>
                <w:color w:val="auto"/>
              </w:rPr>
              <w:t>Premiums earned</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62,894,631</w:t>
            </w:r>
          </w:p>
        </w:tc>
        <w:tc>
          <w:tcPr>
            <w:tcW w:w="16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3,888</w:t>
            </w:r>
          </w:p>
        </w:tc>
        <w:tc>
          <w:tcPr>
            <w:tcW w:w="4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w w:val="99"/>
              </w:rPr>
              <w:t>(15,956,288)</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46,942,231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restart"/>
          </w:tcPr>
          <w:p>
            <w:pPr>
              <w:spacing w:after="0"/>
              <w:rPr>
                <w:sz w:val="17"/>
                <w:szCs w:val="17"/>
                <w:color w:val="auto"/>
              </w:rPr>
            </w:pPr>
          </w:p>
        </w:tc>
        <w:tc>
          <w:tcPr>
            <w:tcW w:w="6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7"/>
                <w:szCs w:val="17"/>
                <w:b w:val="1"/>
                <w:bCs w:val="1"/>
                <w:color w:val="auto"/>
              </w:rPr>
              <w:t>Three months ended June 30, 2019</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Premiums written</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44,821,279</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(8,199,887)</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36,621,503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60" w:type="dxa"/>
            <w:vAlign w:val="bottom"/>
          </w:tcPr>
          <w:p>
            <w:pPr>
              <w:ind w:left="20"/>
              <w:spacing w:after="0"/>
              <w:rPr>
                <w:sz w:val="20"/>
                <w:szCs w:val="20"/>
                <w:color w:val="auto"/>
              </w:rPr>
            </w:pPr>
            <w:r>
              <w:rPr>
                <w:rFonts w:ascii="Arial" w:cs="Arial" w:eastAsia="Arial" w:hAnsi="Arial"/>
                <w:sz w:val="17"/>
                <w:szCs w:val="17"/>
                <w:color w:val="auto"/>
              </w:rPr>
              <w:t>Change in unearned premiums</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(5,828,149)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407,918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(5,420,224)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Premiums earned</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38,993,130</w:t>
            </w:r>
          </w:p>
        </w:tc>
        <w:tc>
          <w:tcPr>
            <w:tcW w:w="16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(7,791,969)</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31,201,279</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0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Three months ended June 30, 2018</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60" w:type="dxa"/>
            <w:vAlign w:val="bottom"/>
          </w:tcPr>
          <w:p>
            <w:pPr>
              <w:ind w:left="20"/>
              <w:spacing w:after="0"/>
              <w:rPr>
                <w:sz w:val="20"/>
                <w:szCs w:val="20"/>
                <w:color w:val="auto"/>
              </w:rPr>
            </w:pPr>
            <w:r>
              <w:rPr>
                <w:rFonts w:ascii="Arial" w:cs="Arial" w:eastAsia="Arial" w:hAnsi="Arial"/>
                <w:sz w:val="17"/>
                <w:szCs w:val="17"/>
                <w:color w:val="auto"/>
              </w:rPr>
              <w:t>Premiums written</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36,863,677</w:t>
            </w:r>
          </w:p>
        </w:tc>
        <w:tc>
          <w:tcPr>
            <w:tcW w:w="16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488</w:t>
            </w:r>
          </w:p>
        </w:tc>
        <w:tc>
          <w:tcPr>
            <w:tcW w:w="4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(8,899,489)</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27,964,676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unearned premiums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(4,486,460)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625,235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(3,860,062)</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060" w:type="dxa"/>
            <w:vAlign w:val="bottom"/>
          </w:tcPr>
          <w:p>
            <w:pPr>
              <w:ind w:left="20"/>
              <w:spacing w:after="0"/>
              <w:rPr>
                <w:sz w:val="20"/>
                <w:szCs w:val="20"/>
                <w:color w:val="auto"/>
              </w:rPr>
            </w:pPr>
            <w:r>
              <w:rPr>
                <w:rFonts w:ascii="Arial" w:cs="Arial" w:eastAsia="Arial" w:hAnsi="Arial"/>
                <w:sz w:val="17"/>
                <w:szCs w:val="17"/>
                <w:color w:val="auto"/>
              </w:rPr>
              <w:t>Premiums earned</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32,377,217</w:t>
            </w:r>
          </w:p>
        </w:tc>
        <w:tc>
          <w:tcPr>
            <w:tcW w:w="16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1,651</w:t>
            </w:r>
          </w:p>
        </w:tc>
        <w:tc>
          <w:tcPr>
            <w:tcW w:w="4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(8,274,254)</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24,104,614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Premium receipts in advance of the policy effective date are recorded as advance premiums. The balance of advance premiums as of June 30, 2019 and December 31, 2018 was $3,468,225 and $2,107,629, respectively.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25" w:name="page26"/>
    <w:bookmarkEnd w:id="25"/>
    <w:p>
      <w:pPr>
        <w:spacing w:after="0"/>
        <w:rPr>
          <w:sz w:val="20"/>
          <w:szCs w:val="20"/>
          <w:color w:val="auto"/>
        </w:rPr>
      </w:pPr>
      <w:r>
        <w:rPr>
          <w:rFonts w:ascii="Arial" w:cs="Arial" w:eastAsia="Arial" w:hAnsi="Arial"/>
          <w:sz w:val="17"/>
          <w:szCs w:val="17"/>
          <w:u w:val="single" w:color="auto"/>
          <w:color w:val="auto"/>
        </w:rPr>
        <w:t>Loss and Loss Adjustment Expense Reserves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reconciliation of the beginning and ending balances for unpaid losses and loss adjustment expense (“LAE”) reserves: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2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Six months ended</w:t>
            </w:r>
          </w:p>
        </w:tc>
      </w:tr>
      <w:tr>
        <w:trPr>
          <w:trHeight w:val="200"/>
        </w:trPr>
        <w:tc>
          <w:tcPr>
            <w:tcW w:w="88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26"/>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15"/>
        </w:trPr>
        <w:tc>
          <w:tcPr>
            <w:tcW w:w="88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8"/>
                <w:szCs w:val="18"/>
                <w:color w:val="auto"/>
              </w:rPr>
            </w:pPr>
          </w:p>
        </w:tc>
      </w:tr>
      <w:tr>
        <w:trPr>
          <w:trHeight w:val="235"/>
        </w:trPr>
        <w:tc>
          <w:tcPr>
            <w:tcW w:w="8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884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Balance at beginning of period</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56,197,106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48,799,622</w:t>
            </w:r>
          </w:p>
        </w:tc>
        <w:tc>
          <w:tcPr>
            <w:tcW w:w="120" w:type="dxa"/>
            <w:vAlign w:val="bottom"/>
            <w:shd w:val="clear" w:color="auto" w:fill="CCEEFF"/>
          </w:tcPr>
          <w:p>
            <w:pPr>
              <w:spacing w:after="0"/>
              <w:rPr>
                <w:sz w:val="18"/>
                <w:szCs w:val="18"/>
                <w:color w:val="auto"/>
              </w:rPr>
            </w:pPr>
          </w:p>
        </w:tc>
      </w:tr>
      <w:tr>
        <w:trPr>
          <w:trHeight w:val="215"/>
        </w:trPr>
        <w:tc>
          <w:tcPr>
            <w:tcW w:w="8840" w:type="dxa"/>
            <w:vAlign w:val="bottom"/>
          </w:tcPr>
          <w:p>
            <w:pPr>
              <w:ind w:left="40"/>
              <w:spacing w:after="0"/>
              <w:rPr>
                <w:sz w:val="20"/>
                <w:szCs w:val="20"/>
                <w:color w:val="auto"/>
              </w:rPr>
            </w:pPr>
            <w:r>
              <w:rPr>
                <w:rFonts w:ascii="Arial" w:cs="Arial" w:eastAsia="Arial" w:hAnsi="Arial"/>
                <w:sz w:val="17"/>
                <w:szCs w:val="17"/>
                <w:color w:val="auto"/>
              </w:rPr>
              <w:t>Less reinsurance recoverables</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w w:val="99"/>
              </w:rPr>
              <w:t>(15,671,247)</w:t>
            </w: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w w:val="97"/>
              </w:rPr>
              <w:t>(16,748,908)</w:t>
            </w:r>
          </w:p>
        </w:tc>
      </w:tr>
      <w:tr>
        <w:trPr>
          <w:trHeight w:val="215"/>
        </w:trPr>
        <w:tc>
          <w:tcPr>
            <w:tcW w:w="8840" w:type="dxa"/>
            <w:vAlign w:val="bottom"/>
            <w:tcBorders>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balance, beginning of period</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40,525,859</w:t>
            </w:r>
          </w:p>
        </w:tc>
        <w:tc>
          <w:tcPr>
            <w:tcW w:w="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32,050,714</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8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884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Incurred related to:</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9"/>
        </w:trPr>
        <w:tc>
          <w:tcPr>
            <w:tcW w:w="8840" w:type="dxa"/>
            <w:vAlign w:val="bottom"/>
          </w:tcPr>
          <w:p>
            <w:pPr>
              <w:ind w:left="40"/>
              <w:spacing w:after="0"/>
              <w:rPr>
                <w:sz w:val="20"/>
                <w:szCs w:val="20"/>
                <w:color w:val="auto"/>
              </w:rPr>
            </w:pPr>
            <w:r>
              <w:rPr>
                <w:rFonts w:ascii="Arial" w:cs="Arial" w:eastAsia="Arial" w:hAnsi="Arial"/>
                <w:sz w:val="17"/>
                <w:szCs w:val="17"/>
                <w:color w:val="auto"/>
              </w:rPr>
              <w:t>Current year</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40,689,147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28,215,069</w:t>
            </w:r>
          </w:p>
        </w:tc>
        <w:tc>
          <w:tcPr>
            <w:tcW w:w="120" w:type="dxa"/>
            <w:vAlign w:val="bottom"/>
          </w:tcPr>
          <w:p>
            <w:pPr>
              <w:spacing w:after="0"/>
              <w:rPr>
                <w:sz w:val="18"/>
                <w:szCs w:val="18"/>
                <w:color w:val="auto"/>
              </w:rPr>
            </w:pPr>
          </w:p>
        </w:tc>
      </w:tr>
      <w:tr>
        <w:trPr>
          <w:trHeight w:val="215"/>
        </w:trPr>
        <w:tc>
          <w:tcPr>
            <w:tcW w:w="8840" w:type="dxa"/>
            <w:vAlign w:val="bottom"/>
            <w:tcBorders>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Prior years</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6,117,385</w:t>
            </w:r>
          </w:p>
        </w:tc>
        <w:tc>
          <w:tcPr>
            <w:tcW w:w="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227,346</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5"/>
        </w:trPr>
        <w:tc>
          <w:tcPr>
            <w:tcW w:w="8840" w:type="dxa"/>
            <w:vAlign w:val="bottom"/>
          </w:tcPr>
          <w:p>
            <w:pPr>
              <w:ind w:left="40"/>
              <w:spacing w:after="0"/>
              <w:rPr>
                <w:sz w:val="20"/>
                <w:szCs w:val="20"/>
                <w:color w:val="auto"/>
              </w:rPr>
            </w:pPr>
            <w:r>
              <w:rPr>
                <w:rFonts w:ascii="Arial" w:cs="Arial" w:eastAsia="Arial" w:hAnsi="Arial"/>
                <w:sz w:val="17"/>
                <w:szCs w:val="17"/>
                <w:color w:val="auto"/>
              </w:rPr>
              <w:t>Total incurred</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46,806,532</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28,442,415</w:t>
            </w:r>
          </w:p>
        </w:tc>
        <w:tc>
          <w:tcPr>
            <w:tcW w:w="120" w:type="dxa"/>
            <w:vAlign w:val="bottom"/>
          </w:tcPr>
          <w:p>
            <w:pPr>
              <w:spacing w:after="0"/>
              <w:rPr>
                <w:sz w:val="18"/>
                <w:szCs w:val="18"/>
                <w:color w:val="auto"/>
              </w:rPr>
            </w:pPr>
          </w:p>
        </w:tc>
      </w:tr>
      <w:tr>
        <w:trPr>
          <w:trHeight w:val="209"/>
        </w:trPr>
        <w:tc>
          <w:tcPr>
            <w:tcW w:w="88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9"/>
        </w:trPr>
        <w:tc>
          <w:tcPr>
            <w:tcW w:w="8840" w:type="dxa"/>
            <w:vAlign w:val="bottom"/>
          </w:tcPr>
          <w:p>
            <w:pPr>
              <w:ind w:left="40"/>
              <w:spacing w:after="0"/>
              <w:rPr>
                <w:sz w:val="20"/>
                <w:szCs w:val="20"/>
                <w:color w:val="auto"/>
              </w:rPr>
            </w:pPr>
            <w:r>
              <w:rPr>
                <w:rFonts w:ascii="Arial" w:cs="Arial" w:eastAsia="Arial" w:hAnsi="Arial"/>
                <w:sz w:val="17"/>
                <w:szCs w:val="17"/>
                <w:color w:val="auto"/>
              </w:rPr>
              <w:t>Paid related to:</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884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Current year</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19,692,437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14,656,892</w:t>
            </w:r>
          </w:p>
        </w:tc>
        <w:tc>
          <w:tcPr>
            <w:tcW w:w="120" w:type="dxa"/>
            <w:vAlign w:val="bottom"/>
            <w:shd w:val="clear" w:color="auto" w:fill="CCEEFF"/>
          </w:tcPr>
          <w:p>
            <w:pPr>
              <w:spacing w:after="0"/>
              <w:rPr>
                <w:sz w:val="18"/>
                <w:szCs w:val="18"/>
                <w:color w:val="auto"/>
              </w:rPr>
            </w:pPr>
          </w:p>
        </w:tc>
      </w:tr>
      <w:tr>
        <w:trPr>
          <w:trHeight w:val="215"/>
        </w:trPr>
        <w:tc>
          <w:tcPr>
            <w:tcW w:w="8840" w:type="dxa"/>
            <w:vAlign w:val="bottom"/>
          </w:tcPr>
          <w:p>
            <w:pPr>
              <w:ind w:left="40"/>
              <w:spacing w:after="0"/>
              <w:rPr>
                <w:sz w:val="20"/>
                <w:szCs w:val="20"/>
                <w:color w:val="auto"/>
              </w:rPr>
            </w:pPr>
            <w:r>
              <w:rPr>
                <w:rFonts w:ascii="Arial" w:cs="Arial" w:eastAsia="Arial" w:hAnsi="Arial"/>
                <w:sz w:val="17"/>
                <w:szCs w:val="17"/>
                <w:color w:val="auto"/>
              </w:rPr>
              <w:t>Prior years</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13,999,258</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10,977,023</w:t>
            </w:r>
          </w:p>
        </w:tc>
        <w:tc>
          <w:tcPr>
            <w:tcW w:w="120" w:type="dxa"/>
            <w:vAlign w:val="bottom"/>
          </w:tcPr>
          <w:p>
            <w:pPr>
              <w:spacing w:after="0"/>
              <w:rPr>
                <w:sz w:val="18"/>
                <w:szCs w:val="18"/>
                <w:color w:val="auto"/>
              </w:rPr>
            </w:pPr>
          </w:p>
        </w:tc>
      </w:tr>
      <w:tr>
        <w:trPr>
          <w:trHeight w:val="215"/>
        </w:trPr>
        <w:tc>
          <w:tcPr>
            <w:tcW w:w="8840" w:type="dxa"/>
            <w:vAlign w:val="bottom"/>
            <w:tcBorders>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paid</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33,691,695</w:t>
            </w:r>
          </w:p>
        </w:tc>
        <w:tc>
          <w:tcPr>
            <w:tcW w:w="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25,633,915</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8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884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balance at end of period</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53,640,696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34,859,214</w:t>
            </w:r>
          </w:p>
        </w:tc>
        <w:tc>
          <w:tcPr>
            <w:tcW w:w="120" w:type="dxa"/>
            <w:vAlign w:val="bottom"/>
            <w:shd w:val="clear" w:color="auto" w:fill="CCEEFF"/>
          </w:tcPr>
          <w:p>
            <w:pPr>
              <w:spacing w:after="0"/>
              <w:rPr>
                <w:sz w:val="18"/>
                <w:szCs w:val="18"/>
                <w:color w:val="auto"/>
              </w:rPr>
            </w:pPr>
          </w:p>
        </w:tc>
      </w:tr>
      <w:tr>
        <w:trPr>
          <w:trHeight w:val="215"/>
        </w:trPr>
        <w:tc>
          <w:tcPr>
            <w:tcW w:w="8840" w:type="dxa"/>
            <w:vAlign w:val="bottom"/>
          </w:tcPr>
          <w:p>
            <w:pPr>
              <w:ind w:left="40"/>
              <w:spacing w:after="0"/>
              <w:rPr>
                <w:sz w:val="20"/>
                <w:szCs w:val="20"/>
                <w:color w:val="auto"/>
              </w:rPr>
            </w:pPr>
            <w:r>
              <w:rPr>
                <w:rFonts w:ascii="Arial" w:cs="Arial" w:eastAsia="Arial" w:hAnsi="Arial"/>
                <w:sz w:val="17"/>
                <w:szCs w:val="17"/>
                <w:color w:val="auto"/>
              </w:rPr>
              <w:t>Add reinsurance recoverables</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16,034,424</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14,398,642</w:t>
            </w:r>
          </w:p>
        </w:tc>
        <w:tc>
          <w:tcPr>
            <w:tcW w:w="120" w:type="dxa"/>
            <w:vAlign w:val="bottom"/>
          </w:tcPr>
          <w:p>
            <w:pPr>
              <w:spacing w:after="0"/>
              <w:rPr>
                <w:sz w:val="18"/>
                <w:szCs w:val="18"/>
                <w:color w:val="auto"/>
              </w:rPr>
            </w:pPr>
          </w:p>
        </w:tc>
      </w:tr>
      <w:tr>
        <w:trPr>
          <w:trHeight w:val="229"/>
        </w:trPr>
        <w:tc>
          <w:tcPr>
            <w:tcW w:w="884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Balance at end of period</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69,675,120</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49,257,856</w:t>
            </w:r>
          </w:p>
        </w:tc>
        <w:tc>
          <w:tcPr>
            <w:tcW w:w="120" w:type="dxa"/>
            <w:vAlign w:val="bottom"/>
            <w:shd w:val="clear" w:color="auto" w:fill="CCEEFF"/>
          </w:tcPr>
          <w:p>
            <w:pPr>
              <w:spacing w:after="0"/>
              <w:rPr>
                <w:sz w:val="19"/>
                <w:szCs w:val="19"/>
                <w:color w:val="auto"/>
              </w:rPr>
            </w:pPr>
          </w:p>
        </w:tc>
      </w:tr>
      <w:tr>
        <w:trPr>
          <w:trHeight w:val="20"/>
        </w:trPr>
        <w:tc>
          <w:tcPr>
            <w:tcW w:w="88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1"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Incurred losses and LAE are net of reinsurance recoveries under reinsurance contracts of $6,621,688 and $8,017,022 for the six months ended June 30, 2019 and 2018, respectively.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Prior year incurred loss and LAE development is based upon estimates by line of business and accident year. Prior year loss and LAE development incurred during the six months ended June 30, 2019 and 2018 was $6,117,385 unfavorable and $227,346 unfavorable, respectively. During the six months ended June 30, 2019, the Company increased case reserves for certain older open liability claims, which primarily affected the ultimate loss projections for commercial lines business. The Company’s management continually monitors claims activity to assess the appropriateness of carried case and incurred but not reported (“IBNR”) reserves, giving consideration to Company and industry trends.</w:t>
      </w:r>
    </w:p>
    <w:p>
      <w:pPr>
        <w:spacing w:after="0" w:line="185"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reserving process for loss and LAE reserves provides for the Company’s best estimate at a particular point in time of the ultimate unpaid cost of all losses and LAE incurred, including settlement and administration of losses, and is based on facts and circumstances then known including losses that have occurred but that have not yet been reported. The process relies on standard actuarial reserving methodologies, judgments relative to estimates of ultimate claim severity and frequency, the length of time before losses will develop to their ultimate level (‘tail’ factors), and the likelihood of changes in the law or other external factors that are beyond the Company’s control. Several actuarial reserving methodologies are used to estimate required loss reserves. The process produces carried reserves set by management based upon the actuaries’ best estimate and is the cumulative combination of the best estimates made by line of business, accident year, and loss and LAE. The amount of loss and LAE reserves for individual reported claims (the “case reserve”) is determined by the claims department and changes over time as new information is gathered. Such information includes a review of coverage applicability, comparative liability on the part of the insured, injury severity, property damage, replacement cost estimates, and any other information considered pertinent to estimating the exposure presented by the claim. The amounts of loss and LAE reserves for unreported claims and development on known claims (IBNR reserves) are determined using historical information aggregated by line of insurance as adjusted to current conditions. Since this process produces loss reserves set by management based upon the actuaries’ best estimate, there is no explicit or implicit provision for uncertainty in the carried loss reserves.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26" w:name="page27"/>
    <w:bookmarkEnd w:id="26"/>
    <w:p>
      <w:pPr>
        <w:jc w:val="both"/>
        <w:spacing w:after="0" w:line="306" w:lineRule="auto"/>
        <w:rPr>
          <w:sz w:val="20"/>
          <w:szCs w:val="20"/>
          <w:color w:val="auto"/>
        </w:rPr>
      </w:pPr>
      <w:r>
        <w:rPr>
          <w:rFonts w:ascii="Arial" w:cs="Arial" w:eastAsia="Arial" w:hAnsi="Arial"/>
          <w:sz w:val="15"/>
          <w:szCs w:val="15"/>
          <w:color w:val="auto"/>
        </w:rPr>
        <w:t>Due to the inherent uncertainty associated with the reserving process, the ultimate liability may differ, perhaps substantially, from the original estimate. Such estimates are regularly reviewed and updated and any resulting adjustments are included in the current period’s results. Reserves are closely monitored and are recomputed periodically using the most recent information on reported claims and a variety of statistical techniques. On at least a quarterly basis, the Company reviews by line of business existing reserves, new claims, changes to existing case reserves and paid losses with respect to the current and prior periods. Several methods are used, varying by line of business and accident year, in order to select the estimated period-end loss reserves. These methods include the following:</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15"/>
          <w:szCs w:val="15"/>
          <w:i w:val="1"/>
          <w:iCs w:val="1"/>
          <w:color w:val="auto"/>
        </w:rPr>
        <w:t xml:space="preserve">Paid Loss Development </w:t>
      </w:r>
      <w:r>
        <w:rPr>
          <w:rFonts w:ascii="Arial" w:cs="Arial" w:eastAsia="Arial" w:hAnsi="Arial"/>
          <w:sz w:val="15"/>
          <w:szCs w:val="15"/>
          <w:color w:val="auto"/>
        </w:rPr>
        <w:t>– historical patterns of paid loss development are used to project future paid loss emergence in order to estimate required reserves.</w:t>
      </w:r>
    </w:p>
    <w:p>
      <w:pPr>
        <w:spacing w:after="0" w:line="246" w:lineRule="exact"/>
        <w:rPr>
          <w:sz w:val="20"/>
          <w:szCs w:val="20"/>
          <w:color w:val="auto"/>
        </w:rPr>
      </w:pPr>
    </w:p>
    <w:p>
      <w:pPr>
        <w:jc w:val="both"/>
        <w:ind w:left="640"/>
        <w:spacing w:after="0" w:line="281" w:lineRule="auto"/>
        <w:rPr>
          <w:sz w:val="20"/>
          <w:szCs w:val="20"/>
          <w:color w:val="auto"/>
        </w:rPr>
      </w:pPr>
      <w:r>
        <w:rPr>
          <w:rFonts w:ascii="Arial" w:cs="Arial" w:eastAsia="Arial" w:hAnsi="Arial"/>
          <w:sz w:val="17"/>
          <w:szCs w:val="17"/>
          <w:i w:val="1"/>
          <w:iCs w:val="1"/>
          <w:color w:val="auto"/>
        </w:rPr>
        <w:t xml:space="preserve">Incurred Loss Development </w:t>
      </w:r>
      <w:r>
        <w:rPr>
          <w:rFonts w:ascii="Arial" w:cs="Arial" w:eastAsia="Arial" w:hAnsi="Arial"/>
          <w:sz w:val="17"/>
          <w:szCs w:val="17"/>
          <w:color w:val="auto"/>
        </w:rPr>
        <w:t>– historical patterns of incurred loss development, reflecting both paid losses and changes in case reserves, are used to project</w:t>
      </w:r>
      <w:r>
        <w:rPr>
          <w:rFonts w:ascii="Arial" w:cs="Arial" w:eastAsia="Arial" w:hAnsi="Arial"/>
          <w:sz w:val="17"/>
          <w:szCs w:val="17"/>
          <w:i w:val="1"/>
          <w:iCs w:val="1"/>
          <w:color w:val="auto"/>
        </w:rPr>
        <w:t xml:space="preserve"> </w:t>
      </w:r>
      <w:r>
        <w:rPr>
          <w:rFonts w:ascii="Arial" w:cs="Arial" w:eastAsia="Arial" w:hAnsi="Arial"/>
          <w:sz w:val="17"/>
          <w:szCs w:val="17"/>
          <w:color w:val="auto"/>
        </w:rPr>
        <w:t>future incurred loss emergence in order to estimate required reserves.</w:t>
      </w:r>
    </w:p>
    <w:p>
      <w:pPr>
        <w:spacing w:after="0" w:line="170" w:lineRule="exact"/>
        <w:rPr>
          <w:sz w:val="20"/>
          <w:szCs w:val="20"/>
          <w:color w:val="auto"/>
        </w:rPr>
      </w:pPr>
    </w:p>
    <w:p>
      <w:pPr>
        <w:jc w:val="both"/>
        <w:ind w:left="640"/>
        <w:spacing w:after="0" w:line="286" w:lineRule="auto"/>
        <w:rPr>
          <w:sz w:val="20"/>
          <w:szCs w:val="20"/>
          <w:color w:val="auto"/>
        </w:rPr>
      </w:pPr>
      <w:r>
        <w:rPr>
          <w:rFonts w:ascii="Arial" w:cs="Arial" w:eastAsia="Arial" w:hAnsi="Arial"/>
          <w:sz w:val="16"/>
          <w:szCs w:val="16"/>
          <w:i w:val="1"/>
          <w:iCs w:val="1"/>
          <w:color w:val="auto"/>
        </w:rPr>
        <w:t xml:space="preserve">Paid Bornhuetter-Ferguson (“BF”) </w:t>
      </w:r>
      <w:r>
        <w:rPr>
          <w:rFonts w:ascii="Arial" w:cs="Arial" w:eastAsia="Arial" w:hAnsi="Arial"/>
          <w:sz w:val="16"/>
          <w:szCs w:val="16"/>
          <w:color w:val="auto"/>
        </w:rPr>
        <w:t>– an estimated loss ratio for a particular accident year is determined, and is weighted against the portion of the accident</w:t>
      </w:r>
      <w:r>
        <w:rPr>
          <w:rFonts w:ascii="Arial" w:cs="Arial" w:eastAsia="Arial" w:hAnsi="Arial"/>
          <w:sz w:val="16"/>
          <w:szCs w:val="16"/>
          <w:i w:val="1"/>
          <w:iCs w:val="1"/>
          <w:color w:val="auto"/>
        </w:rPr>
        <w:t xml:space="preserve"> </w:t>
      </w:r>
      <w:r>
        <w:rPr>
          <w:rFonts w:ascii="Arial" w:cs="Arial" w:eastAsia="Arial" w:hAnsi="Arial"/>
          <w:sz w:val="16"/>
          <w:szCs w:val="16"/>
          <w:color w:val="auto"/>
        </w:rPr>
        <w:t>year claims that have been paid, based on historical paid loss development patterns. The estimate of required reserves assumes that the remaining unpaid portion of a particular accident year will pay out at a rate consistent with the estimated loss ratio for that year. This method can be useful for situations where an unusually high or low amount of paid losses exists at the early stages of the claims development process.</w:t>
      </w:r>
    </w:p>
    <w:p>
      <w:pPr>
        <w:spacing w:after="0" w:line="169" w:lineRule="exact"/>
        <w:rPr>
          <w:sz w:val="20"/>
          <w:szCs w:val="20"/>
          <w:color w:val="auto"/>
        </w:rPr>
      </w:pPr>
    </w:p>
    <w:p>
      <w:pPr>
        <w:jc w:val="both"/>
        <w:ind w:left="640"/>
        <w:spacing w:after="0" w:line="286" w:lineRule="auto"/>
        <w:rPr>
          <w:sz w:val="20"/>
          <w:szCs w:val="20"/>
          <w:color w:val="auto"/>
        </w:rPr>
      </w:pPr>
      <w:r>
        <w:rPr>
          <w:rFonts w:ascii="Arial" w:cs="Arial" w:eastAsia="Arial" w:hAnsi="Arial"/>
          <w:sz w:val="16"/>
          <w:szCs w:val="16"/>
          <w:i w:val="1"/>
          <w:iCs w:val="1"/>
          <w:color w:val="auto"/>
        </w:rPr>
        <w:t xml:space="preserve">Incurred Bornhuetter-Ferguson (“BF”) </w:t>
      </w:r>
      <w:r>
        <w:rPr>
          <w:rFonts w:ascii="Arial" w:cs="Arial" w:eastAsia="Arial" w:hAnsi="Arial"/>
          <w:sz w:val="16"/>
          <w:szCs w:val="16"/>
          <w:color w:val="auto"/>
        </w:rPr>
        <w:t>- an estimated loss ratio for a particular accident year is determined, and is weighted against the portion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accident year claims that have been reported, based on historical incurred loss development patterns. The estimate of required reserves assumes that the remaining unreported portion of a particular accident year will pay out at a rate consistent with the estimated loss ratio for that year. This method can be useful for situations where an unusually high or low amount of reported losses exists at the early stages of the claims development process.</w:t>
      </w:r>
    </w:p>
    <w:p>
      <w:pPr>
        <w:spacing w:after="0" w:line="169" w:lineRule="exact"/>
        <w:rPr>
          <w:sz w:val="20"/>
          <w:szCs w:val="20"/>
          <w:color w:val="auto"/>
        </w:rPr>
      </w:pPr>
    </w:p>
    <w:p>
      <w:pPr>
        <w:jc w:val="both"/>
        <w:ind w:left="640"/>
        <w:spacing w:after="0" w:line="311" w:lineRule="auto"/>
        <w:rPr>
          <w:sz w:val="20"/>
          <w:szCs w:val="20"/>
          <w:color w:val="auto"/>
        </w:rPr>
      </w:pPr>
      <w:r>
        <w:rPr>
          <w:rFonts w:ascii="Arial" w:cs="Arial" w:eastAsia="Arial" w:hAnsi="Arial"/>
          <w:sz w:val="15"/>
          <w:szCs w:val="15"/>
          <w:i w:val="1"/>
          <w:iCs w:val="1"/>
          <w:color w:val="auto"/>
        </w:rPr>
        <w:t xml:space="preserve">Incremental Claim-Based Methods </w:t>
      </w:r>
      <w:r>
        <w:rPr>
          <w:rFonts w:ascii="Arial" w:cs="Arial" w:eastAsia="Arial" w:hAnsi="Arial"/>
          <w:sz w:val="15"/>
          <w:szCs w:val="15"/>
          <w:color w:val="auto"/>
        </w:rPr>
        <w:t>– historical patterns of incremental incurred losses and paid LAE during various stages of development are reviewed and</w:t>
      </w:r>
      <w:r>
        <w:rPr>
          <w:rFonts w:ascii="Arial" w:cs="Arial" w:eastAsia="Arial" w:hAnsi="Arial"/>
          <w:sz w:val="15"/>
          <w:szCs w:val="15"/>
          <w:i w:val="1"/>
          <w:iCs w:val="1"/>
          <w:color w:val="auto"/>
        </w:rPr>
        <w:t xml:space="preserve"> </w:t>
      </w:r>
      <w:r>
        <w:rPr>
          <w:rFonts w:ascii="Arial" w:cs="Arial" w:eastAsia="Arial" w:hAnsi="Arial"/>
          <w:sz w:val="15"/>
          <w:szCs w:val="15"/>
          <w:color w:val="auto"/>
        </w:rPr>
        <w:t>assumptions are made regarding average loss and LAE development applied to remaining claims inventory. Such methods more properly reflect changes in the speed of claims closure and the relative adequacy of case reserve levels at various stages of development. These methods also provide a more accurate estimate of IBNR for lines of business with relatively few remaining open claims but for which significant recent settlement activity has occurred.</w:t>
      </w:r>
    </w:p>
    <w:p>
      <w:pPr>
        <w:spacing w:after="0" w:line="1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Management’s best estimate of required reserves is generally based on an average of the methods above, with appropriate weighting of the various methods based on the line of business and accident year being projected. In some cases, additional methods or historical data from industry sources are employed to supplement the projections derived from the methods listed above.</w:t>
      </w:r>
    </w:p>
    <w:p>
      <w:pPr>
        <w:spacing w:after="0" w:line="18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Two key assumptions that materially affect the estimate of loss reserves are the loss ratio estimate for the current accident year used in the BF methods described above, and the loss development factor selections used in the loss development methods described above. The loss ratio estimates used in the BF methods are selected after reviewing historical accident year loss ratios adjusted for rate changes, trend, and mix of business.</w:t>
      </w:r>
    </w:p>
    <w:p>
      <w:pPr>
        <w:spacing w:after="0" w:line="18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The Company is not aware of any claim trends that have emerged or that would cause future adverse development that have not already been considered in existing case reserves and in its current loss development factors.</w:t>
      </w:r>
    </w:p>
    <w:p>
      <w:pPr>
        <w:spacing w:after="0" w:line="17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 New York State, lawsuits for negligence are subject to certain limitations and must be commenced within three years from the date of the accident or are otherwise barred. Accordingly, the Company’s exposure to unreported claims (“pure” IBNR) for accident dates of June 30, 2016 and prior is limited, although there remains the possibility of adverse development on reported claims (“case development” IBNR). In certain rare circumstances states have retroactively revised a statute of limitations. The Company is not aware of any such effort that would have a material impact on the Company’s results.</w:t>
      </w:r>
    </w:p>
    <w:p>
      <w:pPr>
        <w:spacing w:after="0" w:line="18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following is information about incurred and paid claims development as of June 30, 2019, net of reinsurance, as well as the cumulative reported claims by accident year and total IBNR reserves as of June 30, 2019 included in the net incurred loss and allocated expense amounts. The historical information regarding incurred and paid claims development for the years ended December 31, 2010 to December 31, 2018 is presented as supplementary unaudited information.</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color w:val="auto"/>
        </w:rPr>
        <w:t>All Lines of Business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 thousands, except reported claims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As of</w:t>
            </w:r>
          </w:p>
        </w:tc>
      </w:tr>
      <w:tr>
        <w:trPr>
          <w:trHeight w:val="177"/>
        </w:trPr>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180" w:type="dxa"/>
            <w:vAlign w:val="bottom"/>
            <w:gridSpan w:val="22"/>
          </w:tcPr>
          <w:p>
            <w:pPr>
              <w:jc w:val="right"/>
              <w:ind w:right="380"/>
              <w:spacing w:after="0"/>
              <w:rPr>
                <w:sz w:val="20"/>
                <w:szCs w:val="20"/>
                <w:color w:val="auto"/>
              </w:rPr>
            </w:pPr>
            <w:r>
              <w:rPr>
                <w:rFonts w:ascii="Arial" w:cs="Arial" w:eastAsia="Arial" w:hAnsi="Arial"/>
                <w:sz w:val="14"/>
                <w:szCs w:val="14"/>
                <w:b w:val="1"/>
                <w:bCs w:val="1"/>
                <w:color w:val="auto"/>
                <w:w w:val="93"/>
              </w:rPr>
              <w:t>Incurred Loss and Allocated Loss Adjustment Expenses, Net of Reinsurance</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2"/>
              </w:rPr>
              <w:t>June 30, 2019</w:t>
            </w:r>
          </w:p>
        </w:tc>
      </w:tr>
      <w:tr>
        <w:trPr>
          <w:trHeight w:val="144"/>
        </w:trPr>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ind w:left="20"/>
              <w:spacing w:after="0" w:line="144" w:lineRule="exact"/>
              <w:rPr>
                <w:sz w:val="20"/>
                <w:szCs w:val="20"/>
                <w:color w:val="auto"/>
              </w:rPr>
            </w:pPr>
            <w:r>
              <w:rPr>
                <w:rFonts w:ascii="Arial" w:cs="Arial" w:eastAsia="Arial" w:hAnsi="Arial"/>
                <w:sz w:val="14"/>
                <w:szCs w:val="14"/>
                <w:b w:val="1"/>
                <w:bCs w:val="1"/>
                <w:color w:val="auto"/>
                <w:w w:val="90"/>
              </w:rPr>
              <w:t>Cumulative</w:t>
            </w:r>
          </w:p>
        </w:tc>
        <w:tc>
          <w:tcPr>
            <w:tcW w:w="160" w:type="dxa"/>
            <w:vAlign w:val="bottom"/>
            <w:gridSpan w:val="2"/>
          </w:tcPr>
          <w:p>
            <w:pPr>
              <w:spacing w:after="0"/>
              <w:rPr>
                <w:sz w:val="12"/>
                <w:szCs w:val="12"/>
                <w:color w:val="auto"/>
              </w:rPr>
            </w:pPr>
          </w:p>
        </w:tc>
      </w:tr>
      <w:tr>
        <w:trPr>
          <w:trHeight w:val="157"/>
        </w:trPr>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94"/>
              </w:rPr>
              <w:t>Six</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3"/>
          </w:tcPr>
          <w:p>
            <w:pPr>
              <w:ind w:left="20"/>
              <w:spacing w:after="0" w:line="157" w:lineRule="exact"/>
              <w:rPr>
                <w:sz w:val="20"/>
                <w:szCs w:val="20"/>
                <w:color w:val="auto"/>
              </w:rPr>
            </w:pPr>
            <w:r>
              <w:rPr>
                <w:rFonts w:ascii="Arial" w:cs="Arial" w:eastAsia="Arial" w:hAnsi="Arial"/>
                <w:sz w:val="14"/>
                <w:szCs w:val="14"/>
                <w:b w:val="1"/>
                <w:bCs w:val="1"/>
                <w:color w:val="auto"/>
              </w:rPr>
              <w:t>Number of</w:t>
            </w:r>
          </w:p>
        </w:tc>
      </w:tr>
      <w:tr>
        <w:trPr>
          <w:trHeight w:val="157"/>
        </w:trPr>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92"/>
              </w:rPr>
              <w:t>Months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3"/>
          </w:tcPr>
          <w:p>
            <w:pPr>
              <w:ind w:left="60"/>
              <w:spacing w:after="0" w:line="157" w:lineRule="exact"/>
              <w:rPr>
                <w:sz w:val="20"/>
                <w:szCs w:val="20"/>
                <w:color w:val="auto"/>
              </w:rPr>
            </w:pPr>
            <w:r>
              <w:rPr>
                <w:rFonts w:ascii="Arial" w:cs="Arial" w:eastAsia="Arial" w:hAnsi="Arial"/>
                <w:sz w:val="14"/>
                <w:szCs w:val="14"/>
                <w:b w:val="1"/>
                <w:bCs w:val="1"/>
                <w:color w:val="auto"/>
              </w:rPr>
              <w:t>Reported</w:t>
            </w:r>
          </w:p>
        </w:tc>
      </w:tr>
      <w:tr>
        <w:trPr>
          <w:trHeight w:val="157"/>
        </w:trPr>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3"/>
          </w:tcPr>
          <w:p>
            <w:pPr>
              <w:ind w:left="40"/>
              <w:spacing w:after="0" w:line="157" w:lineRule="exact"/>
              <w:rPr>
                <w:sz w:val="20"/>
                <w:szCs w:val="20"/>
                <w:color w:val="auto"/>
              </w:rPr>
            </w:pPr>
            <w:r>
              <w:rPr>
                <w:rFonts w:ascii="Arial" w:cs="Arial" w:eastAsia="Arial" w:hAnsi="Arial"/>
                <w:sz w:val="14"/>
                <w:szCs w:val="14"/>
                <w:b w:val="1"/>
                <w:bCs w:val="1"/>
                <w:color w:val="auto"/>
              </w:rPr>
              <w:t>Claims by</w:t>
            </w:r>
          </w:p>
        </w:tc>
      </w:tr>
      <w:tr>
        <w:trPr>
          <w:trHeight w:val="183"/>
        </w:trPr>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4"/>
              </w:rPr>
              <w:t>Accident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80" w:type="dxa"/>
            <w:vAlign w:val="bottom"/>
            <w:gridSpan w:val="10"/>
          </w:tcPr>
          <w:p>
            <w:pPr>
              <w:jc w:val="right"/>
              <w:ind w:right="280"/>
              <w:spacing w:after="0"/>
              <w:rPr>
                <w:sz w:val="20"/>
                <w:szCs w:val="20"/>
                <w:color w:val="auto"/>
              </w:rPr>
            </w:pPr>
            <w:r>
              <w:rPr>
                <w:rFonts w:ascii="Arial" w:cs="Arial" w:eastAsia="Arial" w:hAnsi="Arial"/>
                <w:sz w:val="14"/>
                <w:szCs w:val="14"/>
                <w:b w:val="1"/>
                <w:bCs w:val="1"/>
                <w:color w:val="auto"/>
                <w:w w:val="94"/>
              </w:rPr>
              <w:t>For the Years Ended December 31,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June 30,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3"/>
          </w:tcPr>
          <w:p>
            <w:pPr>
              <w:ind w:left="120"/>
              <w:spacing w:after="0"/>
              <w:rPr>
                <w:sz w:val="20"/>
                <w:szCs w:val="20"/>
                <w:color w:val="auto"/>
              </w:rPr>
            </w:pPr>
            <w:r>
              <w:rPr>
                <w:rFonts w:ascii="Arial" w:cs="Arial" w:eastAsia="Arial" w:hAnsi="Arial"/>
                <w:sz w:val="14"/>
                <w:szCs w:val="14"/>
                <w:b w:val="1"/>
                <w:bCs w:val="1"/>
                <w:color w:val="auto"/>
              </w:rPr>
              <w:t>Accident</w:t>
            </w:r>
          </w:p>
        </w:tc>
      </w:tr>
      <w:tr>
        <w:trPr>
          <w:trHeight w:val="177"/>
        </w:trPr>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Year</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89"/>
              </w:rPr>
              <w:t>2015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IBNR</w:t>
            </w:r>
          </w:p>
        </w:tc>
        <w:tc>
          <w:tcPr>
            <w:tcW w:w="200" w:type="dxa"/>
            <w:vAlign w:val="bottom"/>
          </w:tcPr>
          <w:p>
            <w:pPr>
              <w:spacing w:after="0"/>
              <w:rPr>
                <w:sz w:val="15"/>
                <w:szCs w:val="15"/>
                <w:color w:val="auto"/>
              </w:rPr>
            </w:pPr>
          </w:p>
        </w:tc>
        <w:tc>
          <w:tcPr>
            <w:tcW w:w="7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Year</w:t>
            </w:r>
          </w:p>
        </w:tc>
        <w:tc>
          <w:tcPr>
            <w:tcW w:w="160" w:type="dxa"/>
            <w:vAlign w:val="bottom"/>
            <w:gridSpan w:val="2"/>
          </w:tcPr>
          <w:p>
            <w:pPr>
              <w:spacing w:after="0"/>
              <w:rPr>
                <w:sz w:val="15"/>
                <w:szCs w:val="15"/>
                <w:color w:val="auto"/>
              </w:rPr>
            </w:pPr>
          </w:p>
        </w:tc>
      </w:tr>
      <w:tr>
        <w:trPr>
          <w:trHeight w:val="163"/>
        </w:trPr>
        <w:tc>
          <w:tcPr>
            <w:tcW w:w="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4"/>
          </w:tcPr>
          <w:p>
            <w:pPr>
              <w:jc w:val="right"/>
              <w:spacing w:after="0" w:line="157" w:lineRule="exact"/>
              <w:rPr>
                <w:sz w:val="20"/>
                <w:szCs w:val="20"/>
                <w:color w:val="auto"/>
              </w:rPr>
            </w:pPr>
            <w:r>
              <w:rPr>
                <w:rFonts w:ascii="Arial" w:cs="Arial" w:eastAsia="Arial" w:hAnsi="Arial"/>
                <w:sz w:val="14"/>
                <w:szCs w:val="14"/>
                <w:b w:val="1"/>
                <w:bCs w:val="1"/>
                <w:color w:val="auto"/>
                <w:w w:val="77"/>
              </w:rPr>
              <w:t>(Unaudited 2010</w:t>
            </w:r>
          </w:p>
        </w:tc>
        <w:tc>
          <w:tcPr>
            <w:tcW w:w="400" w:type="dxa"/>
            <w:vAlign w:val="bottom"/>
            <w:tcBorders>
              <w:bottom w:val="single" w:sz="8" w:color="auto"/>
            </w:tcBorders>
            <w:gridSpan w:val="3"/>
          </w:tcPr>
          <w:p>
            <w:pPr>
              <w:jc w:val="right"/>
              <w:spacing w:after="0" w:line="157" w:lineRule="exact"/>
              <w:rPr>
                <w:sz w:val="20"/>
                <w:szCs w:val="20"/>
                <w:color w:val="auto"/>
              </w:rPr>
            </w:pPr>
            <w:r>
              <w:rPr>
                <w:rFonts w:ascii="Arial" w:cs="Arial" w:eastAsia="Arial" w:hAnsi="Arial"/>
                <w:sz w:val="14"/>
                <w:szCs w:val="14"/>
                <w:b w:val="1"/>
                <w:bCs w:val="1"/>
                <w:color w:val="auto"/>
                <w:w w:val="85"/>
              </w:rPr>
              <w:t>- 2018)</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spacing w:after="0" w:line="157" w:lineRule="exact"/>
              <w:rPr>
                <w:sz w:val="20"/>
                <w:szCs w:val="20"/>
                <w:color w:val="auto"/>
              </w:rPr>
            </w:pPr>
            <w:r>
              <w:rPr>
                <w:rFonts w:ascii="Arial" w:cs="Arial" w:eastAsia="Arial" w:hAnsi="Arial"/>
                <w:sz w:val="14"/>
                <w:szCs w:val="14"/>
                <w:b w:val="1"/>
                <w:bCs w:val="1"/>
                <w:color w:val="auto"/>
                <w:w w:val="89"/>
              </w:rPr>
              <w:t>(Unaudited)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7"/>
        </w:trPr>
        <w:tc>
          <w:tcPr>
            <w:tcW w:w="600" w:type="dxa"/>
            <w:vAlign w:val="bottom"/>
            <w:shd w:val="clear" w:color="auto" w:fill="CCEEFF"/>
          </w:tcPr>
          <w:p>
            <w:pPr>
              <w:jc w:val="right"/>
              <w:ind w:right="88"/>
              <w:spacing w:after="0" w:line="157" w:lineRule="exact"/>
              <w:rPr>
                <w:sz w:val="20"/>
                <w:szCs w:val="20"/>
                <w:color w:val="auto"/>
              </w:rPr>
            </w:pPr>
            <w:r>
              <w:rPr>
                <w:rFonts w:ascii="Arial" w:cs="Arial" w:eastAsia="Arial" w:hAnsi="Arial"/>
                <w:sz w:val="14"/>
                <w:szCs w:val="14"/>
                <w:color w:val="auto"/>
              </w:rPr>
              <w:t>2010</w:t>
            </w:r>
          </w:p>
        </w:tc>
        <w:tc>
          <w:tcPr>
            <w:tcW w:w="24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5,598</w:t>
            </w:r>
          </w:p>
        </w:tc>
        <w:tc>
          <w:tcPr>
            <w:tcW w:w="24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5,707</w:t>
            </w:r>
          </w:p>
        </w:tc>
        <w:tc>
          <w:tcPr>
            <w:tcW w:w="24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6,429</w:t>
            </w:r>
          </w:p>
        </w:tc>
        <w:tc>
          <w:tcPr>
            <w:tcW w:w="22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6,623</w:t>
            </w:r>
          </w:p>
        </w:tc>
        <w:tc>
          <w:tcPr>
            <w:tcW w:w="24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6,912</w:t>
            </w:r>
          </w:p>
        </w:tc>
        <w:tc>
          <w:tcPr>
            <w:tcW w:w="3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6,853</w:t>
            </w:r>
          </w:p>
        </w:tc>
        <w:tc>
          <w:tcPr>
            <w:tcW w:w="26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6,838</w:t>
            </w:r>
          </w:p>
        </w:tc>
        <w:tc>
          <w:tcPr>
            <w:tcW w:w="24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6,840</w:t>
            </w:r>
          </w:p>
        </w:tc>
        <w:tc>
          <w:tcPr>
            <w:tcW w:w="24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0"/>
              <w:spacing w:after="0" w:line="157" w:lineRule="exact"/>
              <w:rPr>
                <w:sz w:val="20"/>
                <w:szCs w:val="20"/>
                <w:color w:val="auto"/>
              </w:rPr>
            </w:pPr>
            <w:r>
              <w:rPr>
                <w:rFonts w:ascii="Arial" w:cs="Arial" w:eastAsia="Arial" w:hAnsi="Arial"/>
                <w:sz w:val="14"/>
                <w:szCs w:val="14"/>
                <w:color w:val="auto"/>
              </w:rPr>
              <w:t>6,787</w:t>
            </w:r>
          </w:p>
        </w:tc>
        <w:tc>
          <w:tcPr>
            <w:tcW w:w="260" w:type="dxa"/>
            <w:vAlign w:val="bottom"/>
            <w:gridSpan w:val="2"/>
            <w:shd w:val="clear" w:color="auto" w:fill="CCEEFF"/>
          </w:tcPr>
          <w:p>
            <w:pPr>
              <w:ind w:left="160"/>
              <w:spacing w:after="0" w:line="157"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6,787</w:t>
            </w:r>
          </w:p>
        </w:tc>
        <w:tc>
          <w:tcPr>
            <w:tcW w:w="22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380"/>
              <w:spacing w:after="0" w:line="157" w:lineRule="exact"/>
              <w:rPr>
                <w:sz w:val="20"/>
                <w:szCs w:val="20"/>
                <w:color w:val="auto"/>
              </w:rPr>
            </w:pPr>
            <w:r>
              <w:rPr>
                <w:rFonts w:ascii="Arial" w:cs="Arial" w:eastAsia="Arial" w:hAnsi="Arial"/>
                <w:sz w:val="14"/>
                <w:szCs w:val="14"/>
                <w:color w:val="auto"/>
              </w:rPr>
              <w:t>1,617</w:t>
            </w:r>
          </w:p>
        </w:tc>
        <w:tc>
          <w:tcPr>
            <w:tcW w:w="80" w:type="dxa"/>
            <w:vAlign w:val="bottom"/>
          </w:tcPr>
          <w:p>
            <w:pPr>
              <w:spacing w:after="0"/>
              <w:rPr>
                <w:sz w:val="13"/>
                <w:szCs w:val="13"/>
                <w:color w:val="auto"/>
              </w:rPr>
            </w:pPr>
          </w:p>
        </w:tc>
      </w:tr>
      <w:tr>
        <w:trPr>
          <w:trHeight w:val="157"/>
        </w:trPr>
        <w:tc>
          <w:tcPr>
            <w:tcW w:w="600" w:type="dxa"/>
            <w:vAlign w:val="bottom"/>
          </w:tcPr>
          <w:p>
            <w:pPr>
              <w:jc w:val="right"/>
              <w:ind w:right="88"/>
              <w:spacing w:after="0" w:line="157" w:lineRule="exact"/>
              <w:rPr>
                <w:sz w:val="20"/>
                <w:szCs w:val="20"/>
                <w:color w:val="auto"/>
              </w:rPr>
            </w:pPr>
            <w:r>
              <w:rPr>
                <w:rFonts w:ascii="Arial" w:cs="Arial" w:eastAsia="Arial" w:hAnsi="Arial"/>
                <w:sz w:val="14"/>
                <w:szCs w:val="14"/>
                <w:color w:val="auto"/>
              </w:rPr>
              <w:t>2011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7,603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7,678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8"/>
              <w:spacing w:after="0" w:line="157" w:lineRule="exact"/>
              <w:rPr>
                <w:sz w:val="20"/>
                <w:szCs w:val="20"/>
                <w:color w:val="auto"/>
              </w:rPr>
            </w:pPr>
            <w:r>
              <w:rPr>
                <w:rFonts w:ascii="Arial" w:cs="Arial" w:eastAsia="Arial" w:hAnsi="Arial"/>
                <w:sz w:val="14"/>
                <w:szCs w:val="14"/>
                <w:color w:val="auto"/>
              </w:rPr>
              <w:t>8,618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8"/>
              <w:spacing w:after="0" w:line="157" w:lineRule="exact"/>
              <w:rPr>
                <w:sz w:val="20"/>
                <w:szCs w:val="20"/>
                <w:color w:val="auto"/>
              </w:rPr>
            </w:pPr>
            <w:r>
              <w:rPr>
                <w:rFonts w:ascii="Arial" w:cs="Arial" w:eastAsia="Arial" w:hAnsi="Arial"/>
                <w:sz w:val="14"/>
                <w:szCs w:val="14"/>
                <w:color w:val="auto"/>
              </w:rPr>
              <w:t>9,440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9,198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9,066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9,144</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9,171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9,181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37</w:t>
            </w:r>
          </w:p>
        </w:tc>
        <w:tc>
          <w:tcPr>
            <w:tcW w:w="800" w:type="dxa"/>
            <w:vAlign w:val="bottom"/>
            <w:gridSpan w:val="2"/>
          </w:tcPr>
          <w:p>
            <w:pPr>
              <w:ind w:left="380"/>
              <w:spacing w:after="0" w:line="157" w:lineRule="exact"/>
              <w:rPr>
                <w:sz w:val="20"/>
                <w:szCs w:val="20"/>
                <w:color w:val="auto"/>
              </w:rPr>
            </w:pPr>
            <w:r>
              <w:rPr>
                <w:rFonts w:ascii="Arial" w:cs="Arial" w:eastAsia="Arial" w:hAnsi="Arial"/>
                <w:sz w:val="14"/>
                <w:szCs w:val="14"/>
                <w:color w:val="auto"/>
              </w:rPr>
              <w:t>1,914</w:t>
            </w:r>
          </w:p>
        </w:tc>
        <w:tc>
          <w:tcPr>
            <w:tcW w:w="80" w:type="dxa"/>
            <w:vAlign w:val="bottom"/>
          </w:tcPr>
          <w:p>
            <w:pPr>
              <w:spacing w:after="0"/>
              <w:rPr>
                <w:sz w:val="13"/>
                <w:szCs w:val="13"/>
                <w:color w:val="auto"/>
              </w:rPr>
            </w:pPr>
          </w:p>
        </w:tc>
      </w:tr>
      <w:tr>
        <w:trPr>
          <w:trHeight w:val="157"/>
        </w:trPr>
        <w:tc>
          <w:tcPr>
            <w:tcW w:w="600" w:type="dxa"/>
            <w:vAlign w:val="bottom"/>
            <w:shd w:val="clear" w:color="auto" w:fill="CCEEFF"/>
          </w:tcPr>
          <w:p>
            <w:pPr>
              <w:jc w:val="right"/>
              <w:ind w:right="88"/>
              <w:spacing w:after="0" w:line="157" w:lineRule="exact"/>
              <w:rPr>
                <w:sz w:val="20"/>
                <w:szCs w:val="20"/>
                <w:color w:val="auto"/>
              </w:rPr>
            </w:pPr>
            <w:r>
              <w:rPr>
                <w:rFonts w:ascii="Arial" w:cs="Arial" w:eastAsia="Arial" w:hAnsi="Arial"/>
                <w:sz w:val="14"/>
                <w:szCs w:val="14"/>
                <w:color w:val="auto"/>
              </w:rPr>
              <w:t>2012</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9,539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9,344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10,278</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10,382</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10,582</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10,790</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
              <w:spacing w:after="0" w:line="157" w:lineRule="exact"/>
              <w:rPr>
                <w:sz w:val="20"/>
                <w:szCs w:val="20"/>
                <w:color w:val="auto"/>
              </w:rPr>
            </w:pPr>
            <w:r>
              <w:rPr>
                <w:rFonts w:ascii="Arial" w:cs="Arial" w:eastAsia="Arial" w:hAnsi="Arial"/>
                <w:sz w:val="14"/>
                <w:szCs w:val="14"/>
                <w:color w:val="auto"/>
              </w:rPr>
              <w:t>10,791</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11,030</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80"/>
              <w:spacing w:after="0" w:line="157" w:lineRule="exact"/>
              <w:rPr>
                <w:sz w:val="20"/>
                <w:szCs w:val="20"/>
                <w:color w:val="auto"/>
              </w:rPr>
            </w:pPr>
            <w:r>
              <w:rPr>
                <w:rFonts w:ascii="Arial" w:cs="Arial" w:eastAsia="Arial" w:hAnsi="Arial"/>
                <w:sz w:val="14"/>
                <w:szCs w:val="14"/>
                <w:color w:val="auto"/>
              </w:rPr>
              <w:t>42</w:t>
            </w:r>
          </w:p>
        </w:tc>
        <w:tc>
          <w:tcPr>
            <w:tcW w:w="800" w:type="dxa"/>
            <w:vAlign w:val="bottom"/>
            <w:gridSpan w:val="2"/>
            <w:shd w:val="clear" w:color="auto" w:fill="CCEEFF"/>
          </w:tcPr>
          <w:p>
            <w:pPr>
              <w:ind w:left="380"/>
              <w:spacing w:after="0" w:line="157" w:lineRule="exact"/>
              <w:rPr>
                <w:sz w:val="20"/>
                <w:szCs w:val="20"/>
                <w:color w:val="auto"/>
              </w:rPr>
            </w:pPr>
            <w:r>
              <w:rPr>
                <w:rFonts w:ascii="Arial" w:cs="Arial" w:eastAsia="Arial" w:hAnsi="Arial"/>
                <w:sz w:val="14"/>
                <w:szCs w:val="14"/>
                <w:color w:val="auto"/>
                <w:w w:val="76"/>
              </w:rPr>
              <w:t>4,704(1)</w:t>
            </w:r>
          </w:p>
        </w:tc>
        <w:tc>
          <w:tcPr>
            <w:tcW w:w="80" w:type="dxa"/>
            <w:vAlign w:val="bottom"/>
          </w:tcPr>
          <w:p>
            <w:pPr>
              <w:spacing w:after="0"/>
              <w:rPr>
                <w:sz w:val="13"/>
                <w:szCs w:val="13"/>
                <w:color w:val="auto"/>
              </w:rPr>
            </w:pPr>
          </w:p>
        </w:tc>
      </w:tr>
      <w:tr>
        <w:trPr>
          <w:trHeight w:val="157"/>
        </w:trPr>
        <w:tc>
          <w:tcPr>
            <w:tcW w:w="600" w:type="dxa"/>
            <w:vAlign w:val="bottom"/>
          </w:tcPr>
          <w:p>
            <w:pPr>
              <w:jc w:val="right"/>
              <w:ind w:right="88"/>
              <w:spacing w:after="0" w:line="157" w:lineRule="exact"/>
              <w:rPr>
                <w:sz w:val="20"/>
                <w:szCs w:val="20"/>
                <w:color w:val="auto"/>
              </w:rPr>
            </w:pPr>
            <w:r>
              <w:rPr>
                <w:rFonts w:ascii="Arial" w:cs="Arial" w:eastAsia="Arial" w:hAnsi="Arial"/>
                <w:sz w:val="14"/>
                <w:szCs w:val="14"/>
                <w:color w:val="auto"/>
              </w:rPr>
              <w:t>2013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8"/>
              <w:spacing w:after="0" w:line="157" w:lineRule="exact"/>
              <w:rPr>
                <w:sz w:val="20"/>
                <w:szCs w:val="20"/>
                <w:color w:val="auto"/>
              </w:rPr>
            </w:pPr>
            <w:r>
              <w:rPr>
                <w:rFonts w:ascii="Arial" w:cs="Arial" w:eastAsia="Arial" w:hAnsi="Arial"/>
                <w:sz w:val="14"/>
                <w:szCs w:val="14"/>
                <w:color w:val="auto"/>
              </w:rPr>
              <w:t>10,728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8"/>
              <w:spacing w:after="0" w:line="157" w:lineRule="exact"/>
              <w:rPr>
                <w:sz w:val="20"/>
                <w:szCs w:val="20"/>
                <w:color w:val="auto"/>
              </w:rPr>
            </w:pPr>
            <w:r>
              <w:rPr>
                <w:rFonts w:ascii="Arial" w:cs="Arial" w:eastAsia="Arial" w:hAnsi="Arial"/>
                <w:sz w:val="14"/>
                <w:szCs w:val="14"/>
                <w:color w:val="auto"/>
              </w:rPr>
              <w:t>9,745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9,424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9,621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10,061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10,089</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10,464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67</w:t>
            </w:r>
          </w:p>
        </w:tc>
        <w:tc>
          <w:tcPr>
            <w:tcW w:w="800" w:type="dxa"/>
            <w:vAlign w:val="bottom"/>
            <w:gridSpan w:val="2"/>
          </w:tcPr>
          <w:p>
            <w:pPr>
              <w:ind w:left="380"/>
              <w:spacing w:after="0" w:line="157" w:lineRule="exact"/>
              <w:rPr>
                <w:sz w:val="20"/>
                <w:szCs w:val="20"/>
                <w:color w:val="auto"/>
              </w:rPr>
            </w:pPr>
            <w:r>
              <w:rPr>
                <w:rFonts w:ascii="Arial" w:cs="Arial" w:eastAsia="Arial" w:hAnsi="Arial"/>
                <w:sz w:val="14"/>
                <w:szCs w:val="14"/>
                <w:color w:val="auto"/>
              </w:rPr>
              <w:t>1,561</w:t>
            </w:r>
          </w:p>
        </w:tc>
        <w:tc>
          <w:tcPr>
            <w:tcW w:w="80" w:type="dxa"/>
            <w:vAlign w:val="bottom"/>
          </w:tcPr>
          <w:p>
            <w:pPr>
              <w:spacing w:after="0"/>
              <w:rPr>
                <w:sz w:val="13"/>
                <w:szCs w:val="13"/>
                <w:color w:val="auto"/>
              </w:rPr>
            </w:pPr>
          </w:p>
        </w:tc>
      </w:tr>
      <w:tr>
        <w:trPr>
          <w:trHeight w:val="157"/>
        </w:trPr>
        <w:tc>
          <w:tcPr>
            <w:tcW w:w="600" w:type="dxa"/>
            <w:vAlign w:val="bottom"/>
            <w:shd w:val="clear" w:color="auto" w:fill="CCEEFF"/>
          </w:tcPr>
          <w:p>
            <w:pPr>
              <w:jc w:val="right"/>
              <w:ind w:right="88"/>
              <w:spacing w:after="0" w:line="157" w:lineRule="exact"/>
              <w:rPr>
                <w:sz w:val="20"/>
                <w:szCs w:val="20"/>
                <w:color w:val="auto"/>
              </w:rPr>
            </w:pPr>
            <w:r>
              <w:rPr>
                <w:rFonts w:ascii="Arial" w:cs="Arial" w:eastAsia="Arial" w:hAnsi="Arial"/>
                <w:sz w:val="14"/>
                <w:szCs w:val="14"/>
                <w:color w:val="auto"/>
              </w:rPr>
              <w:t>2014</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14,193</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14,260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14,218</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14,564</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
              <w:spacing w:after="0" w:line="157" w:lineRule="exact"/>
              <w:rPr>
                <w:sz w:val="20"/>
                <w:szCs w:val="20"/>
                <w:color w:val="auto"/>
              </w:rPr>
            </w:pPr>
            <w:r>
              <w:rPr>
                <w:rFonts w:ascii="Arial" w:cs="Arial" w:eastAsia="Arial" w:hAnsi="Arial"/>
                <w:sz w:val="14"/>
                <w:szCs w:val="14"/>
                <w:color w:val="auto"/>
              </w:rPr>
              <w:t>15,023</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16,294</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80"/>
              <w:spacing w:after="0" w:line="157" w:lineRule="exact"/>
              <w:rPr>
                <w:sz w:val="20"/>
                <w:szCs w:val="20"/>
                <w:color w:val="auto"/>
              </w:rPr>
            </w:pPr>
            <w:r>
              <w:rPr>
                <w:rFonts w:ascii="Arial" w:cs="Arial" w:eastAsia="Arial" w:hAnsi="Arial"/>
                <w:sz w:val="14"/>
                <w:szCs w:val="14"/>
                <w:color w:val="auto"/>
              </w:rPr>
              <w:t>176</w:t>
            </w:r>
          </w:p>
        </w:tc>
        <w:tc>
          <w:tcPr>
            <w:tcW w:w="800" w:type="dxa"/>
            <w:vAlign w:val="bottom"/>
            <w:gridSpan w:val="2"/>
            <w:shd w:val="clear" w:color="auto" w:fill="CCEEFF"/>
          </w:tcPr>
          <w:p>
            <w:pPr>
              <w:ind w:left="380"/>
              <w:spacing w:after="0" w:line="157" w:lineRule="exact"/>
              <w:rPr>
                <w:sz w:val="20"/>
                <w:szCs w:val="20"/>
                <w:color w:val="auto"/>
              </w:rPr>
            </w:pPr>
            <w:r>
              <w:rPr>
                <w:rFonts w:ascii="Arial" w:cs="Arial" w:eastAsia="Arial" w:hAnsi="Arial"/>
                <w:sz w:val="14"/>
                <w:szCs w:val="14"/>
                <w:color w:val="auto"/>
              </w:rPr>
              <w:t>2,133</w:t>
            </w:r>
          </w:p>
        </w:tc>
        <w:tc>
          <w:tcPr>
            <w:tcW w:w="80" w:type="dxa"/>
            <w:vAlign w:val="bottom"/>
          </w:tcPr>
          <w:p>
            <w:pPr>
              <w:spacing w:after="0"/>
              <w:rPr>
                <w:sz w:val="13"/>
                <w:szCs w:val="13"/>
                <w:color w:val="auto"/>
              </w:rPr>
            </w:pPr>
          </w:p>
        </w:tc>
      </w:tr>
      <w:tr>
        <w:trPr>
          <w:trHeight w:val="157"/>
        </w:trPr>
        <w:tc>
          <w:tcPr>
            <w:tcW w:w="600" w:type="dxa"/>
            <w:vAlign w:val="bottom"/>
          </w:tcPr>
          <w:p>
            <w:pPr>
              <w:jc w:val="right"/>
              <w:ind w:right="88"/>
              <w:spacing w:after="0" w:line="157" w:lineRule="exact"/>
              <w:rPr>
                <w:sz w:val="20"/>
                <w:szCs w:val="20"/>
                <w:color w:val="auto"/>
              </w:rPr>
            </w:pPr>
            <w:r>
              <w:rPr>
                <w:rFonts w:ascii="Arial" w:cs="Arial" w:eastAsia="Arial" w:hAnsi="Arial"/>
                <w:sz w:val="14"/>
                <w:szCs w:val="14"/>
                <w:color w:val="auto"/>
              </w:rPr>
              <w:t>2015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22,340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21,994</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22,148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22,491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23,133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123</w:t>
            </w:r>
          </w:p>
        </w:tc>
        <w:tc>
          <w:tcPr>
            <w:tcW w:w="800" w:type="dxa"/>
            <w:vAlign w:val="bottom"/>
            <w:gridSpan w:val="2"/>
          </w:tcPr>
          <w:p>
            <w:pPr>
              <w:ind w:left="380"/>
              <w:spacing w:after="0" w:line="157" w:lineRule="exact"/>
              <w:rPr>
                <w:sz w:val="20"/>
                <w:szCs w:val="20"/>
                <w:color w:val="auto"/>
              </w:rPr>
            </w:pPr>
            <w:r>
              <w:rPr>
                <w:rFonts w:ascii="Arial" w:cs="Arial" w:eastAsia="Arial" w:hAnsi="Arial"/>
                <w:sz w:val="14"/>
                <w:szCs w:val="14"/>
                <w:color w:val="auto"/>
              </w:rPr>
              <w:t>2,555</w:t>
            </w:r>
          </w:p>
        </w:tc>
        <w:tc>
          <w:tcPr>
            <w:tcW w:w="80" w:type="dxa"/>
            <w:vAlign w:val="bottom"/>
          </w:tcPr>
          <w:p>
            <w:pPr>
              <w:spacing w:after="0"/>
              <w:rPr>
                <w:sz w:val="13"/>
                <w:szCs w:val="13"/>
                <w:color w:val="auto"/>
              </w:rPr>
            </w:pPr>
          </w:p>
        </w:tc>
      </w:tr>
      <w:tr>
        <w:trPr>
          <w:trHeight w:val="157"/>
        </w:trPr>
        <w:tc>
          <w:tcPr>
            <w:tcW w:w="600" w:type="dxa"/>
            <w:vAlign w:val="bottom"/>
            <w:shd w:val="clear" w:color="auto" w:fill="CCEEFF"/>
          </w:tcPr>
          <w:p>
            <w:pPr>
              <w:jc w:val="right"/>
              <w:ind w:right="88"/>
              <w:spacing w:after="0" w:line="157" w:lineRule="exact"/>
              <w:rPr>
                <w:sz w:val="20"/>
                <w:szCs w:val="20"/>
                <w:color w:val="auto"/>
              </w:rPr>
            </w:pPr>
            <w:r>
              <w:rPr>
                <w:rFonts w:ascii="Arial" w:cs="Arial" w:eastAsia="Arial" w:hAnsi="Arial"/>
                <w:sz w:val="14"/>
                <w:szCs w:val="14"/>
                <w:color w:val="auto"/>
              </w:rPr>
              <w:t>2016</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26,062</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24,941</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
              <w:spacing w:after="0" w:line="157" w:lineRule="exact"/>
              <w:rPr>
                <w:sz w:val="20"/>
                <w:szCs w:val="20"/>
                <w:color w:val="auto"/>
              </w:rPr>
            </w:pPr>
            <w:r>
              <w:rPr>
                <w:rFonts w:ascii="Arial" w:cs="Arial" w:eastAsia="Arial" w:hAnsi="Arial"/>
                <w:sz w:val="14"/>
                <w:szCs w:val="14"/>
                <w:color w:val="auto"/>
              </w:rPr>
              <w:t>24,789</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27,112</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80"/>
              <w:spacing w:after="0" w:line="157" w:lineRule="exact"/>
              <w:rPr>
                <w:sz w:val="20"/>
                <w:szCs w:val="20"/>
                <w:color w:val="auto"/>
              </w:rPr>
            </w:pPr>
            <w:r>
              <w:rPr>
                <w:rFonts w:ascii="Arial" w:cs="Arial" w:eastAsia="Arial" w:hAnsi="Arial"/>
                <w:sz w:val="14"/>
                <w:szCs w:val="14"/>
                <w:color w:val="auto"/>
              </w:rPr>
              <w:t>68</w:t>
            </w:r>
          </w:p>
        </w:tc>
        <w:tc>
          <w:tcPr>
            <w:tcW w:w="800" w:type="dxa"/>
            <w:vAlign w:val="bottom"/>
            <w:gridSpan w:val="2"/>
            <w:shd w:val="clear" w:color="auto" w:fill="CCEEFF"/>
          </w:tcPr>
          <w:p>
            <w:pPr>
              <w:ind w:left="380"/>
              <w:spacing w:after="0" w:line="157" w:lineRule="exact"/>
              <w:rPr>
                <w:sz w:val="20"/>
                <w:szCs w:val="20"/>
                <w:color w:val="auto"/>
              </w:rPr>
            </w:pPr>
            <w:r>
              <w:rPr>
                <w:rFonts w:ascii="Arial" w:cs="Arial" w:eastAsia="Arial" w:hAnsi="Arial"/>
                <w:sz w:val="14"/>
                <w:szCs w:val="14"/>
                <w:color w:val="auto"/>
              </w:rPr>
              <w:t>2,868</w:t>
            </w:r>
          </w:p>
        </w:tc>
        <w:tc>
          <w:tcPr>
            <w:tcW w:w="80" w:type="dxa"/>
            <w:vAlign w:val="bottom"/>
          </w:tcPr>
          <w:p>
            <w:pPr>
              <w:spacing w:after="0"/>
              <w:rPr>
                <w:sz w:val="13"/>
                <w:szCs w:val="13"/>
                <w:color w:val="auto"/>
              </w:rPr>
            </w:pPr>
          </w:p>
        </w:tc>
      </w:tr>
      <w:tr>
        <w:trPr>
          <w:trHeight w:val="157"/>
        </w:trPr>
        <w:tc>
          <w:tcPr>
            <w:tcW w:w="600" w:type="dxa"/>
            <w:vAlign w:val="bottom"/>
          </w:tcPr>
          <w:p>
            <w:pPr>
              <w:jc w:val="right"/>
              <w:ind w:right="88"/>
              <w:spacing w:after="0" w:line="157" w:lineRule="exact"/>
              <w:rPr>
                <w:sz w:val="20"/>
                <w:szCs w:val="20"/>
                <w:color w:val="auto"/>
              </w:rPr>
            </w:pPr>
            <w:r>
              <w:rPr>
                <w:rFonts w:ascii="Arial" w:cs="Arial" w:eastAsia="Arial" w:hAnsi="Arial"/>
                <w:sz w:val="14"/>
                <w:szCs w:val="14"/>
                <w:color w:val="auto"/>
              </w:rPr>
              <w:t>2017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31,605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32,169</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33,895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895</w:t>
            </w:r>
          </w:p>
        </w:tc>
        <w:tc>
          <w:tcPr>
            <w:tcW w:w="800" w:type="dxa"/>
            <w:vAlign w:val="bottom"/>
            <w:gridSpan w:val="2"/>
          </w:tcPr>
          <w:p>
            <w:pPr>
              <w:ind w:left="380"/>
              <w:spacing w:after="0" w:line="157" w:lineRule="exact"/>
              <w:rPr>
                <w:sz w:val="20"/>
                <w:szCs w:val="20"/>
                <w:color w:val="auto"/>
              </w:rPr>
            </w:pPr>
            <w:r>
              <w:rPr>
                <w:rFonts w:ascii="Arial" w:cs="Arial" w:eastAsia="Arial" w:hAnsi="Arial"/>
                <w:sz w:val="14"/>
                <w:szCs w:val="14"/>
                <w:color w:val="auto"/>
              </w:rPr>
              <w:t>3,364</w:t>
            </w:r>
          </w:p>
        </w:tc>
        <w:tc>
          <w:tcPr>
            <w:tcW w:w="80" w:type="dxa"/>
            <w:vAlign w:val="bottom"/>
          </w:tcPr>
          <w:p>
            <w:pPr>
              <w:spacing w:after="0"/>
              <w:rPr>
                <w:sz w:val="13"/>
                <w:szCs w:val="13"/>
                <w:color w:val="auto"/>
              </w:rPr>
            </w:pPr>
          </w:p>
        </w:tc>
      </w:tr>
      <w:tr>
        <w:trPr>
          <w:trHeight w:val="157"/>
        </w:trPr>
        <w:tc>
          <w:tcPr>
            <w:tcW w:w="600" w:type="dxa"/>
            <w:vAlign w:val="bottom"/>
            <w:shd w:val="clear" w:color="auto" w:fill="CCEEFF"/>
          </w:tcPr>
          <w:p>
            <w:pPr>
              <w:jc w:val="right"/>
              <w:ind w:right="88"/>
              <w:spacing w:after="0" w:line="157" w:lineRule="exact"/>
              <w:rPr>
                <w:sz w:val="20"/>
                <w:szCs w:val="20"/>
                <w:color w:val="auto"/>
              </w:rPr>
            </w:pPr>
            <w:r>
              <w:rPr>
                <w:rFonts w:ascii="Arial" w:cs="Arial" w:eastAsia="Arial" w:hAnsi="Arial"/>
                <w:sz w:val="14"/>
                <w:szCs w:val="14"/>
                <w:color w:val="auto"/>
              </w:rPr>
              <w:t>2018</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
              <w:spacing w:after="0" w:line="157" w:lineRule="exact"/>
              <w:rPr>
                <w:sz w:val="20"/>
                <w:szCs w:val="20"/>
                <w:color w:val="auto"/>
              </w:rPr>
            </w:pPr>
            <w:r>
              <w:rPr>
                <w:rFonts w:ascii="Arial" w:cs="Arial" w:eastAsia="Arial" w:hAnsi="Arial"/>
                <w:sz w:val="14"/>
                <w:szCs w:val="14"/>
                <w:color w:val="auto"/>
              </w:rPr>
              <w:t>54,455</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54,067</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80"/>
              <w:spacing w:after="0" w:line="157" w:lineRule="exact"/>
              <w:rPr>
                <w:sz w:val="20"/>
                <w:szCs w:val="20"/>
                <w:color w:val="auto"/>
              </w:rPr>
            </w:pPr>
            <w:r>
              <w:rPr>
                <w:rFonts w:ascii="Arial" w:cs="Arial" w:eastAsia="Arial" w:hAnsi="Arial"/>
                <w:sz w:val="14"/>
                <w:szCs w:val="14"/>
                <w:color w:val="auto"/>
              </w:rPr>
              <w:t>3,944</w:t>
            </w:r>
          </w:p>
        </w:tc>
        <w:tc>
          <w:tcPr>
            <w:tcW w:w="800" w:type="dxa"/>
            <w:vAlign w:val="bottom"/>
            <w:gridSpan w:val="2"/>
            <w:shd w:val="clear" w:color="auto" w:fill="CCEEFF"/>
          </w:tcPr>
          <w:p>
            <w:pPr>
              <w:ind w:left="380"/>
              <w:spacing w:after="0" w:line="157" w:lineRule="exact"/>
              <w:rPr>
                <w:sz w:val="20"/>
                <w:szCs w:val="20"/>
                <w:color w:val="auto"/>
              </w:rPr>
            </w:pPr>
            <w:r>
              <w:rPr>
                <w:rFonts w:ascii="Arial" w:cs="Arial" w:eastAsia="Arial" w:hAnsi="Arial"/>
                <w:sz w:val="14"/>
                <w:szCs w:val="14"/>
                <w:color w:val="auto"/>
              </w:rPr>
              <w:t>4,137</w:t>
            </w:r>
          </w:p>
        </w:tc>
        <w:tc>
          <w:tcPr>
            <w:tcW w:w="80" w:type="dxa"/>
            <w:vAlign w:val="bottom"/>
          </w:tcPr>
          <w:p>
            <w:pPr>
              <w:spacing w:after="0"/>
              <w:rPr>
                <w:sz w:val="13"/>
                <w:szCs w:val="13"/>
                <w:color w:val="auto"/>
              </w:rPr>
            </w:pPr>
          </w:p>
        </w:tc>
      </w:tr>
      <w:tr>
        <w:trPr>
          <w:trHeight w:val="157"/>
        </w:trPr>
        <w:tc>
          <w:tcPr>
            <w:tcW w:w="600" w:type="dxa"/>
            <w:vAlign w:val="bottom"/>
          </w:tcPr>
          <w:p>
            <w:pPr>
              <w:jc w:val="right"/>
              <w:ind w:right="88"/>
              <w:spacing w:after="0" w:line="157" w:lineRule="exact"/>
              <w:rPr>
                <w:sz w:val="20"/>
                <w:szCs w:val="20"/>
                <w:color w:val="auto"/>
              </w:rPr>
            </w:pPr>
            <w:r>
              <w:rPr>
                <w:rFonts w:ascii="Arial" w:cs="Arial" w:eastAsia="Arial" w:hAnsi="Arial"/>
                <w:sz w:val="14"/>
                <w:szCs w:val="14"/>
                <w:color w:val="auto"/>
              </w:rPr>
              <w:t>2019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38,622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13,451</w:t>
            </w:r>
          </w:p>
        </w:tc>
        <w:tc>
          <w:tcPr>
            <w:tcW w:w="800" w:type="dxa"/>
            <w:vAlign w:val="bottom"/>
            <w:gridSpan w:val="2"/>
          </w:tcPr>
          <w:p>
            <w:pPr>
              <w:ind w:left="380"/>
              <w:spacing w:after="0" w:line="157" w:lineRule="exact"/>
              <w:rPr>
                <w:sz w:val="20"/>
                <w:szCs w:val="20"/>
                <w:color w:val="auto"/>
              </w:rPr>
            </w:pPr>
            <w:r>
              <w:rPr>
                <w:rFonts w:ascii="Arial" w:cs="Arial" w:eastAsia="Arial" w:hAnsi="Arial"/>
                <w:sz w:val="14"/>
                <w:szCs w:val="14"/>
                <w:color w:val="auto"/>
              </w:rPr>
              <w:t>1,865</w:t>
            </w:r>
          </w:p>
        </w:tc>
        <w:tc>
          <w:tcPr>
            <w:tcW w:w="80" w:type="dxa"/>
            <w:vAlign w:val="bottom"/>
          </w:tcPr>
          <w:p>
            <w:pPr>
              <w:spacing w:after="0"/>
              <w:rPr>
                <w:sz w:val="13"/>
                <w:szCs w:val="13"/>
                <w:color w:val="auto"/>
              </w:rPr>
            </w:pPr>
          </w:p>
        </w:tc>
      </w:tr>
      <w:tr>
        <w:trPr>
          <w:trHeight w:val="26"/>
        </w:trPr>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57"/>
        </w:trPr>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
              <w:spacing w:after="0" w:line="157" w:lineRule="exact"/>
              <w:rPr>
                <w:sz w:val="20"/>
                <w:szCs w:val="20"/>
                <w:color w:val="auto"/>
              </w:rPr>
            </w:pPr>
            <w:r>
              <w:rPr>
                <w:rFonts w:ascii="Arial" w:cs="Arial" w:eastAsia="Arial" w:hAnsi="Arial"/>
                <w:sz w:val="14"/>
                <w:szCs w:val="14"/>
                <w:b w:val="1"/>
                <w:bCs w:val="1"/>
                <w:color w:val="auto"/>
              </w:rPr>
              <w:t>Total</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230,585</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tcPr>
          <w:p>
            <w:pPr>
              <w:spacing w:after="0"/>
              <w:rPr>
                <w:sz w:val="13"/>
                <w:szCs w:val="13"/>
                <w:color w:val="auto"/>
              </w:rPr>
            </w:pPr>
          </w:p>
        </w:tc>
      </w:tr>
      <w:tr>
        <w:trPr>
          <w:trHeight w:val="26"/>
        </w:trPr>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tcPr>
          <w:p>
            <w:pPr>
              <w:spacing w:after="0"/>
              <w:rPr>
                <w:sz w:val="2"/>
                <w:szCs w:val="2"/>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(1)  Reported claims for accident year 2012 includes 3,406 claims from Superstorm Sandy.</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All Lines of Business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80" w:type="dxa"/>
            <w:vAlign w:val="bottom"/>
            <w:tcBorders>
              <w:bottom w:val="single" w:sz="8" w:color="auto"/>
            </w:tcBorders>
            <w:gridSpan w:val="16"/>
          </w:tcPr>
          <w:p>
            <w:pPr>
              <w:jc w:val="right"/>
              <w:ind w:right="448"/>
              <w:spacing w:after="0"/>
              <w:rPr>
                <w:sz w:val="20"/>
                <w:szCs w:val="20"/>
                <w:color w:val="auto"/>
              </w:rPr>
            </w:pPr>
            <w:r>
              <w:rPr>
                <w:rFonts w:ascii="Arial" w:cs="Arial" w:eastAsia="Arial" w:hAnsi="Arial"/>
                <w:sz w:val="14"/>
                <w:szCs w:val="14"/>
                <w:b w:val="1"/>
                <w:bCs w:val="1"/>
                <w:color w:val="auto"/>
                <w:w w:val="98"/>
              </w:rPr>
              <w:t>Cumulative Paid Loss and Allocated Loss Adjustment Expenses, Net of Reinsurance</w:t>
            </w: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4"/>
        </w:trPr>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3"/>
              </w:rPr>
              <w:t>Six Months</w:t>
            </w:r>
          </w:p>
        </w:tc>
        <w:tc>
          <w:tcPr>
            <w:tcW w:w="100" w:type="dxa"/>
            <w:vAlign w:val="bottom"/>
          </w:tcPr>
          <w:p>
            <w:pPr>
              <w:spacing w:after="0"/>
              <w:rPr>
                <w:sz w:val="12"/>
                <w:szCs w:val="12"/>
                <w:color w:val="auto"/>
              </w:rPr>
            </w:pPr>
          </w:p>
        </w:tc>
      </w:tr>
      <w:tr>
        <w:trPr>
          <w:trHeight w:val="157"/>
        </w:trPr>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93"/>
              </w:rPr>
              <w:t>Ended</w:t>
            </w:r>
          </w:p>
        </w:tc>
      </w:tr>
      <w:tr>
        <w:trPr>
          <w:trHeight w:val="183"/>
        </w:trPr>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4"/>
              </w:rPr>
              <w:t>Accident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40" w:type="dxa"/>
            <w:vAlign w:val="bottom"/>
            <w:gridSpan w:val="7"/>
          </w:tcPr>
          <w:p>
            <w:pPr>
              <w:jc w:val="right"/>
              <w:ind w:right="348"/>
              <w:spacing w:after="0"/>
              <w:rPr>
                <w:sz w:val="20"/>
                <w:szCs w:val="20"/>
                <w:color w:val="auto"/>
              </w:rPr>
            </w:pPr>
            <w:r>
              <w:rPr>
                <w:rFonts w:ascii="Arial" w:cs="Arial" w:eastAsia="Arial" w:hAnsi="Arial"/>
                <w:sz w:val="14"/>
                <w:szCs w:val="14"/>
                <w:b w:val="1"/>
                <w:bCs w:val="1"/>
                <w:color w:val="auto"/>
              </w:rPr>
              <w:t>For the Years Ended December 31,</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June 30,</w:t>
            </w:r>
          </w:p>
        </w:tc>
      </w:tr>
      <w:tr>
        <w:trPr>
          <w:trHeight w:val="203"/>
        </w:trPr>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7"/>
                <w:szCs w:val="17"/>
                <w:color w:val="auto"/>
              </w:rPr>
            </w:pPr>
          </w:p>
        </w:tc>
      </w:tr>
      <w:tr>
        <w:trPr>
          <w:trHeight w:val="163"/>
        </w:trPr>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spacing w:after="0" w:line="157" w:lineRule="exact"/>
              <w:rPr>
                <w:sz w:val="20"/>
                <w:szCs w:val="20"/>
                <w:color w:val="auto"/>
              </w:rPr>
            </w:pPr>
            <w:r>
              <w:rPr>
                <w:rFonts w:ascii="Arial" w:cs="Arial" w:eastAsia="Arial" w:hAnsi="Arial"/>
                <w:sz w:val="14"/>
                <w:szCs w:val="14"/>
                <w:b w:val="1"/>
                <w:bCs w:val="1"/>
                <w:color w:val="auto"/>
                <w:w w:val="87"/>
              </w:rPr>
              <w:t>(Unaudited 2010 -</w:t>
            </w:r>
          </w:p>
        </w:tc>
        <w:tc>
          <w:tcPr>
            <w:tcW w:w="400" w:type="dxa"/>
            <w:vAlign w:val="bottom"/>
            <w:tcBorders>
              <w:bottom w:val="single" w:sz="8" w:color="auto"/>
            </w:tcBorders>
            <w:gridSpan w:val="2"/>
          </w:tcPr>
          <w:p>
            <w:pPr>
              <w:jc w:val="right"/>
              <w:ind w:right="80"/>
              <w:spacing w:after="0" w:line="157" w:lineRule="exact"/>
              <w:rPr>
                <w:sz w:val="20"/>
                <w:szCs w:val="20"/>
                <w:color w:val="auto"/>
              </w:rPr>
            </w:pPr>
            <w:r>
              <w:rPr>
                <w:rFonts w:ascii="Arial" w:cs="Arial" w:eastAsia="Arial" w:hAnsi="Arial"/>
                <w:sz w:val="14"/>
                <w:szCs w:val="14"/>
                <w:b w:val="1"/>
                <w:bCs w:val="1"/>
                <w:color w:val="auto"/>
                <w:w w:val="83"/>
              </w:rPr>
              <w:t>2018)</w:t>
            </w: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w w:val="97"/>
              </w:rPr>
              <w:t>(Unaudited)</w:t>
            </w:r>
          </w:p>
        </w:tc>
        <w:tc>
          <w:tcPr>
            <w:tcW w:w="100" w:type="dxa"/>
            <w:vAlign w:val="bottom"/>
          </w:tcPr>
          <w:p>
            <w:pPr>
              <w:spacing w:after="0"/>
              <w:rPr>
                <w:sz w:val="14"/>
                <w:szCs w:val="14"/>
                <w:color w:val="auto"/>
              </w:rPr>
            </w:pPr>
          </w:p>
        </w:tc>
      </w:tr>
      <w:tr>
        <w:trPr>
          <w:trHeight w:val="157"/>
        </w:trPr>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6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2010</w:t>
            </w:r>
          </w:p>
        </w:tc>
        <w:tc>
          <w:tcPr>
            <w:tcW w:w="280" w:type="dxa"/>
            <w:vAlign w:val="bottom"/>
            <w:gridSpan w:val="3"/>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2,566</w:t>
            </w:r>
          </w:p>
        </w:tc>
        <w:tc>
          <w:tcPr>
            <w:tcW w:w="40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3,947</w:t>
            </w:r>
          </w:p>
        </w:tc>
        <w:tc>
          <w:tcPr>
            <w:tcW w:w="38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4,972</w:t>
            </w:r>
          </w:p>
        </w:tc>
        <w:tc>
          <w:tcPr>
            <w:tcW w:w="40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5,602</w:t>
            </w:r>
          </w:p>
        </w:tc>
        <w:tc>
          <w:tcPr>
            <w:tcW w:w="38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6,323</w:t>
            </w:r>
          </w:p>
        </w:tc>
        <w:tc>
          <w:tcPr>
            <w:tcW w:w="40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6,576</w:t>
            </w:r>
          </w:p>
        </w:tc>
        <w:tc>
          <w:tcPr>
            <w:tcW w:w="40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6,720</w:t>
            </w:r>
          </w:p>
        </w:tc>
        <w:tc>
          <w:tcPr>
            <w:tcW w:w="40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6,772</w:t>
            </w:r>
          </w:p>
        </w:tc>
        <w:tc>
          <w:tcPr>
            <w:tcW w:w="4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6,780</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6,780</w:t>
            </w:r>
          </w:p>
        </w:tc>
        <w:tc>
          <w:tcPr>
            <w:tcW w:w="100" w:type="dxa"/>
            <w:vAlign w:val="bottom"/>
            <w:shd w:val="clear" w:color="auto" w:fill="CCEEFF"/>
          </w:tcPr>
          <w:p>
            <w:pPr>
              <w:spacing w:after="0"/>
              <w:rPr>
                <w:sz w:val="13"/>
                <w:szCs w:val="13"/>
                <w:color w:val="auto"/>
              </w:rPr>
            </w:pPr>
          </w:p>
        </w:tc>
      </w:tr>
      <w:tr>
        <w:trPr>
          <w:trHeight w:val="157"/>
        </w:trPr>
        <w:tc>
          <w:tcPr>
            <w:tcW w:w="640" w:type="dxa"/>
            <w:vAlign w:val="bottom"/>
          </w:tcPr>
          <w:p>
            <w:pPr>
              <w:jc w:val="center"/>
              <w:spacing w:after="0" w:line="157" w:lineRule="exact"/>
              <w:rPr>
                <w:sz w:val="20"/>
                <w:szCs w:val="20"/>
                <w:color w:val="auto"/>
              </w:rPr>
            </w:pPr>
            <w:r>
              <w:rPr>
                <w:rFonts w:ascii="Arial" w:cs="Arial" w:eastAsia="Arial" w:hAnsi="Arial"/>
                <w:sz w:val="14"/>
                <w:szCs w:val="14"/>
                <w:color w:val="auto"/>
                <w:w w:val="89"/>
              </w:rPr>
              <w:t>2011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3,740</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5,117</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6,228</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line="157" w:lineRule="exact"/>
              <w:rPr>
                <w:sz w:val="20"/>
                <w:szCs w:val="20"/>
                <w:color w:val="auto"/>
              </w:rPr>
            </w:pPr>
            <w:r>
              <w:rPr>
                <w:rFonts w:ascii="Arial" w:cs="Arial" w:eastAsia="Arial" w:hAnsi="Arial"/>
                <w:sz w:val="14"/>
                <w:szCs w:val="14"/>
                <w:color w:val="auto"/>
              </w:rPr>
              <w:t>7,170</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8,139</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8,540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8,702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line="157" w:lineRule="exact"/>
              <w:rPr>
                <w:sz w:val="20"/>
                <w:szCs w:val="20"/>
                <w:color w:val="auto"/>
              </w:rPr>
            </w:pPr>
            <w:r>
              <w:rPr>
                <w:rFonts w:ascii="Arial" w:cs="Arial" w:eastAsia="Arial" w:hAnsi="Arial"/>
                <w:sz w:val="14"/>
                <w:szCs w:val="14"/>
                <w:color w:val="auto"/>
              </w:rPr>
              <w:t>8,727</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8,773</w:t>
            </w:r>
          </w:p>
        </w:tc>
        <w:tc>
          <w:tcPr>
            <w:tcW w:w="100" w:type="dxa"/>
            <w:vAlign w:val="bottom"/>
          </w:tcPr>
          <w:p>
            <w:pPr>
              <w:spacing w:after="0"/>
              <w:rPr>
                <w:sz w:val="13"/>
                <w:szCs w:val="13"/>
                <w:color w:val="auto"/>
              </w:rPr>
            </w:pPr>
          </w:p>
        </w:tc>
      </w:tr>
      <w:tr>
        <w:trPr>
          <w:trHeight w:val="157"/>
        </w:trPr>
        <w:tc>
          <w:tcPr>
            <w:tcW w:w="6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2012</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3,950</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5,770</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7,127</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8,196</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9,187</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10,236</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10,323</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10,420</w:t>
            </w:r>
          </w:p>
        </w:tc>
        <w:tc>
          <w:tcPr>
            <w:tcW w:w="100" w:type="dxa"/>
            <w:vAlign w:val="bottom"/>
            <w:shd w:val="clear" w:color="auto" w:fill="CCEEFF"/>
          </w:tcPr>
          <w:p>
            <w:pPr>
              <w:spacing w:after="0"/>
              <w:rPr>
                <w:sz w:val="13"/>
                <w:szCs w:val="13"/>
                <w:color w:val="auto"/>
              </w:rPr>
            </w:pPr>
          </w:p>
        </w:tc>
      </w:tr>
      <w:tr>
        <w:trPr>
          <w:trHeight w:val="157"/>
        </w:trPr>
        <w:tc>
          <w:tcPr>
            <w:tcW w:w="640" w:type="dxa"/>
            <w:vAlign w:val="bottom"/>
          </w:tcPr>
          <w:p>
            <w:pPr>
              <w:jc w:val="center"/>
              <w:spacing w:after="0" w:line="157" w:lineRule="exact"/>
              <w:rPr>
                <w:sz w:val="20"/>
                <w:szCs w:val="20"/>
                <w:color w:val="auto"/>
              </w:rPr>
            </w:pPr>
            <w:r>
              <w:rPr>
                <w:rFonts w:ascii="Arial" w:cs="Arial" w:eastAsia="Arial" w:hAnsi="Arial"/>
                <w:sz w:val="14"/>
                <w:szCs w:val="14"/>
                <w:color w:val="auto"/>
                <w:w w:val="89"/>
              </w:rPr>
              <w:t>2013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3,405</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line="157" w:lineRule="exact"/>
              <w:rPr>
                <w:sz w:val="20"/>
                <w:szCs w:val="20"/>
                <w:color w:val="auto"/>
              </w:rPr>
            </w:pPr>
            <w:r>
              <w:rPr>
                <w:rFonts w:ascii="Arial" w:cs="Arial" w:eastAsia="Arial" w:hAnsi="Arial"/>
                <w:sz w:val="14"/>
                <w:szCs w:val="14"/>
                <w:color w:val="auto"/>
              </w:rPr>
              <w:t>5,303</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6,633</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7,591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8,407</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line="157" w:lineRule="exact"/>
              <w:rPr>
                <w:sz w:val="20"/>
                <w:szCs w:val="20"/>
                <w:color w:val="auto"/>
              </w:rPr>
            </w:pPr>
            <w:r>
              <w:rPr>
                <w:rFonts w:ascii="Arial" w:cs="Arial" w:eastAsia="Arial" w:hAnsi="Arial"/>
                <w:sz w:val="14"/>
                <w:szCs w:val="14"/>
                <w:color w:val="auto"/>
              </w:rPr>
              <w:t>9,056</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9,212</w:t>
            </w:r>
          </w:p>
        </w:tc>
        <w:tc>
          <w:tcPr>
            <w:tcW w:w="100" w:type="dxa"/>
            <w:vAlign w:val="bottom"/>
          </w:tcPr>
          <w:p>
            <w:pPr>
              <w:spacing w:after="0"/>
              <w:rPr>
                <w:sz w:val="13"/>
                <w:szCs w:val="13"/>
                <w:color w:val="auto"/>
              </w:rPr>
            </w:pPr>
          </w:p>
        </w:tc>
      </w:tr>
      <w:tr>
        <w:trPr>
          <w:trHeight w:val="157"/>
        </w:trPr>
        <w:tc>
          <w:tcPr>
            <w:tcW w:w="6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2014</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5,710</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9,429</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10,738</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11,770</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13,819</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14,031</w:t>
            </w:r>
          </w:p>
        </w:tc>
        <w:tc>
          <w:tcPr>
            <w:tcW w:w="100" w:type="dxa"/>
            <w:vAlign w:val="bottom"/>
            <w:shd w:val="clear" w:color="auto" w:fill="CCEEFF"/>
          </w:tcPr>
          <w:p>
            <w:pPr>
              <w:spacing w:after="0"/>
              <w:rPr>
                <w:sz w:val="13"/>
                <w:szCs w:val="13"/>
                <w:color w:val="auto"/>
              </w:rPr>
            </w:pPr>
          </w:p>
        </w:tc>
      </w:tr>
      <w:tr>
        <w:trPr>
          <w:trHeight w:val="157"/>
        </w:trPr>
        <w:tc>
          <w:tcPr>
            <w:tcW w:w="640" w:type="dxa"/>
            <w:vAlign w:val="bottom"/>
          </w:tcPr>
          <w:p>
            <w:pPr>
              <w:jc w:val="center"/>
              <w:spacing w:after="0" w:line="157" w:lineRule="exact"/>
              <w:rPr>
                <w:sz w:val="20"/>
                <w:szCs w:val="20"/>
                <w:color w:val="auto"/>
              </w:rPr>
            </w:pPr>
            <w:r>
              <w:rPr>
                <w:rFonts w:ascii="Arial" w:cs="Arial" w:eastAsia="Arial" w:hAnsi="Arial"/>
                <w:sz w:val="14"/>
                <w:szCs w:val="14"/>
                <w:color w:val="auto"/>
                <w:w w:val="89"/>
              </w:rPr>
              <w:t>2015</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12,295</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16,181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18,266</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line="157" w:lineRule="exact"/>
              <w:rPr>
                <w:sz w:val="20"/>
                <w:szCs w:val="20"/>
                <w:color w:val="auto"/>
              </w:rPr>
            </w:pPr>
            <w:r>
              <w:rPr>
                <w:rFonts w:ascii="Arial" w:cs="Arial" w:eastAsia="Arial" w:hAnsi="Arial"/>
                <w:sz w:val="14"/>
                <w:szCs w:val="14"/>
                <w:color w:val="auto"/>
              </w:rPr>
              <w:t>19,984</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20,326</w:t>
            </w:r>
          </w:p>
        </w:tc>
        <w:tc>
          <w:tcPr>
            <w:tcW w:w="100" w:type="dxa"/>
            <w:vAlign w:val="bottom"/>
          </w:tcPr>
          <w:p>
            <w:pPr>
              <w:spacing w:after="0"/>
              <w:rPr>
                <w:sz w:val="13"/>
                <w:szCs w:val="13"/>
                <w:color w:val="auto"/>
              </w:rPr>
            </w:pPr>
          </w:p>
        </w:tc>
      </w:tr>
      <w:tr>
        <w:trPr>
          <w:trHeight w:val="157"/>
        </w:trPr>
        <w:tc>
          <w:tcPr>
            <w:tcW w:w="6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2016</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15,364</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19,001</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21,106</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21,910</w:t>
            </w:r>
          </w:p>
        </w:tc>
        <w:tc>
          <w:tcPr>
            <w:tcW w:w="100" w:type="dxa"/>
            <w:vAlign w:val="bottom"/>
            <w:shd w:val="clear" w:color="auto" w:fill="CCEEFF"/>
          </w:tcPr>
          <w:p>
            <w:pPr>
              <w:spacing w:after="0"/>
              <w:rPr>
                <w:sz w:val="13"/>
                <w:szCs w:val="13"/>
                <w:color w:val="auto"/>
              </w:rPr>
            </w:pPr>
          </w:p>
        </w:tc>
      </w:tr>
      <w:tr>
        <w:trPr>
          <w:trHeight w:val="157"/>
        </w:trPr>
        <w:tc>
          <w:tcPr>
            <w:tcW w:w="640" w:type="dxa"/>
            <w:vAlign w:val="bottom"/>
          </w:tcPr>
          <w:p>
            <w:pPr>
              <w:jc w:val="center"/>
              <w:spacing w:after="0" w:line="157" w:lineRule="exact"/>
              <w:rPr>
                <w:sz w:val="20"/>
                <w:szCs w:val="20"/>
                <w:color w:val="auto"/>
              </w:rPr>
            </w:pPr>
            <w:r>
              <w:rPr>
                <w:rFonts w:ascii="Arial" w:cs="Arial" w:eastAsia="Arial" w:hAnsi="Arial"/>
                <w:sz w:val="14"/>
                <w:szCs w:val="14"/>
                <w:color w:val="auto"/>
                <w:w w:val="89"/>
              </w:rPr>
              <w:t>2017</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16,704</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line="157" w:lineRule="exact"/>
              <w:rPr>
                <w:sz w:val="20"/>
                <w:szCs w:val="20"/>
                <w:color w:val="auto"/>
              </w:rPr>
            </w:pPr>
            <w:r>
              <w:rPr>
                <w:rFonts w:ascii="Arial" w:cs="Arial" w:eastAsia="Arial" w:hAnsi="Arial"/>
                <w:sz w:val="14"/>
                <w:szCs w:val="14"/>
                <w:color w:val="auto"/>
              </w:rPr>
              <w:t>24,820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27,024</w:t>
            </w:r>
          </w:p>
        </w:tc>
        <w:tc>
          <w:tcPr>
            <w:tcW w:w="100" w:type="dxa"/>
            <w:vAlign w:val="bottom"/>
          </w:tcPr>
          <w:p>
            <w:pPr>
              <w:spacing w:after="0"/>
              <w:rPr>
                <w:sz w:val="13"/>
                <w:szCs w:val="13"/>
                <w:color w:val="auto"/>
              </w:rPr>
            </w:pPr>
          </w:p>
        </w:tc>
      </w:tr>
      <w:tr>
        <w:trPr>
          <w:trHeight w:val="157"/>
        </w:trPr>
        <w:tc>
          <w:tcPr>
            <w:tcW w:w="6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2018</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32,383</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41,894</w:t>
            </w:r>
          </w:p>
        </w:tc>
        <w:tc>
          <w:tcPr>
            <w:tcW w:w="100" w:type="dxa"/>
            <w:vAlign w:val="bottom"/>
            <w:shd w:val="clear" w:color="auto" w:fill="CCEEFF"/>
          </w:tcPr>
          <w:p>
            <w:pPr>
              <w:spacing w:after="0"/>
              <w:rPr>
                <w:sz w:val="13"/>
                <w:szCs w:val="13"/>
                <w:color w:val="auto"/>
              </w:rPr>
            </w:pPr>
          </w:p>
        </w:tc>
      </w:tr>
      <w:tr>
        <w:trPr>
          <w:trHeight w:val="163"/>
        </w:trPr>
        <w:tc>
          <w:tcPr>
            <w:tcW w:w="640" w:type="dxa"/>
            <w:vAlign w:val="bottom"/>
          </w:tcPr>
          <w:p>
            <w:pPr>
              <w:jc w:val="center"/>
              <w:spacing w:after="0" w:line="157" w:lineRule="exact"/>
              <w:rPr>
                <w:sz w:val="20"/>
                <w:szCs w:val="20"/>
                <w:color w:val="auto"/>
              </w:rPr>
            </w:pPr>
            <w:r>
              <w:rPr>
                <w:rFonts w:ascii="Arial" w:cs="Arial" w:eastAsia="Arial" w:hAnsi="Arial"/>
                <w:sz w:val="14"/>
                <w:szCs w:val="14"/>
                <w:color w:val="auto"/>
                <w:w w:val="89"/>
              </w:rPr>
              <w:t>2019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18,803</w:t>
            </w:r>
          </w:p>
        </w:tc>
        <w:tc>
          <w:tcPr>
            <w:tcW w:w="100" w:type="dxa"/>
            <w:vAlign w:val="bottom"/>
          </w:tcPr>
          <w:p>
            <w:pPr>
              <w:spacing w:after="0"/>
              <w:rPr>
                <w:sz w:val="14"/>
                <w:szCs w:val="14"/>
                <w:color w:val="auto"/>
              </w:rPr>
            </w:pPr>
          </w:p>
        </w:tc>
      </w:tr>
      <w:tr>
        <w:trPr>
          <w:trHeight w:val="163"/>
        </w:trPr>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gridSpan w:val="2"/>
            <w:shd w:val="clear" w:color="auto" w:fill="CCEEFF"/>
          </w:tcPr>
          <w:p>
            <w:pPr>
              <w:jc w:val="right"/>
              <w:ind w:right="480"/>
              <w:spacing w:after="0" w:line="157" w:lineRule="exact"/>
              <w:rPr>
                <w:sz w:val="20"/>
                <w:szCs w:val="20"/>
                <w:color w:val="auto"/>
              </w:rPr>
            </w:pPr>
            <w:r>
              <w:rPr>
                <w:rFonts w:ascii="Arial" w:cs="Arial" w:eastAsia="Arial" w:hAnsi="Arial"/>
                <w:sz w:val="14"/>
                <w:szCs w:val="14"/>
                <w:b w:val="1"/>
                <w:bCs w:val="1"/>
                <w:color w:val="auto"/>
              </w:rPr>
              <w:t>Total</w:t>
            </w:r>
          </w:p>
        </w:tc>
        <w:tc>
          <w:tcPr>
            <w:tcW w:w="8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179,173</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57"/>
        </w:trPr>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spacing w:after="0"/>
              <w:rPr>
                <w:sz w:val="13"/>
                <w:szCs w:val="13"/>
                <w:color w:val="auto"/>
              </w:rPr>
            </w:pPr>
          </w:p>
        </w:tc>
        <w:tc>
          <w:tcPr>
            <w:tcW w:w="1080" w:type="dxa"/>
            <w:vAlign w:val="bottom"/>
            <w:gridSpan w:val="3"/>
          </w:tcPr>
          <w:p>
            <w:pPr>
              <w:spacing w:after="0"/>
              <w:rPr>
                <w:sz w:val="13"/>
                <w:szCs w:val="13"/>
                <w:color w:val="auto"/>
              </w:rPr>
            </w:pPr>
          </w:p>
        </w:tc>
        <w:tc>
          <w:tcPr>
            <w:tcW w:w="1080" w:type="dxa"/>
            <w:vAlign w:val="bottom"/>
            <w:gridSpan w:val="3"/>
          </w:tcPr>
          <w:p>
            <w:pPr>
              <w:spacing w:after="0"/>
              <w:rPr>
                <w:sz w:val="13"/>
                <w:szCs w:val="13"/>
                <w:color w:val="auto"/>
              </w:rPr>
            </w:pPr>
          </w:p>
        </w:tc>
        <w:tc>
          <w:tcPr>
            <w:tcW w:w="1100" w:type="dxa"/>
            <w:vAlign w:val="bottom"/>
            <w:gridSpan w:val="3"/>
          </w:tcPr>
          <w:p>
            <w:pPr>
              <w:spacing w:after="0"/>
              <w:rPr>
                <w:sz w:val="13"/>
                <w:szCs w:val="13"/>
                <w:color w:val="auto"/>
              </w:rPr>
            </w:pPr>
          </w:p>
        </w:tc>
        <w:tc>
          <w:tcPr>
            <w:tcW w:w="1080" w:type="dxa"/>
            <w:vAlign w:val="bottom"/>
            <w:gridSpan w:val="3"/>
          </w:tcPr>
          <w:p>
            <w:pPr>
              <w:spacing w:after="0"/>
              <w:rPr>
                <w:sz w:val="13"/>
                <w:szCs w:val="13"/>
                <w:color w:val="auto"/>
              </w:rPr>
            </w:pPr>
          </w:p>
        </w:tc>
        <w:tc>
          <w:tcPr>
            <w:tcW w:w="88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300" w:type="dxa"/>
            <w:vAlign w:val="bottom"/>
            <w:gridSpan w:val="17"/>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w w:val="99"/>
              </w:rPr>
              <w:t>Net liability for unpaid loss and allocated loss adjustment expenses for the accident years presented</w:t>
            </w:r>
          </w:p>
        </w:tc>
        <w:tc>
          <w:tcPr>
            <w:tcW w:w="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51,412</w:t>
            </w:r>
          </w:p>
        </w:tc>
        <w:tc>
          <w:tcPr>
            <w:tcW w:w="100" w:type="dxa"/>
            <w:vAlign w:val="bottom"/>
            <w:shd w:val="clear" w:color="auto" w:fill="CCEEFF"/>
          </w:tcPr>
          <w:p>
            <w:pPr>
              <w:spacing w:after="0"/>
              <w:rPr>
                <w:sz w:val="13"/>
                <w:szCs w:val="13"/>
                <w:color w:val="auto"/>
              </w:rPr>
            </w:pPr>
          </w:p>
        </w:tc>
      </w:tr>
      <w:tr>
        <w:trPr>
          <w:trHeight w:val="163"/>
        </w:trPr>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60" w:type="dxa"/>
            <w:vAlign w:val="bottom"/>
            <w:gridSpan w:val="10"/>
          </w:tcPr>
          <w:p>
            <w:pPr>
              <w:jc w:val="right"/>
              <w:ind w:right="140"/>
              <w:spacing w:after="0" w:line="157" w:lineRule="exact"/>
              <w:rPr>
                <w:sz w:val="20"/>
                <w:szCs w:val="20"/>
                <w:color w:val="auto"/>
              </w:rPr>
            </w:pPr>
            <w:r>
              <w:rPr>
                <w:rFonts w:ascii="Arial" w:cs="Arial" w:eastAsia="Arial" w:hAnsi="Arial"/>
                <w:sz w:val="14"/>
                <w:szCs w:val="14"/>
                <w:color w:val="auto"/>
                <w:w w:val="95"/>
              </w:rPr>
              <w:t>All outstanding liabilities before 2010, net of reinsurance</w:t>
            </w: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107</w:t>
            </w:r>
          </w:p>
        </w:tc>
        <w:tc>
          <w:tcPr>
            <w:tcW w:w="100" w:type="dxa"/>
            <w:vAlign w:val="bottom"/>
          </w:tcPr>
          <w:p>
            <w:pPr>
              <w:spacing w:after="0"/>
              <w:rPr>
                <w:sz w:val="14"/>
                <w:szCs w:val="14"/>
                <w:color w:val="auto"/>
              </w:rPr>
            </w:pPr>
          </w:p>
        </w:tc>
      </w:tr>
      <w:tr>
        <w:trPr>
          <w:trHeight w:val="197"/>
        </w:trPr>
        <w:tc>
          <w:tcPr>
            <w:tcW w:w="6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5240" w:type="dxa"/>
            <w:vAlign w:val="bottom"/>
            <w:tcBorders>
              <w:bottom w:val="single" w:sz="8" w:color="CCEEFF"/>
            </w:tcBorders>
            <w:gridSpan w:val="14"/>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Liabilities for loss and allocated loss adjustment expenses, net of reinsurance</w:t>
            </w:r>
          </w:p>
        </w:tc>
        <w:tc>
          <w:tcPr>
            <w:tcW w:w="8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51,519</w:t>
            </w:r>
          </w:p>
        </w:tc>
        <w:tc>
          <w:tcPr>
            <w:tcW w:w="100" w:type="dxa"/>
            <w:vAlign w:val="bottom"/>
            <w:tcBorders>
              <w:bottom w:val="single" w:sz="8" w:color="CCEEFF"/>
            </w:tcBorders>
            <w:shd w:val="clear" w:color="auto" w:fill="CCEEFF"/>
          </w:tcPr>
          <w:p>
            <w:pPr>
              <w:spacing w:after="0"/>
              <w:rPr>
                <w:sz w:val="17"/>
                <w:szCs w:val="17"/>
                <w:color w:val="auto"/>
              </w:rPr>
            </w:pPr>
          </w:p>
        </w:tc>
      </w:tr>
    </w:tbl>
    <w:p>
      <w:pPr>
        <w:spacing w:after="0" w:line="201" w:lineRule="exact"/>
        <w:rPr>
          <w:sz w:val="20"/>
          <w:szCs w:val="20"/>
          <w:color w:val="auto"/>
        </w:rPr>
      </w:pPr>
    </w:p>
    <w:p>
      <w:pPr>
        <w:jc w:val="both"/>
        <w:ind w:right="80"/>
        <w:spacing w:after="0" w:line="314" w:lineRule="auto"/>
        <w:rPr>
          <w:sz w:val="20"/>
          <w:szCs w:val="20"/>
          <w:color w:val="auto"/>
        </w:rPr>
      </w:pPr>
      <w:r>
        <w:rPr>
          <w:rFonts w:ascii="Arial" w:cs="Arial" w:eastAsia="Arial" w:hAnsi="Arial"/>
          <w:sz w:val="16"/>
          <w:szCs w:val="16"/>
          <w:color w:val="auto"/>
        </w:rPr>
        <w:t>Reported claim counts are measured on an occurrence or per event basis. A single claim occurrence could result in more than one loss type or claimant; however, the Company counts claims at the occurrence level as a single claim regardless of the number of claimants or claim features involved.</w:t>
      </w:r>
    </w:p>
    <w:p>
      <w:pPr>
        <w:spacing w:after="0" w:line="303"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500"/>
          </w:cols>
          <w:pgMar w:left="240" w:top="493" w:right="159" w:bottom="1440" w:gutter="0" w:footer="0" w:header="0"/>
        </w:sectPr>
      </w:pPr>
    </w:p>
    <w:bookmarkStart w:id="28" w:name="page29"/>
    <w:bookmarkEnd w:id="28"/>
    <w:p>
      <w:pPr>
        <w:spacing w:after="0"/>
        <w:rPr>
          <w:sz w:val="20"/>
          <w:szCs w:val="20"/>
          <w:color w:val="auto"/>
        </w:rPr>
      </w:pPr>
      <w:r>
        <w:rPr>
          <w:rFonts w:ascii="Arial" w:cs="Arial" w:eastAsia="Arial" w:hAnsi="Arial"/>
          <w:sz w:val="17"/>
          <w:szCs w:val="17"/>
          <w:color w:val="auto"/>
        </w:rPr>
        <w:t>The reconciliation of the net incurred and paid loss development tables to the loss and LAE reserves in the consolidated balance sheet is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200" w:type="dxa"/>
            <w:vAlign w:val="bottom"/>
            <w:gridSpan w:val="2"/>
            <w:vMerge w:val="restart"/>
          </w:tcPr>
          <w:p>
            <w:pPr>
              <w:spacing w:after="0"/>
              <w:rPr>
                <w:sz w:val="20"/>
                <w:szCs w:val="20"/>
                <w:color w:val="auto"/>
              </w:rPr>
            </w:pPr>
            <w:r>
              <w:rPr>
                <w:rFonts w:ascii="Arial" w:cs="Arial" w:eastAsia="Arial" w:hAnsi="Arial"/>
                <w:sz w:val="17"/>
                <w:szCs w:val="17"/>
                <w:b w:val="1"/>
                <w:bCs w:val="1"/>
                <w:i w:val="1"/>
                <w:iCs w:val="1"/>
                <w:color w:val="auto"/>
              </w:rPr>
              <w:t>(in thousands)</w:t>
            </w:r>
          </w:p>
        </w:tc>
        <w:tc>
          <w:tcPr>
            <w:tcW w:w="10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200"/>
        </w:trPr>
        <w:tc>
          <w:tcPr>
            <w:tcW w:w="102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June 30, 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7"/>
                <w:szCs w:val="17"/>
                <w:color w:val="auto"/>
              </w:rPr>
              <w:t>Liabilities for loss and loss adjustment expenses, net of reinsurance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51,519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7"/>
                <w:szCs w:val="17"/>
                <w:color w:val="auto"/>
              </w:rPr>
              <w:t>Total reinsurance recoverable on unpaid losses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16,034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Unallocated loss adjustment expenses</w:t>
            </w: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2,122</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7"/>
                <w:szCs w:val="17"/>
                <w:color w:val="auto"/>
              </w:rPr>
              <w:t>Total gross liability for loss and LAE reserves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69,675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Reinsurance</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Company’s quota share reinsurance treaties are on a July 1 through June 30 fiscal year basis. The Company’s quota share reinsurance treaties in effect for the six months ended June 30, 2019 and 2018 for its personal lines business, which primarily consists of homeowners’ policies, were covered under a treaty covering a two-year period from July 1, 2017 through June 30, 2019 (“2017/2019 Treaty”). The treaty in effect for the six months ended June 30, 2019 was covered under the July 1, 2018 through June 30, 2019 treaty year (“2018/2019 Treaty Year”) and the treaty in effect for the six months ended June 30, 2018 was covered under the July 1, 2017 through June 30, 2018 treaty year (“2017/2018 Treaty Year”).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29" w:name="page30"/>
    <w:bookmarkEnd w:id="29"/>
    <w:p>
      <w:pPr>
        <w:jc w:val="both"/>
        <w:spacing w:after="0" w:line="314" w:lineRule="auto"/>
        <w:rPr>
          <w:sz w:val="20"/>
          <w:szCs w:val="20"/>
          <w:color w:val="auto"/>
        </w:rPr>
      </w:pPr>
      <w:r>
        <w:rPr>
          <w:rFonts w:ascii="Arial" w:cs="Arial" w:eastAsia="Arial" w:hAnsi="Arial"/>
          <w:sz w:val="16"/>
          <w:szCs w:val="16"/>
          <w:color w:val="auto"/>
        </w:rPr>
        <w:t>In August 2018, the Company terminated its contract with one of the reinsurers that was a party to the 2017/2019 Treaty. This termination was retroactive to July 1, 2018 and had the effect of reducing the quota share ceding rate to 10% under the 2018/2019 Treaty Year from 20% under the 2017/2018 Treaty Year.</w:t>
      </w:r>
    </w:p>
    <w:p>
      <w:pPr>
        <w:spacing w:after="0" w:line="14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Effective July 1, 2019, the 2017/2019 Treaty and commercial umbrella treaty expired on a run-off basis; these treaties were not renewed. The Company entered into new excess of loss and catastrophe reinsurance treaties effective July 1, 2019. Material terms for reinsurance treaties in effect for the treaty years shown below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4"/>
              </w:rPr>
              <w:t>Treaty Year</w:t>
            </w:r>
          </w:p>
        </w:tc>
        <w:tc>
          <w:tcPr>
            <w:tcW w:w="2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2"/>
          </w:tcPr>
          <w:p>
            <w:pPr>
              <w:jc w:val="center"/>
              <w:ind w:right="400"/>
              <w:spacing w:after="0" w:line="144" w:lineRule="exact"/>
              <w:rPr>
                <w:sz w:val="20"/>
                <w:szCs w:val="20"/>
                <w:color w:val="auto"/>
              </w:rPr>
            </w:pPr>
            <w:r>
              <w:rPr>
                <w:rFonts w:ascii="Arial" w:cs="Arial" w:eastAsia="Arial" w:hAnsi="Arial"/>
                <w:sz w:val="14"/>
                <w:szCs w:val="14"/>
                <w:b w:val="1"/>
                <w:bCs w:val="1"/>
                <w:color w:val="auto"/>
                <w:w w:val="91"/>
              </w:rPr>
              <w:t>July 1, 2019</w:t>
            </w:r>
          </w:p>
        </w:tc>
        <w:tc>
          <w:tcPr>
            <w:tcW w:w="280" w:type="dxa"/>
            <w:vAlign w:val="bottom"/>
          </w:tcPr>
          <w:p>
            <w:pPr>
              <w:spacing w:after="0"/>
              <w:rPr>
                <w:sz w:val="12"/>
                <w:szCs w:val="12"/>
                <w:color w:val="auto"/>
              </w:rPr>
            </w:pPr>
          </w:p>
        </w:tc>
        <w:tc>
          <w:tcPr>
            <w:tcW w:w="1540" w:type="dxa"/>
            <w:vAlign w:val="bottom"/>
            <w:gridSpan w:val="2"/>
          </w:tcPr>
          <w:p>
            <w:pPr>
              <w:jc w:val="center"/>
              <w:ind w:right="400"/>
              <w:spacing w:after="0" w:line="144" w:lineRule="exact"/>
              <w:rPr>
                <w:sz w:val="20"/>
                <w:szCs w:val="20"/>
                <w:color w:val="auto"/>
              </w:rPr>
            </w:pPr>
            <w:r>
              <w:rPr>
                <w:rFonts w:ascii="Arial" w:cs="Arial" w:eastAsia="Arial" w:hAnsi="Arial"/>
                <w:sz w:val="14"/>
                <w:szCs w:val="14"/>
                <w:b w:val="1"/>
                <w:bCs w:val="1"/>
                <w:color w:val="auto"/>
                <w:w w:val="94"/>
              </w:rPr>
              <w:t>July 1, 2018</w:t>
            </w:r>
          </w:p>
        </w:tc>
        <w:tc>
          <w:tcPr>
            <w:tcW w:w="280" w:type="dxa"/>
            <w:vAlign w:val="bottom"/>
          </w:tcPr>
          <w:p>
            <w:pPr>
              <w:spacing w:after="0"/>
              <w:rPr>
                <w:sz w:val="12"/>
                <w:szCs w:val="12"/>
                <w:color w:val="auto"/>
              </w:rPr>
            </w:pPr>
          </w:p>
        </w:tc>
        <w:tc>
          <w:tcPr>
            <w:tcW w:w="1420" w:type="dxa"/>
            <w:vAlign w:val="bottom"/>
          </w:tcPr>
          <w:p>
            <w:pPr>
              <w:jc w:val="center"/>
              <w:ind w:right="196"/>
              <w:spacing w:after="0" w:line="144" w:lineRule="exact"/>
              <w:rPr>
                <w:sz w:val="20"/>
                <w:szCs w:val="20"/>
                <w:color w:val="auto"/>
              </w:rPr>
            </w:pPr>
            <w:r>
              <w:rPr>
                <w:rFonts w:ascii="Arial" w:cs="Arial" w:eastAsia="Arial" w:hAnsi="Arial"/>
                <w:sz w:val="14"/>
                <w:szCs w:val="14"/>
                <w:b w:val="1"/>
                <w:bCs w:val="1"/>
                <w:color w:val="auto"/>
                <w:w w:val="94"/>
              </w:rPr>
              <w:t>July 1, 2017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60" w:type="dxa"/>
            <w:vAlign w:val="bottom"/>
            <w:gridSpan w:val="2"/>
          </w:tcPr>
          <w:p>
            <w:pPr>
              <w:jc w:val="center"/>
              <w:ind w:right="400"/>
              <w:spacing w:after="0" w:line="157" w:lineRule="exact"/>
              <w:rPr>
                <w:sz w:val="20"/>
                <w:szCs w:val="20"/>
                <w:color w:val="auto"/>
              </w:rPr>
            </w:pPr>
            <w:r>
              <w:rPr>
                <w:rFonts w:ascii="Arial" w:cs="Arial" w:eastAsia="Arial" w:hAnsi="Arial"/>
                <w:sz w:val="14"/>
                <w:szCs w:val="14"/>
                <w:b w:val="1"/>
                <w:bCs w:val="1"/>
                <w:color w:val="auto"/>
                <w:w w:val="90"/>
              </w:rPr>
              <w:t>to</w:t>
            </w:r>
          </w:p>
        </w:tc>
        <w:tc>
          <w:tcPr>
            <w:tcW w:w="280" w:type="dxa"/>
            <w:vAlign w:val="bottom"/>
          </w:tcPr>
          <w:p>
            <w:pPr>
              <w:spacing w:after="0"/>
              <w:rPr>
                <w:sz w:val="13"/>
                <w:szCs w:val="13"/>
                <w:color w:val="auto"/>
              </w:rPr>
            </w:pPr>
          </w:p>
        </w:tc>
        <w:tc>
          <w:tcPr>
            <w:tcW w:w="1540" w:type="dxa"/>
            <w:vAlign w:val="bottom"/>
            <w:gridSpan w:val="2"/>
          </w:tcPr>
          <w:p>
            <w:pPr>
              <w:jc w:val="center"/>
              <w:ind w:right="380"/>
              <w:spacing w:after="0" w:line="157" w:lineRule="exact"/>
              <w:rPr>
                <w:sz w:val="20"/>
                <w:szCs w:val="20"/>
                <w:color w:val="auto"/>
              </w:rPr>
            </w:pPr>
            <w:r>
              <w:rPr>
                <w:rFonts w:ascii="Arial" w:cs="Arial" w:eastAsia="Arial" w:hAnsi="Arial"/>
                <w:sz w:val="14"/>
                <w:szCs w:val="14"/>
                <w:b w:val="1"/>
                <w:bCs w:val="1"/>
                <w:color w:val="auto"/>
                <w:w w:val="90"/>
              </w:rPr>
              <w:t>to</w:t>
            </w:r>
          </w:p>
        </w:tc>
        <w:tc>
          <w:tcPr>
            <w:tcW w:w="280" w:type="dxa"/>
            <w:vAlign w:val="bottom"/>
          </w:tcPr>
          <w:p>
            <w:pPr>
              <w:spacing w:after="0"/>
              <w:rPr>
                <w:sz w:val="13"/>
                <w:szCs w:val="13"/>
                <w:color w:val="auto"/>
              </w:rPr>
            </w:pPr>
          </w:p>
        </w:tc>
        <w:tc>
          <w:tcPr>
            <w:tcW w:w="144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90"/>
              </w:rPr>
              <w:t>to</w:t>
            </w:r>
          </w:p>
        </w:tc>
        <w:tc>
          <w:tcPr>
            <w:tcW w:w="0" w:type="dxa"/>
            <w:vAlign w:val="bottom"/>
          </w:tcPr>
          <w:p>
            <w:pPr>
              <w:spacing w:after="0"/>
              <w:rPr>
                <w:sz w:val="1"/>
                <w:szCs w:val="1"/>
                <w:color w:val="auto"/>
              </w:rPr>
            </w:pPr>
          </w:p>
        </w:tc>
      </w:tr>
      <w:tr>
        <w:trPr>
          <w:trHeight w:val="177"/>
        </w:trPr>
        <w:tc>
          <w:tcPr>
            <w:tcW w:w="6060" w:type="dxa"/>
            <w:vAlign w:val="bottom"/>
            <w:gridSpan w:val="5"/>
          </w:tcPr>
          <w:p>
            <w:pPr>
              <w:spacing w:after="0"/>
              <w:rPr>
                <w:sz w:val="20"/>
                <w:szCs w:val="20"/>
                <w:color w:val="auto"/>
              </w:rPr>
            </w:pPr>
            <w:r>
              <w:rPr>
                <w:rFonts w:ascii="Arial" w:cs="Arial" w:eastAsia="Arial" w:hAnsi="Arial"/>
                <w:sz w:val="14"/>
                <w:szCs w:val="14"/>
                <w:b w:val="1"/>
                <w:bCs w:val="1"/>
                <w:color w:val="auto"/>
              </w:rPr>
              <w:t>Line of Busines</w:t>
            </w:r>
          </w:p>
        </w:tc>
        <w:tc>
          <w:tcPr>
            <w:tcW w:w="280" w:type="dxa"/>
            <w:vAlign w:val="bottom"/>
          </w:tcPr>
          <w:p>
            <w:pPr>
              <w:spacing w:after="0"/>
              <w:rPr>
                <w:sz w:val="15"/>
                <w:szCs w:val="15"/>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June 30, 2020</w:t>
            </w:r>
          </w:p>
        </w:tc>
        <w:tc>
          <w:tcPr>
            <w:tcW w:w="280" w:type="dxa"/>
            <w:vAlign w:val="bottom"/>
          </w:tcPr>
          <w:p>
            <w:pPr>
              <w:spacing w:after="0"/>
              <w:rPr>
                <w:sz w:val="15"/>
                <w:szCs w:val="15"/>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June 30, 2019</w:t>
            </w:r>
          </w:p>
        </w:tc>
        <w:tc>
          <w:tcPr>
            <w:tcW w:w="280" w:type="dxa"/>
            <w:vAlign w:val="bottom"/>
          </w:tcPr>
          <w:p>
            <w:pPr>
              <w:spacing w:after="0"/>
              <w:rPr>
                <w:sz w:val="15"/>
                <w:szCs w:val="15"/>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 2018</w:t>
            </w:r>
          </w:p>
        </w:tc>
        <w:tc>
          <w:tcPr>
            <w:tcW w:w="0" w:type="dxa"/>
            <w:vAlign w:val="bottom"/>
          </w:tcPr>
          <w:p>
            <w:pPr>
              <w:spacing w:after="0"/>
              <w:rPr>
                <w:sz w:val="1"/>
                <w:szCs w:val="1"/>
                <w:color w:val="auto"/>
              </w:rPr>
            </w:pPr>
          </w:p>
        </w:tc>
      </w:tr>
      <w:tr>
        <w:trPr>
          <w:trHeight w:val="379"/>
        </w:trPr>
        <w:tc>
          <w:tcPr>
            <w:tcW w:w="6060" w:type="dxa"/>
            <w:vAlign w:val="bottom"/>
            <w:tcBorders>
              <w:top w:val="single" w:sz="8" w:color="auto"/>
            </w:tcBorders>
            <w:gridSpan w:val="5"/>
          </w:tcPr>
          <w:p>
            <w:pPr>
              <w:spacing w:after="0"/>
              <w:rPr>
                <w:sz w:val="20"/>
                <w:szCs w:val="20"/>
                <w:color w:val="auto"/>
              </w:rPr>
            </w:pPr>
            <w:r>
              <w:rPr>
                <w:rFonts w:ascii="Arial" w:cs="Arial" w:eastAsia="Arial" w:hAnsi="Arial"/>
                <w:sz w:val="17"/>
                <w:szCs w:val="17"/>
                <w:color w:val="auto"/>
              </w:rPr>
              <w:t>Personal Lines:</w:t>
            </w:r>
          </w:p>
        </w:tc>
        <w:tc>
          <w:tcPr>
            <w:tcW w:w="28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6040" w:type="dxa"/>
            <w:vAlign w:val="bottom"/>
            <w:gridSpan w:val="4"/>
          </w:tcPr>
          <w:p>
            <w:pPr>
              <w:ind w:left="20"/>
              <w:spacing w:after="0"/>
              <w:rPr>
                <w:sz w:val="20"/>
                <w:szCs w:val="20"/>
                <w:color w:val="auto"/>
              </w:rPr>
            </w:pPr>
            <w:r>
              <w:rPr>
                <w:rFonts w:ascii="Arial" w:cs="Arial" w:eastAsia="Arial" w:hAnsi="Arial"/>
                <w:sz w:val="17"/>
                <w:szCs w:val="17"/>
                <w:color w:val="auto"/>
              </w:rPr>
              <w:t>Homeowners, dwelling fire and canine legal liability</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4"/>
          </w:tcPr>
          <w:p>
            <w:pPr>
              <w:ind w:left="180"/>
              <w:spacing w:after="0"/>
              <w:rPr>
                <w:sz w:val="20"/>
                <w:szCs w:val="20"/>
                <w:color w:val="auto"/>
              </w:rPr>
            </w:pPr>
            <w:r>
              <w:rPr>
                <w:rFonts w:ascii="Arial" w:cs="Arial" w:eastAsia="Arial" w:hAnsi="Arial"/>
                <w:sz w:val="17"/>
                <w:szCs w:val="17"/>
                <w:color w:val="auto"/>
              </w:rPr>
              <w:t>Quota share treaty:</w:t>
            </w: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gridSpan w:val="4"/>
            <w:shd w:val="clear" w:color="auto" w:fill="CCEEFF"/>
          </w:tcPr>
          <w:p>
            <w:pPr>
              <w:ind w:left="340"/>
              <w:spacing w:after="0"/>
              <w:rPr>
                <w:sz w:val="20"/>
                <w:szCs w:val="20"/>
                <w:color w:val="auto"/>
              </w:rPr>
            </w:pPr>
            <w:r>
              <w:rPr>
                <w:rFonts w:ascii="Arial" w:cs="Arial" w:eastAsia="Arial" w:hAnsi="Arial"/>
                <w:sz w:val="17"/>
                <w:szCs w:val="17"/>
                <w:color w:val="auto"/>
              </w:rPr>
              <w:t>Percent ceded</w:t>
            </w: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None</w:t>
            </w:r>
          </w:p>
        </w:tc>
        <w:tc>
          <w:tcPr>
            <w:tcW w:w="2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gridSpan w:val="4"/>
          </w:tcPr>
          <w:p>
            <w:pPr>
              <w:ind w:left="340"/>
              <w:spacing w:after="0"/>
              <w:rPr>
                <w:sz w:val="20"/>
                <w:szCs w:val="20"/>
                <w:color w:val="auto"/>
              </w:rPr>
            </w:pPr>
            <w:r>
              <w:rPr>
                <w:rFonts w:ascii="Arial" w:cs="Arial" w:eastAsia="Arial" w:hAnsi="Arial"/>
                <w:sz w:val="17"/>
                <w:szCs w:val="17"/>
                <w:color w:val="auto"/>
              </w:rPr>
              <w:t>Risk retained</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560" w:type="dxa"/>
            <w:vAlign w:val="bottom"/>
            <w:gridSpan w:val="2"/>
          </w:tcPr>
          <w:p>
            <w:pPr>
              <w:jc w:val="right"/>
              <w:ind w:right="120"/>
              <w:spacing w:after="0"/>
              <w:rPr>
                <w:sz w:val="20"/>
                <w:szCs w:val="20"/>
                <w:color w:val="auto"/>
              </w:rPr>
            </w:pPr>
            <w:r>
              <w:rPr>
                <w:rFonts w:ascii="Arial" w:cs="Arial" w:eastAsia="Arial" w:hAnsi="Arial"/>
                <w:sz w:val="17"/>
                <w:szCs w:val="17"/>
                <w:color w:val="auto"/>
              </w:rPr>
              <w:t>1,000,000</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7"/>
                <w:szCs w:val="17"/>
                <w:color w:val="auto"/>
              </w:rPr>
              <w:t>900,000</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800,000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gridSpan w:val="4"/>
            <w:shd w:val="clear" w:color="auto" w:fill="CCEEFF"/>
          </w:tcPr>
          <w:p>
            <w:pPr>
              <w:ind w:left="340"/>
              <w:spacing w:after="0"/>
              <w:rPr>
                <w:sz w:val="20"/>
                <w:szCs w:val="20"/>
                <w:color w:val="auto"/>
              </w:rPr>
            </w:pPr>
            <w:r>
              <w:rPr>
                <w:rFonts w:ascii="Arial" w:cs="Arial" w:eastAsia="Arial" w:hAnsi="Arial"/>
                <w:sz w:val="17"/>
                <w:szCs w:val="17"/>
                <w:color w:val="auto"/>
              </w:rPr>
              <w:t>Losses per occurrence subject to quota share reinsurance coverage</w:t>
            </w: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None</w:t>
            </w: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1,000,000</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gridSpan w:val="4"/>
          </w:tcPr>
          <w:p>
            <w:pPr>
              <w:ind w:left="180"/>
              <w:spacing w:after="0"/>
              <w:rPr>
                <w:sz w:val="20"/>
                <w:szCs w:val="20"/>
                <w:color w:val="auto"/>
              </w:rPr>
            </w:pPr>
            <w:r>
              <w:rPr>
                <w:rFonts w:ascii="Arial" w:cs="Arial" w:eastAsia="Arial" w:hAnsi="Arial"/>
                <w:sz w:val="17"/>
                <w:szCs w:val="17"/>
                <w:color w:val="auto"/>
                <w:w w:val="98"/>
              </w:rPr>
              <w:t>Excess of loss coverage and facultative facility above quota share coverage (1)</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560" w:type="dxa"/>
            <w:vAlign w:val="bottom"/>
            <w:gridSpan w:val="2"/>
          </w:tcPr>
          <w:p>
            <w:pPr>
              <w:jc w:val="right"/>
              <w:ind w:right="120"/>
              <w:spacing w:after="0"/>
              <w:rPr>
                <w:sz w:val="20"/>
                <w:szCs w:val="20"/>
                <w:color w:val="auto"/>
              </w:rPr>
            </w:pPr>
            <w:r>
              <w:rPr>
                <w:rFonts w:ascii="Arial" w:cs="Arial" w:eastAsia="Arial" w:hAnsi="Arial"/>
                <w:sz w:val="17"/>
                <w:szCs w:val="17"/>
                <w:color w:val="auto"/>
              </w:rPr>
              <w:t>10,000,000</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7"/>
                <w:szCs w:val="17"/>
                <w:color w:val="auto"/>
              </w:rPr>
              <w:t>9,000,000</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9,000,000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in excess of</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in excess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7"/>
                <w:szCs w:val="17"/>
                <w:color w:val="auto"/>
              </w:rPr>
              <w:t>1,000,000</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1,000,000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gridSpan w:val="4"/>
            <w:shd w:val="clear" w:color="auto" w:fill="CCEEFF"/>
          </w:tcPr>
          <w:p>
            <w:pPr>
              <w:ind w:left="180"/>
              <w:spacing w:after="0"/>
              <w:rPr>
                <w:sz w:val="20"/>
                <w:szCs w:val="20"/>
                <w:color w:val="auto"/>
              </w:rPr>
            </w:pPr>
            <w:r>
              <w:rPr>
                <w:rFonts w:ascii="Arial" w:cs="Arial" w:eastAsia="Arial" w:hAnsi="Arial"/>
                <w:sz w:val="17"/>
                <w:szCs w:val="17"/>
                <w:color w:val="auto"/>
              </w:rPr>
              <w:t>Total reinsurance coverage per occurrence</w:t>
            </w: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9,000,000</w:t>
            </w: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9,100,000</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gridSpan w:val="4"/>
          </w:tcPr>
          <w:p>
            <w:pPr>
              <w:ind w:left="180"/>
              <w:spacing w:after="0"/>
              <w:rPr>
                <w:sz w:val="20"/>
                <w:szCs w:val="20"/>
                <w:color w:val="auto"/>
              </w:rPr>
            </w:pPr>
            <w:r>
              <w:rPr>
                <w:rFonts w:ascii="Arial" w:cs="Arial" w:eastAsia="Arial" w:hAnsi="Arial"/>
                <w:sz w:val="17"/>
                <w:szCs w:val="17"/>
                <w:color w:val="auto"/>
              </w:rPr>
              <w:t>Losses per occurrence subject to reinsurance coverage</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560" w:type="dxa"/>
            <w:vAlign w:val="bottom"/>
            <w:gridSpan w:val="2"/>
          </w:tcPr>
          <w:p>
            <w:pPr>
              <w:jc w:val="right"/>
              <w:ind w:right="120"/>
              <w:spacing w:after="0"/>
              <w:rPr>
                <w:sz w:val="20"/>
                <w:szCs w:val="20"/>
                <w:color w:val="auto"/>
              </w:rPr>
            </w:pPr>
            <w:r>
              <w:rPr>
                <w:rFonts w:ascii="Arial" w:cs="Arial" w:eastAsia="Arial" w:hAnsi="Arial"/>
                <w:sz w:val="17"/>
                <w:szCs w:val="17"/>
                <w:color w:val="auto"/>
              </w:rPr>
              <w:t>10,000,000</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7"/>
                <w:szCs w:val="17"/>
                <w:color w:val="auto"/>
              </w:rPr>
              <w:t>10,000,000</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10,000,000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gridSpan w:val="4"/>
            <w:shd w:val="clear" w:color="auto" w:fill="CCEEFF"/>
          </w:tcPr>
          <w:p>
            <w:pPr>
              <w:ind w:left="180"/>
              <w:spacing w:after="0"/>
              <w:rPr>
                <w:sz w:val="20"/>
                <w:szCs w:val="20"/>
                <w:color w:val="auto"/>
              </w:rPr>
            </w:pPr>
            <w:r>
              <w:rPr>
                <w:rFonts w:ascii="Arial" w:cs="Arial" w:eastAsia="Arial" w:hAnsi="Arial"/>
                <w:sz w:val="17"/>
                <w:szCs w:val="17"/>
                <w:color w:val="auto"/>
              </w:rPr>
              <w:t>Expiration date</w:t>
            </w: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June 30, 2020</w:t>
            </w:r>
          </w:p>
        </w:tc>
        <w:tc>
          <w:tcPr>
            <w:tcW w:w="2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June 30, 2019</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June 30, 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Personal Umbrella</w:t>
            </w: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gridSpan w:val="4"/>
          </w:tcPr>
          <w:p>
            <w:pPr>
              <w:ind w:left="180"/>
              <w:spacing w:after="0"/>
              <w:rPr>
                <w:sz w:val="20"/>
                <w:szCs w:val="20"/>
                <w:color w:val="auto"/>
              </w:rPr>
            </w:pPr>
            <w:r>
              <w:rPr>
                <w:rFonts w:ascii="Arial" w:cs="Arial" w:eastAsia="Arial" w:hAnsi="Arial"/>
                <w:sz w:val="17"/>
                <w:szCs w:val="17"/>
                <w:color w:val="auto"/>
              </w:rPr>
              <w:t>Quota share treaty:</w:t>
            </w: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gridSpan w:val="4"/>
            <w:shd w:val="clear" w:color="auto" w:fill="CCEEFF"/>
          </w:tcPr>
          <w:p>
            <w:pPr>
              <w:ind w:left="340"/>
              <w:spacing w:after="0"/>
              <w:rPr>
                <w:sz w:val="20"/>
                <w:szCs w:val="20"/>
                <w:color w:val="auto"/>
              </w:rPr>
            </w:pPr>
            <w:r>
              <w:rPr>
                <w:rFonts w:ascii="Arial" w:cs="Arial" w:eastAsia="Arial" w:hAnsi="Arial"/>
                <w:sz w:val="17"/>
                <w:szCs w:val="17"/>
                <w:color w:val="auto"/>
              </w:rPr>
              <w:t>Percent ceded - first $1,000,000 of coverage</w:t>
            </w: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90%</w:t>
            </w:r>
          </w:p>
        </w:tc>
        <w:tc>
          <w:tcPr>
            <w:tcW w:w="2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90%</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gridSpan w:val="4"/>
          </w:tcPr>
          <w:p>
            <w:pPr>
              <w:ind w:left="340"/>
              <w:spacing w:after="0"/>
              <w:rPr>
                <w:sz w:val="20"/>
                <w:szCs w:val="20"/>
                <w:color w:val="auto"/>
              </w:rPr>
            </w:pPr>
            <w:r>
              <w:rPr>
                <w:rFonts w:ascii="Arial" w:cs="Arial" w:eastAsia="Arial" w:hAnsi="Arial"/>
                <w:sz w:val="17"/>
                <w:szCs w:val="17"/>
                <w:color w:val="auto"/>
              </w:rPr>
              <w:t>Percent ceded - excess of $1,000,000 dollars of coverage</w:t>
            </w:r>
          </w:p>
        </w:tc>
        <w:tc>
          <w:tcPr>
            <w:tcW w:w="28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7"/>
                <w:szCs w:val="17"/>
                <w:color w:val="auto"/>
              </w:rPr>
              <w:t>100%</w:t>
            </w:r>
          </w:p>
        </w:tc>
        <w:tc>
          <w:tcPr>
            <w:tcW w:w="2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7"/>
                <w:szCs w:val="17"/>
                <w:color w:val="auto"/>
              </w:rPr>
              <w:t>100%</w:t>
            </w: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gridSpan w:val="4"/>
            <w:shd w:val="clear" w:color="auto" w:fill="CCEEFF"/>
          </w:tcPr>
          <w:p>
            <w:pPr>
              <w:ind w:left="340"/>
              <w:spacing w:after="0"/>
              <w:rPr>
                <w:sz w:val="20"/>
                <w:szCs w:val="20"/>
                <w:color w:val="auto"/>
              </w:rPr>
            </w:pPr>
            <w:r>
              <w:rPr>
                <w:rFonts w:ascii="Arial" w:cs="Arial" w:eastAsia="Arial" w:hAnsi="Arial"/>
                <w:sz w:val="17"/>
                <w:szCs w:val="17"/>
                <w:color w:val="auto"/>
              </w:rPr>
              <w:t>Risk retained</w:t>
            </w: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100,000</w:t>
            </w: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100,000</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gridSpan w:val="4"/>
          </w:tcPr>
          <w:p>
            <w:pPr>
              <w:ind w:left="340"/>
              <w:spacing w:after="0"/>
              <w:rPr>
                <w:sz w:val="20"/>
                <w:szCs w:val="20"/>
                <w:color w:val="auto"/>
              </w:rPr>
            </w:pPr>
            <w:r>
              <w:rPr>
                <w:rFonts w:ascii="Arial" w:cs="Arial" w:eastAsia="Arial" w:hAnsi="Arial"/>
                <w:sz w:val="17"/>
                <w:szCs w:val="17"/>
                <w:color w:val="auto"/>
              </w:rPr>
              <w:t>Total reinsurance coverage per occurrence</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560" w:type="dxa"/>
            <w:vAlign w:val="bottom"/>
            <w:gridSpan w:val="2"/>
          </w:tcPr>
          <w:p>
            <w:pPr>
              <w:jc w:val="right"/>
              <w:ind w:right="120"/>
              <w:spacing w:after="0"/>
              <w:rPr>
                <w:sz w:val="20"/>
                <w:szCs w:val="20"/>
                <w:color w:val="auto"/>
              </w:rPr>
            </w:pPr>
            <w:r>
              <w:rPr>
                <w:rFonts w:ascii="Arial" w:cs="Arial" w:eastAsia="Arial" w:hAnsi="Arial"/>
                <w:sz w:val="17"/>
                <w:szCs w:val="17"/>
                <w:color w:val="auto"/>
              </w:rPr>
              <w:t>4,900,000</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7"/>
                <w:szCs w:val="17"/>
                <w:color w:val="auto"/>
              </w:rPr>
              <w:t>4,900,000</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4,900,000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gridSpan w:val="4"/>
            <w:shd w:val="clear" w:color="auto" w:fill="CCEEFF"/>
          </w:tcPr>
          <w:p>
            <w:pPr>
              <w:ind w:left="340"/>
              <w:spacing w:after="0"/>
              <w:rPr>
                <w:sz w:val="20"/>
                <w:szCs w:val="20"/>
                <w:color w:val="auto"/>
              </w:rPr>
            </w:pPr>
            <w:r>
              <w:rPr>
                <w:rFonts w:ascii="Arial" w:cs="Arial" w:eastAsia="Arial" w:hAnsi="Arial"/>
                <w:sz w:val="17"/>
                <w:szCs w:val="17"/>
                <w:color w:val="auto"/>
              </w:rPr>
              <w:t>Losses per occurrence subject to quota share reinsurance coverage</w:t>
            </w: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5,000,000</w:t>
            </w: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5,000,000</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gridSpan w:val="4"/>
          </w:tcPr>
          <w:p>
            <w:pPr>
              <w:ind w:left="180"/>
              <w:spacing w:after="0"/>
              <w:rPr>
                <w:sz w:val="20"/>
                <w:szCs w:val="20"/>
                <w:color w:val="auto"/>
              </w:rPr>
            </w:pPr>
            <w:r>
              <w:rPr>
                <w:rFonts w:ascii="Arial" w:cs="Arial" w:eastAsia="Arial" w:hAnsi="Arial"/>
                <w:sz w:val="17"/>
                <w:szCs w:val="17"/>
                <w:color w:val="auto"/>
              </w:rPr>
              <w:t>Expiration date</w:t>
            </w:r>
          </w:p>
        </w:tc>
        <w:tc>
          <w:tcPr>
            <w:tcW w:w="28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7"/>
                <w:szCs w:val="17"/>
                <w:color w:val="auto"/>
              </w:rPr>
              <w:t>June 30, 2020</w:t>
            </w:r>
          </w:p>
        </w:tc>
        <w:tc>
          <w:tcPr>
            <w:tcW w:w="2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7"/>
                <w:szCs w:val="17"/>
                <w:color w:val="auto"/>
              </w:rPr>
              <w:t>June 30, 2019</w:t>
            </w: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June 30, 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300" w:type="dxa"/>
            <w:vAlign w:val="bottom"/>
            <w:tcBorders>
              <w:bottom w:val="single" w:sz="8" w:color="auto"/>
            </w:tcBorders>
            <w:gridSpan w:val="2"/>
          </w:tcPr>
          <w:p>
            <w:pPr>
              <w:spacing w:after="0" w:line="170" w:lineRule="exact"/>
              <w:rPr>
                <w:sz w:val="20"/>
                <w:szCs w:val="20"/>
                <w:color w:val="auto"/>
              </w:rPr>
            </w:pPr>
            <w:r>
              <w:rPr>
                <w:rFonts w:ascii="Arial" w:cs="Arial" w:eastAsia="Arial" w:hAnsi="Arial"/>
                <w:sz w:val="17"/>
                <w:szCs w:val="17"/>
                <w:color w:val="auto"/>
                <w:w w:val="90"/>
              </w:rPr>
              <w:t>Commercial Lines:</w:t>
            </w:r>
          </w:p>
        </w:tc>
        <w:tc>
          <w:tcPr>
            <w:tcW w:w="4740" w:type="dxa"/>
            <w:vAlign w:val="bottom"/>
            <w:gridSpan w:val="2"/>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40" w:type="dxa"/>
            <w:vAlign w:val="bottom"/>
            <w:gridSpan w:val="4"/>
            <w:shd w:val="clear" w:color="auto" w:fill="CCEEFF"/>
          </w:tcPr>
          <w:p>
            <w:pPr>
              <w:ind w:left="180"/>
              <w:spacing w:after="0"/>
              <w:rPr>
                <w:sz w:val="20"/>
                <w:szCs w:val="20"/>
                <w:color w:val="auto"/>
              </w:rPr>
            </w:pPr>
            <w:r>
              <w:rPr>
                <w:rFonts w:ascii="Arial" w:cs="Arial" w:eastAsia="Arial" w:hAnsi="Arial"/>
                <w:sz w:val="17"/>
                <w:szCs w:val="17"/>
                <w:color w:val="auto"/>
              </w:rPr>
              <w:t>General liability commercial policies</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gridSpan w:val="4"/>
          </w:tcPr>
          <w:p>
            <w:pPr>
              <w:ind w:left="340"/>
              <w:spacing w:after="0"/>
              <w:rPr>
                <w:sz w:val="20"/>
                <w:szCs w:val="20"/>
                <w:color w:val="auto"/>
              </w:rPr>
            </w:pPr>
            <w:r>
              <w:rPr>
                <w:rFonts w:ascii="Arial" w:cs="Arial" w:eastAsia="Arial" w:hAnsi="Arial"/>
                <w:sz w:val="17"/>
                <w:szCs w:val="17"/>
                <w:color w:val="auto"/>
              </w:rPr>
              <w:t>Quota share treaty</w:t>
            </w:r>
          </w:p>
        </w:tc>
        <w:tc>
          <w:tcPr>
            <w:tcW w:w="28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7"/>
                <w:szCs w:val="17"/>
                <w:color w:val="auto"/>
              </w:rPr>
              <w:t>None</w:t>
            </w:r>
          </w:p>
        </w:tc>
        <w:tc>
          <w:tcPr>
            <w:tcW w:w="2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7"/>
                <w:szCs w:val="17"/>
                <w:color w:val="auto"/>
              </w:rPr>
              <w:t>None</w:t>
            </w: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gridSpan w:val="4"/>
            <w:shd w:val="clear" w:color="auto" w:fill="CCEEFF"/>
          </w:tcPr>
          <w:p>
            <w:pPr>
              <w:ind w:left="340"/>
              <w:spacing w:after="0"/>
              <w:rPr>
                <w:sz w:val="20"/>
                <w:szCs w:val="20"/>
                <w:color w:val="auto"/>
              </w:rPr>
            </w:pPr>
            <w:r>
              <w:rPr>
                <w:rFonts w:ascii="Arial" w:cs="Arial" w:eastAsia="Arial" w:hAnsi="Arial"/>
                <w:sz w:val="17"/>
                <w:szCs w:val="17"/>
                <w:color w:val="auto"/>
              </w:rPr>
              <w:t>Risk retained</w:t>
            </w: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750,000</w:t>
            </w: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750,000</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gridSpan w:val="4"/>
          </w:tcPr>
          <w:p>
            <w:pPr>
              <w:ind w:left="340"/>
              <w:spacing w:after="0"/>
              <w:rPr>
                <w:sz w:val="20"/>
                <w:szCs w:val="20"/>
                <w:color w:val="auto"/>
              </w:rPr>
            </w:pPr>
            <w:r>
              <w:rPr>
                <w:rFonts w:ascii="Arial" w:cs="Arial" w:eastAsia="Arial" w:hAnsi="Arial"/>
                <w:sz w:val="17"/>
                <w:szCs w:val="17"/>
                <w:color w:val="auto"/>
              </w:rPr>
              <w:t>Excess of loss coverage above risk retained</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560" w:type="dxa"/>
            <w:vAlign w:val="bottom"/>
            <w:gridSpan w:val="2"/>
          </w:tcPr>
          <w:p>
            <w:pPr>
              <w:jc w:val="right"/>
              <w:ind w:right="120"/>
              <w:spacing w:after="0"/>
              <w:rPr>
                <w:sz w:val="20"/>
                <w:szCs w:val="20"/>
                <w:color w:val="auto"/>
              </w:rPr>
            </w:pPr>
            <w:r>
              <w:rPr>
                <w:rFonts w:ascii="Arial" w:cs="Arial" w:eastAsia="Arial" w:hAnsi="Arial"/>
                <w:sz w:val="17"/>
                <w:szCs w:val="17"/>
                <w:color w:val="auto"/>
              </w:rPr>
              <w:t>3,750,000</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7"/>
                <w:szCs w:val="17"/>
                <w:color w:val="auto"/>
              </w:rPr>
              <w:t>3,750,000</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3,750,000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in excess of</w:t>
            </w:r>
          </w:p>
        </w:tc>
        <w:tc>
          <w:tcPr>
            <w:tcW w:w="2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in excess of</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in excess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560" w:type="dxa"/>
            <w:vAlign w:val="bottom"/>
            <w:gridSpan w:val="2"/>
          </w:tcPr>
          <w:p>
            <w:pPr>
              <w:jc w:val="right"/>
              <w:ind w:right="120"/>
              <w:spacing w:after="0"/>
              <w:rPr>
                <w:sz w:val="20"/>
                <w:szCs w:val="20"/>
                <w:color w:val="auto"/>
              </w:rPr>
            </w:pPr>
            <w:r>
              <w:rPr>
                <w:rFonts w:ascii="Arial" w:cs="Arial" w:eastAsia="Arial" w:hAnsi="Arial"/>
                <w:sz w:val="17"/>
                <w:szCs w:val="17"/>
                <w:color w:val="auto"/>
              </w:rPr>
              <w:t>750,000</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7"/>
                <w:szCs w:val="17"/>
                <w:color w:val="auto"/>
              </w:rPr>
              <w:t>750,000</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750,000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gridSpan w:val="4"/>
            <w:shd w:val="clear" w:color="auto" w:fill="CCEEFF"/>
          </w:tcPr>
          <w:p>
            <w:pPr>
              <w:ind w:left="180"/>
              <w:spacing w:after="0"/>
              <w:rPr>
                <w:sz w:val="20"/>
                <w:szCs w:val="20"/>
                <w:color w:val="auto"/>
              </w:rPr>
            </w:pPr>
            <w:r>
              <w:rPr>
                <w:rFonts w:ascii="Arial" w:cs="Arial" w:eastAsia="Arial" w:hAnsi="Arial"/>
                <w:sz w:val="17"/>
                <w:szCs w:val="17"/>
                <w:color w:val="auto"/>
              </w:rPr>
              <w:t>Total reinsurance coverage per occurrence</w:t>
            </w: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3,750,000</w:t>
            </w: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3,750,000</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gridSpan w:val="4"/>
          </w:tcPr>
          <w:p>
            <w:pPr>
              <w:ind w:left="180"/>
              <w:spacing w:after="0"/>
              <w:rPr>
                <w:sz w:val="20"/>
                <w:szCs w:val="20"/>
                <w:color w:val="auto"/>
              </w:rPr>
            </w:pPr>
            <w:r>
              <w:rPr>
                <w:rFonts w:ascii="Arial" w:cs="Arial" w:eastAsia="Arial" w:hAnsi="Arial"/>
                <w:sz w:val="17"/>
                <w:szCs w:val="17"/>
                <w:color w:val="auto"/>
              </w:rPr>
              <w:t>Losses per occurrence subject to reinsurance coverage</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560" w:type="dxa"/>
            <w:vAlign w:val="bottom"/>
            <w:gridSpan w:val="2"/>
          </w:tcPr>
          <w:p>
            <w:pPr>
              <w:jc w:val="right"/>
              <w:ind w:right="120"/>
              <w:spacing w:after="0"/>
              <w:rPr>
                <w:sz w:val="20"/>
                <w:szCs w:val="20"/>
                <w:color w:val="auto"/>
              </w:rPr>
            </w:pPr>
            <w:r>
              <w:rPr>
                <w:rFonts w:ascii="Arial" w:cs="Arial" w:eastAsia="Arial" w:hAnsi="Arial"/>
                <w:sz w:val="17"/>
                <w:szCs w:val="17"/>
                <w:color w:val="auto"/>
              </w:rPr>
              <w:t>4,500,000</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7"/>
                <w:szCs w:val="17"/>
                <w:color w:val="auto"/>
              </w:rPr>
              <w:t>4,500,000</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4,500,000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gridSpan w:val="4"/>
          </w:tcPr>
          <w:p>
            <w:pPr>
              <w:ind w:left="20"/>
              <w:spacing w:after="0"/>
              <w:rPr>
                <w:sz w:val="20"/>
                <w:szCs w:val="20"/>
                <w:color w:val="auto"/>
              </w:rPr>
            </w:pPr>
            <w:r>
              <w:rPr>
                <w:rFonts w:ascii="Arial" w:cs="Arial" w:eastAsia="Arial" w:hAnsi="Arial"/>
                <w:sz w:val="17"/>
                <w:szCs w:val="17"/>
                <w:color w:val="auto"/>
              </w:rPr>
              <w:t>Commercial Umbrella</w:t>
            </w: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gridSpan w:val="4"/>
            <w:shd w:val="clear" w:color="auto" w:fill="CCEEFF"/>
          </w:tcPr>
          <w:p>
            <w:pPr>
              <w:ind w:left="180"/>
              <w:spacing w:after="0"/>
              <w:rPr>
                <w:sz w:val="20"/>
                <w:szCs w:val="20"/>
                <w:color w:val="auto"/>
              </w:rPr>
            </w:pPr>
            <w:r>
              <w:rPr>
                <w:rFonts w:ascii="Arial" w:cs="Arial" w:eastAsia="Arial" w:hAnsi="Arial"/>
                <w:sz w:val="17"/>
                <w:szCs w:val="17"/>
                <w:color w:val="auto"/>
              </w:rPr>
              <w:t>Quota share treaty:</w:t>
            </w: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None</w:t>
            </w: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gridSpan w:val="4"/>
          </w:tcPr>
          <w:p>
            <w:pPr>
              <w:ind w:left="340"/>
              <w:spacing w:after="0"/>
              <w:rPr>
                <w:sz w:val="20"/>
                <w:szCs w:val="20"/>
                <w:color w:val="auto"/>
              </w:rPr>
            </w:pPr>
            <w:r>
              <w:rPr>
                <w:rFonts w:ascii="Arial" w:cs="Arial" w:eastAsia="Arial" w:hAnsi="Arial"/>
                <w:sz w:val="17"/>
                <w:szCs w:val="17"/>
                <w:color w:val="auto"/>
              </w:rPr>
              <w:t>Percent ceded - first $1,000,000 of coverage</w:t>
            </w: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7"/>
                <w:szCs w:val="17"/>
                <w:color w:val="auto"/>
              </w:rPr>
              <w:t>90%</w:t>
            </w: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gridSpan w:val="4"/>
            <w:shd w:val="clear" w:color="auto" w:fill="CCEEFF"/>
          </w:tcPr>
          <w:p>
            <w:pPr>
              <w:ind w:left="340"/>
              <w:spacing w:after="0"/>
              <w:rPr>
                <w:sz w:val="20"/>
                <w:szCs w:val="20"/>
                <w:color w:val="auto"/>
              </w:rPr>
            </w:pPr>
            <w:r>
              <w:rPr>
                <w:rFonts w:ascii="Arial" w:cs="Arial" w:eastAsia="Arial" w:hAnsi="Arial"/>
                <w:sz w:val="17"/>
                <w:szCs w:val="17"/>
                <w:color w:val="auto"/>
              </w:rPr>
              <w:t>Percent ceded - excess of $1,000,000 of coverage</w:t>
            </w: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gridSpan w:val="4"/>
          </w:tcPr>
          <w:p>
            <w:pPr>
              <w:ind w:left="340"/>
              <w:spacing w:after="0"/>
              <w:rPr>
                <w:sz w:val="20"/>
                <w:szCs w:val="20"/>
                <w:color w:val="auto"/>
              </w:rPr>
            </w:pPr>
            <w:r>
              <w:rPr>
                <w:rFonts w:ascii="Arial" w:cs="Arial" w:eastAsia="Arial" w:hAnsi="Arial"/>
                <w:sz w:val="17"/>
                <w:szCs w:val="17"/>
                <w:color w:val="auto"/>
              </w:rPr>
              <w:t>Risk retained</w:t>
            </w: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7"/>
                <w:szCs w:val="17"/>
                <w:color w:val="auto"/>
              </w:rPr>
              <w:t>100,000</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100,000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gridSpan w:val="4"/>
            <w:shd w:val="clear" w:color="auto" w:fill="CCEEFF"/>
          </w:tcPr>
          <w:p>
            <w:pPr>
              <w:ind w:left="340"/>
              <w:spacing w:after="0"/>
              <w:rPr>
                <w:sz w:val="20"/>
                <w:szCs w:val="20"/>
                <w:color w:val="auto"/>
              </w:rPr>
            </w:pPr>
            <w:r>
              <w:rPr>
                <w:rFonts w:ascii="Arial" w:cs="Arial" w:eastAsia="Arial" w:hAnsi="Arial"/>
                <w:sz w:val="17"/>
                <w:szCs w:val="17"/>
                <w:color w:val="auto"/>
              </w:rPr>
              <w:t>Total reinsurance coverage per occurrence</w:t>
            </w: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4,900,000</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gridSpan w:val="4"/>
          </w:tcPr>
          <w:p>
            <w:pPr>
              <w:ind w:left="340"/>
              <w:spacing w:after="0"/>
              <w:rPr>
                <w:sz w:val="20"/>
                <w:szCs w:val="20"/>
                <w:color w:val="auto"/>
              </w:rPr>
            </w:pPr>
            <w:r>
              <w:rPr>
                <w:rFonts w:ascii="Arial" w:cs="Arial" w:eastAsia="Arial" w:hAnsi="Arial"/>
                <w:sz w:val="17"/>
                <w:szCs w:val="17"/>
                <w:color w:val="auto"/>
              </w:rPr>
              <w:t>Losses per occurrence subject to quota share reinsurance coverage</w:t>
            </w: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7"/>
                <w:szCs w:val="17"/>
                <w:color w:val="auto"/>
              </w:rPr>
              <w:t>5,000,000</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gridSpan w:val="4"/>
            <w:shd w:val="clear" w:color="auto" w:fill="CCEEFF"/>
          </w:tcPr>
          <w:p>
            <w:pPr>
              <w:ind w:left="180"/>
              <w:spacing w:after="0"/>
              <w:rPr>
                <w:sz w:val="20"/>
                <w:szCs w:val="20"/>
                <w:color w:val="auto"/>
              </w:rPr>
            </w:pPr>
            <w:r>
              <w:rPr>
                <w:rFonts w:ascii="Arial" w:cs="Arial" w:eastAsia="Arial" w:hAnsi="Arial"/>
                <w:sz w:val="17"/>
                <w:szCs w:val="17"/>
                <w:color w:val="auto"/>
              </w:rPr>
              <w:t>Expiration date</w:t>
            </w: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June 30, 2019</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June 30, 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6040" w:type="dxa"/>
            <w:vAlign w:val="bottom"/>
            <w:gridSpan w:val="4"/>
            <w:shd w:val="clear" w:color="auto" w:fill="CCEEFF"/>
          </w:tcPr>
          <w:p>
            <w:pPr>
              <w:spacing w:after="0" w:line="170" w:lineRule="exact"/>
              <w:rPr>
                <w:sz w:val="20"/>
                <w:szCs w:val="20"/>
                <w:color w:val="auto"/>
              </w:rPr>
            </w:pPr>
            <w:r>
              <w:rPr>
                <w:rFonts w:ascii="Arial" w:cs="Arial" w:eastAsia="Arial" w:hAnsi="Arial"/>
                <w:sz w:val="17"/>
                <w:szCs w:val="17"/>
                <w:color w:val="auto"/>
              </w:rPr>
              <w:t>Catastrophe Reinsurance:</w:t>
            </w:r>
          </w:p>
        </w:tc>
        <w:tc>
          <w:tcPr>
            <w:tcW w:w="2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40" w:type="dxa"/>
            <w:vAlign w:val="bottom"/>
            <w:shd w:val="clear" w:color="auto" w:fill="000000"/>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420" w:type="dxa"/>
            <w:vAlign w:val="bottom"/>
            <w:shd w:val="clear" w:color="auto" w:fill="000000"/>
          </w:tcPr>
          <w:p>
            <w:pPr>
              <w:spacing w:after="0"/>
              <w:rPr>
                <w:sz w:val="3"/>
                <w:szCs w:val="3"/>
                <w:color w:val="auto"/>
              </w:rPr>
            </w:pPr>
          </w:p>
        </w:tc>
        <w:tc>
          <w:tcPr>
            <w:tcW w:w="43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42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gridSpan w:val="4"/>
          </w:tcPr>
          <w:p>
            <w:pPr>
              <w:ind w:left="140"/>
              <w:spacing w:after="0"/>
              <w:rPr>
                <w:sz w:val="20"/>
                <w:szCs w:val="20"/>
                <w:color w:val="auto"/>
              </w:rPr>
            </w:pPr>
            <w:r>
              <w:rPr>
                <w:rFonts w:ascii="Arial" w:cs="Arial" w:eastAsia="Arial" w:hAnsi="Arial"/>
                <w:sz w:val="17"/>
                <w:szCs w:val="17"/>
                <w:color w:val="auto"/>
              </w:rPr>
              <w:t>Initial loss subject to personal lines quota share treaty</w:t>
            </w:r>
          </w:p>
        </w:tc>
        <w:tc>
          <w:tcPr>
            <w:tcW w:w="28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7"/>
                <w:szCs w:val="17"/>
                <w:color w:val="auto"/>
              </w:rPr>
              <w:t>None</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7"/>
                <w:szCs w:val="17"/>
                <w:color w:val="auto"/>
              </w:rPr>
              <w:t>5,000,000</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gridSpan w:val="4"/>
            <w:shd w:val="clear" w:color="auto" w:fill="CCEEFF"/>
          </w:tcPr>
          <w:p>
            <w:pPr>
              <w:ind w:left="180"/>
              <w:spacing w:after="0"/>
              <w:rPr>
                <w:sz w:val="20"/>
                <w:szCs w:val="20"/>
                <w:color w:val="auto"/>
              </w:rPr>
            </w:pPr>
            <w:r>
              <w:rPr>
                <w:rFonts w:ascii="Arial" w:cs="Arial" w:eastAsia="Arial" w:hAnsi="Arial"/>
                <w:sz w:val="17"/>
                <w:szCs w:val="17"/>
                <w:color w:val="auto"/>
              </w:rPr>
              <w:t>Risk retained per catastrophe occurrence (2)</w:t>
            </w: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7,500,000</w:t>
            </w: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4,500,000</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gridSpan w:val="4"/>
          </w:tcPr>
          <w:p>
            <w:pPr>
              <w:ind w:left="180"/>
              <w:spacing w:after="0"/>
              <w:rPr>
                <w:sz w:val="20"/>
                <w:szCs w:val="20"/>
                <w:color w:val="auto"/>
              </w:rPr>
            </w:pPr>
            <w:r>
              <w:rPr>
                <w:rFonts w:ascii="Arial" w:cs="Arial" w:eastAsia="Arial" w:hAnsi="Arial"/>
                <w:sz w:val="17"/>
                <w:szCs w:val="17"/>
                <w:color w:val="auto"/>
              </w:rPr>
              <w:t>Catastrophe loss coverage in excess of quota share coverage (3)</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560" w:type="dxa"/>
            <w:vAlign w:val="bottom"/>
            <w:gridSpan w:val="2"/>
          </w:tcPr>
          <w:p>
            <w:pPr>
              <w:jc w:val="right"/>
              <w:ind w:right="120"/>
              <w:spacing w:after="0"/>
              <w:rPr>
                <w:sz w:val="20"/>
                <w:szCs w:val="20"/>
                <w:color w:val="auto"/>
              </w:rPr>
            </w:pPr>
            <w:r>
              <w:rPr>
                <w:rFonts w:ascii="Arial" w:cs="Arial" w:eastAsia="Arial" w:hAnsi="Arial"/>
                <w:sz w:val="17"/>
                <w:szCs w:val="17"/>
                <w:color w:val="auto"/>
              </w:rPr>
              <w:t>602,500,000</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7"/>
                <w:szCs w:val="17"/>
                <w:color w:val="auto"/>
              </w:rPr>
              <w:t>445,000,000</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315,000,000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gridSpan w:val="4"/>
            <w:shd w:val="clear" w:color="auto" w:fill="CCEEFF"/>
          </w:tcPr>
          <w:p>
            <w:pPr>
              <w:ind w:left="180"/>
              <w:spacing w:after="0"/>
              <w:rPr>
                <w:sz w:val="20"/>
                <w:szCs w:val="20"/>
                <w:color w:val="auto"/>
              </w:rPr>
            </w:pPr>
            <w:r>
              <w:rPr>
                <w:rFonts w:ascii="Arial" w:cs="Arial" w:eastAsia="Arial" w:hAnsi="Arial"/>
                <w:sz w:val="17"/>
                <w:szCs w:val="17"/>
                <w:color w:val="auto"/>
              </w:rPr>
              <w:t>Reinstatement premium protection (4)(5)(6)</w:t>
            </w: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Yes</w:t>
            </w:r>
          </w:p>
        </w:tc>
        <w:tc>
          <w:tcPr>
            <w:tcW w:w="2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Yes</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Yes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640" w:hanging="321"/>
        <w:spacing w:after="0" w:line="260" w:lineRule="auto"/>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For personal lines, includes the addition of an automatic facultative facility allowing KICO to obtain homeowners single risk coverage up to $10,000,000 in total insured value, which covers direct losses from $3,500,000 to $10,000,000.</w:t>
      </w:r>
    </w:p>
    <w:p>
      <w:pPr>
        <w:spacing w:after="0" w:line="1" w:lineRule="exact"/>
        <w:rPr>
          <w:rFonts w:ascii="Arial" w:cs="Arial" w:eastAsia="Arial" w:hAnsi="Arial"/>
          <w:sz w:val="17"/>
          <w:szCs w:val="17"/>
          <w:color w:val="auto"/>
        </w:rPr>
      </w:pPr>
    </w:p>
    <w:p>
      <w:pPr>
        <w:ind w:left="640" w:hanging="321"/>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Plus losses in excess of catastrophe coverage.</w:t>
      </w:r>
    </w:p>
    <w:p>
      <w:pPr>
        <w:spacing w:after="0" w:line="13" w:lineRule="exact"/>
        <w:rPr>
          <w:rFonts w:ascii="Arial" w:cs="Arial" w:eastAsia="Arial" w:hAnsi="Arial"/>
          <w:sz w:val="17"/>
          <w:szCs w:val="17"/>
          <w:color w:val="auto"/>
        </w:rPr>
      </w:pPr>
    </w:p>
    <w:p>
      <w:pPr>
        <w:ind w:left="640" w:hanging="321"/>
        <w:spacing w:after="0" w:line="256" w:lineRule="auto"/>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Catastrophe coverage is limited on an annual basis to two times the per occurrence amounts. Duration of 168 consecutive hours for a catastrophe occurrence from windstorm, hail, tornado, hurricane and cyclone.</w:t>
      </w:r>
    </w:p>
    <w:p>
      <w:pPr>
        <w:spacing w:after="0" w:line="1" w:lineRule="exact"/>
        <w:rPr>
          <w:rFonts w:ascii="Arial" w:cs="Arial" w:eastAsia="Arial" w:hAnsi="Arial"/>
          <w:sz w:val="17"/>
          <w:szCs w:val="17"/>
          <w:color w:val="auto"/>
        </w:rPr>
      </w:pPr>
    </w:p>
    <w:p>
      <w:pPr>
        <w:ind w:left="640" w:hanging="321"/>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Effective July 1, 2017, reinstatement premium protection for $145,000,000 of catastrophe coverage in excess of $5,000,000.</w:t>
      </w:r>
    </w:p>
    <w:p>
      <w:pPr>
        <w:spacing w:after="0" w:line="13" w:lineRule="exact"/>
        <w:rPr>
          <w:rFonts w:ascii="Arial" w:cs="Arial" w:eastAsia="Arial" w:hAnsi="Arial"/>
          <w:sz w:val="17"/>
          <w:szCs w:val="17"/>
          <w:color w:val="auto"/>
        </w:rPr>
      </w:pPr>
    </w:p>
    <w:p>
      <w:pPr>
        <w:ind w:left="640" w:hanging="321"/>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Effective July 1, 2018, reinstatement premium protection for $210,000,000 of catastrophe coverage in excess of $5,000,000.</w:t>
      </w:r>
    </w:p>
    <w:p>
      <w:pPr>
        <w:spacing w:after="0" w:line="13" w:lineRule="exact"/>
        <w:rPr>
          <w:rFonts w:ascii="Arial" w:cs="Arial" w:eastAsia="Arial" w:hAnsi="Arial"/>
          <w:sz w:val="17"/>
          <w:szCs w:val="17"/>
          <w:color w:val="auto"/>
        </w:rPr>
      </w:pPr>
    </w:p>
    <w:p>
      <w:pPr>
        <w:ind w:left="640" w:hanging="321"/>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Effective July 1, 2019, reinstatement premium protection for $292,500,000 of catastrophe coverage in excess of $7,500,000.</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30" w:name="page31"/>
    <w:bookmarkEnd w:id="30"/>
    <w:p>
      <w:pPr>
        <w:spacing w:after="0"/>
        <w:rPr>
          <w:sz w:val="20"/>
          <w:szCs w:val="20"/>
          <w:color w:val="auto"/>
        </w:rPr>
      </w:pPr>
      <w:r>
        <w:rPr>
          <w:rFonts w:ascii="Arial" w:cs="Arial" w:eastAsia="Arial" w:hAnsi="Arial"/>
          <w:sz w:val="17"/>
          <w:szCs w:val="17"/>
          <w:color w:val="auto"/>
        </w:rPr>
        <w:t>The single maximum risks per occurrence to which the Company is subject under the treaties effective July 1, 2018 and 2017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Treaty</w:t>
            </w:r>
          </w:p>
        </w:tc>
        <w:tc>
          <w:tcPr>
            <w:tcW w:w="3600" w:type="dxa"/>
            <w:vAlign w:val="bottom"/>
            <w:gridSpan w:val="4"/>
          </w:tcPr>
          <w:p>
            <w:pPr>
              <w:ind w:left="940"/>
              <w:spacing w:after="0"/>
              <w:rPr>
                <w:sz w:val="20"/>
                <w:szCs w:val="20"/>
                <w:color w:val="auto"/>
              </w:rPr>
            </w:pPr>
            <w:r>
              <w:rPr>
                <w:rFonts w:ascii="Arial" w:cs="Arial" w:eastAsia="Arial" w:hAnsi="Arial"/>
                <w:sz w:val="14"/>
                <w:szCs w:val="14"/>
                <w:b w:val="1"/>
                <w:bCs w:val="1"/>
                <w:color w:val="auto"/>
              </w:rPr>
              <w:t>July 1, 2018 - June 30, 2019</w:t>
            </w:r>
          </w:p>
        </w:tc>
        <w:tc>
          <w:tcPr>
            <w:tcW w:w="60" w:type="dxa"/>
            <w:vAlign w:val="bottom"/>
          </w:tcPr>
          <w:p>
            <w:pPr>
              <w:spacing w:after="0"/>
              <w:rPr>
                <w:sz w:val="15"/>
                <w:szCs w:val="15"/>
                <w:color w:val="auto"/>
              </w:rPr>
            </w:pPr>
          </w:p>
        </w:tc>
        <w:tc>
          <w:tcPr>
            <w:tcW w:w="3540" w:type="dxa"/>
            <w:vAlign w:val="bottom"/>
            <w:gridSpan w:val="4"/>
          </w:tcPr>
          <w:p>
            <w:pPr>
              <w:ind w:left="960"/>
              <w:spacing w:after="0"/>
              <w:rPr>
                <w:sz w:val="20"/>
                <w:szCs w:val="20"/>
                <w:color w:val="auto"/>
              </w:rPr>
            </w:pPr>
            <w:r>
              <w:rPr>
                <w:rFonts w:ascii="Arial" w:cs="Arial" w:eastAsia="Arial" w:hAnsi="Arial"/>
                <w:sz w:val="14"/>
                <w:szCs w:val="14"/>
                <w:b w:val="1"/>
                <w:bCs w:val="1"/>
                <w:color w:val="auto"/>
              </w:rPr>
              <w:t>July 1, 2017 - June 30, 2018</w:t>
            </w:r>
          </w:p>
        </w:tc>
        <w:tc>
          <w:tcPr>
            <w:tcW w:w="0" w:type="dxa"/>
            <w:vAlign w:val="bottom"/>
          </w:tcPr>
          <w:p>
            <w:pPr>
              <w:spacing w:after="0"/>
              <w:rPr>
                <w:sz w:val="1"/>
                <w:szCs w:val="1"/>
                <w:color w:val="auto"/>
              </w:rPr>
            </w:pPr>
          </w:p>
        </w:tc>
      </w:tr>
      <w:tr>
        <w:trPr>
          <w:trHeight w:val="183"/>
        </w:trPr>
        <w:tc>
          <w:tcPr>
            <w:tcW w:w="4240" w:type="dxa"/>
            <w:vAlign w:val="bottom"/>
            <w:gridSpan w:val="3"/>
            <w:vMerge w:val="continue"/>
          </w:tcPr>
          <w:p>
            <w:pPr>
              <w:spacing w:after="0"/>
              <w:rPr>
                <w:sz w:val="15"/>
                <w:szCs w:val="15"/>
                <w:color w:val="auto"/>
              </w:rPr>
            </w:pPr>
          </w:p>
        </w:tc>
        <w:tc>
          <w:tcPr>
            <w:tcW w:w="1720" w:type="dxa"/>
            <w:vAlign w:val="bottom"/>
            <w:tcBorders>
              <w:top w:val="single" w:sz="8" w:color="auto"/>
            </w:tcBorders>
          </w:tcPr>
          <w:p>
            <w:pPr>
              <w:ind w:left="400"/>
              <w:spacing w:after="0"/>
              <w:rPr>
                <w:sz w:val="20"/>
                <w:szCs w:val="20"/>
                <w:color w:val="auto"/>
              </w:rPr>
            </w:pPr>
            <w:r>
              <w:rPr>
                <w:rFonts w:ascii="Arial" w:cs="Arial" w:eastAsia="Arial" w:hAnsi="Arial"/>
                <w:sz w:val="14"/>
                <w:szCs w:val="14"/>
                <w:b w:val="1"/>
                <w:bCs w:val="1"/>
                <w:color w:val="auto"/>
              </w:rPr>
              <w:t>Range of Loss</w:t>
            </w:r>
          </w:p>
        </w:tc>
        <w:tc>
          <w:tcPr>
            <w:tcW w:w="12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tcPr>
          <w:p>
            <w:pPr>
              <w:ind w:left="400"/>
              <w:spacing w:after="0"/>
              <w:rPr>
                <w:sz w:val="20"/>
                <w:szCs w:val="20"/>
                <w:color w:val="auto"/>
              </w:rPr>
            </w:pPr>
            <w:r>
              <w:rPr>
                <w:rFonts w:ascii="Arial" w:cs="Arial" w:eastAsia="Arial" w:hAnsi="Arial"/>
                <w:sz w:val="14"/>
                <w:szCs w:val="14"/>
                <w:b w:val="1"/>
                <w:bCs w:val="1"/>
                <w:color w:val="auto"/>
              </w:rPr>
              <w:t>Risk Retained</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20" w:type="dxa"/>
            <w:vAlign w:val="bottom"/>
            <w:tcBorders>
              <w:top w:val="single" w:sz="8" w:color="auto"/>
            </w:tcBorders>
          </w:tcPr>
          <w:p>
            <w:pPr>
              <w:ind w:left="440"/>
              <w:spacing w:after="0"/>
              <w:rPr>
                <w:sz w:val="20"/>
                <w:szCs w:val="20"/>
                <w:color w:val="auto"/>
              </w:rPr>
            </w:pPr>
            <w:r>
              <w:rPr>
                <w:rFonts w:ascii="Arial" w:cs="Arial" w:eastAsia="Arial" w:hAnsi="Arial"/>
                <w:sz w:val="14"/>
                <w:szCs w:val="14"/>
                <w:b w:val="1"/>
                <w:bCs w:val="1"/>
                <w:color w:val="auto"/>
              </w:rPr>
              <w:t>Range of Loss</w:t>
            </w:r>
          </w:p>
        </w:tc>
        <w:tc>
          <w:tcPr>
            <w:tcW w:w="10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Risk Retained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Personal Lines (1)</w:t>
            </w: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$1,000,000</w:t>
            </w: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$900,000</w:t>
            </w:r>
          </w:p>
        </w:tc>
        <w:tc>
          <w:tcPr>
            <w:tcW w:w="60" w:type="dxa"/>
            <w:vAlign w:val="bottom"/>
            <w:shd w:val="clear" w:color="auto" w:fill="CCEEFF"/>
          </w:tcPr>
          <w:p>
            <w:pPr>
              <w:spacing w:after="0"/>
              <w:rPr>
                <w:sz w:val="18"/>
                <w:szCs w:val="18"/>
                <w:color w:val="auto"/>
              </w:rPr>
            </w:pPr>
          </w:p>
        </w:tc>
        <w:tc>
          <w:tcPr>
            <w:tcW w:w="17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$1,000,000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ind w:left="40"/>
              <w:spacing w:after="0"/>
              <w:rPr>
                <w:sz w:val="20"/>
                <w:szCs w:val="20"/>
                <w:color w:val="auto"/>
              </w:rPr>
            </w:pPr>
            <w:r>
              <w:rPr>
                <w:rFonts w:ascii="Arial" w:cs="Arial" w:eastAsia="Arial" w:hAnsi="Arial"/>
                <w:sz w:val="17"/>
                <w:szCs w:val="17"/>
                <w:color w:val="auto"/>
              </w:rPr>
              <w:t>$1,000,000 -</w:t>
            </w:r>
          </w:p>
        </w:tc>
        <w:tc>
          <w:tcPr>
            <w:tcW w:w="120" w:type="dxa"/>
            <w:vAlign w:val="bottom"/>
          </w:tcPr>
          <w:p>
            <w:pPr>
              <w:spacing w:after="0"/>
              <w:rPr>
                <w:sz w:val="17"/>
                <w:szCs w:val="17"/>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7"/>
                <w:szCs w:val="17"/>
                <w:color w:val="auto"/>
              </w:rPr>
              <w:t>None(2)</w:t>
            </w:r>
          </w:p>
        </w:tc>
        <w:tc>
          <w:tcPr>
            <w:tcW w:w="1780" w:type="dxa"/>
            <w:vAlign w:val="bottom"/>
            <w:gridSpan w:val="2"/>
          </w:tcPr>
          <w:p>
            <w:pPr>
              <w:ind w:left="100"/>
              <w:spacing w:after="0"/>
              <w:rPr>
                <w:sz w:val="20"/>
                <w:szCs w:val="20"/>
                <w:color w:val="auto"/>
              </w:rPr>
            </w:pPr>
            <w:r>
              <w:rPr>
                <w:rFonts w:ascii="Arial" w:cs="Arial" w:eastAsia="Arial" w:hAnsi="Arial"/>
                <w:sz w:val="17"/>
                <w:szCs w:val="17"/>
                <w:color w:val="auto"/>
              </w:rPr>
              <w:t>$1,000,000 -</w:t>
            </w:r>
          </w:p>
        </w:tc>
        <w:tc>
          <w:tcPr>
            <w:tcW w:w="1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None(2)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7"/>
                <w:szCs w:val="17"/>
                <w:color w:val="auto"/>
              </w:rPr>
              <w:t>$10,000,000</w:t>
            </w: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auto"/>
              </w:rPr>
              <w:t>$10,000,000</w:t>
            </w: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$10,000,000</w:t>
            </w:r>
          </w:p>
        </w:tc>
        <w:tc>
          <w:tcPr>
            <w:tcW w:w="1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100%</w:t>
            </w:r>
          </w:p>
        </w:tc>
        <w:tc>
          <w:tcPr>
            <w:tcW w:w="60" w:type="dxa"/>
            <w:vAlign w:val="bottom"/>
            <w:shd w:val="clear" w:color="auto" w:fill="CCEEFF"/>
          </w:tcPr>
          <w:p>
            <w:pPr>
              <w:spacing w:after="0"/>
              <w:rPr>
                <w:sz w:val="18"/>
                <w:szCs w:val="18"/>
                <w:color w:val="auto"/>
              </w:rPr>
            </w:pPr>
          </w:p>
        </w:tc>
        <w:tc>
          <w:tcPr>
            <w:tcW w:w="17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$10,000,000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Personal Umbrella</w:t>
            </w:r>
          </w:p>
        </w:tc>
        <w:tc>
          <w:tcPr>
            <w:tcW w:w="17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$1,000,000</w:t>
            </w:r>
          </w:p>
        </w:tc>
        <w:tc>
          <w:tcPr>
            <w:tcW w:w="1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$100,000</w:t>
            </w:r>
          </w:p>
        </w:tc>
        <w:tc>
          <w:tcPr>
            <w:tcW w:w="60" w:type="dxa"/>
            <w:vAlign w:val="bottom"/>
            <w:shd w:val="clear" w:color="auto" w:fill="CCEEFF"/>
          </w:tcPr>
          <w:p>
            <w:pPr>
              <w:spacing w:after="0"/>
              <w:rPr>
                <w:sz w:val="18"/>
                <w:szCs w:val="18"/>
                <w:color w:val="auto"/>
              </w:rPr>
            </w:pPr>
          </w:p>
        </w:tc>
        <w:tc>
          <w:tcPr>
            <w:tcW w:w="17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$1,000,000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ind w:left="40"/>
              <w:spacing w:after="0"/>
              <w:rPr>
                <w:sz w:val="20"/>
                <w:szCs w:val="20"/>
                <w:color w:val="auto"/>
              </w:rPr>
            </w:pPr>
            <w:r>
              <w:rPr>
                <w:rFonts w:ascii="Arial" w:cs="Arial" w:eastAsia="Arial" w:hAnsi="Arial"/>
                <w:sz w:val="17"/>
                <w:szCs w:val="17"/>
                <w:color w:val="auto"/>
              </w:rPr>
              <w:t>$1,000,000 -</w:t>
            </w:r>
          </w:p>
        </w:tc>
        <w:tc>
          <w:tcPr>
            <w:tcW w:w="120" w:type="dxa"/>
            <w:vAlign w:val="bottom"/>
          </w:tcPr>
          <w:p>
            <w:pPr>
              <w:spacing w:after="0"/>
              <w:rPr>
                <w:sz w:val="17"/>
                <w:szCs w:val="17"/>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7"/>
                <w:szCs w:val="17"/>
                <w:color w:val="auto"/>
              </w:rPr>
              <w:t>None</w:t>
            </w:r>
          </w:p>
        </w:tc>
        <w:tc>
          <w:tcPr>
            <w:tcW w:w="1780" w:type="dxa"/>
            <w:vAlign w:val="bottom"/>
            <w:gridSpan w:val="2"/>
          </w:tcPr>
          <w:p>
            <w:pPr>
              <w:ind w:left="100"/>
              <w:spacing w:after="0"/>
              <w:rPr>
                <w:sz w:val="20"/>
                <w:szCs w:val="20"/>
                <w:color w:val="auto"/>
              </w:rPr>
            </w:pPr>
            <w:r>
              <w:rPr>
                <w:rFonts w:ascii="Arial" w:cs="Arial" w:eastAsia="Arial" w:hAnsi="Arial"/>
                <w:sz w:val="17"/>
                <w:szCs w:val="17"/>
                <w:color w:val="auto"/>
              </w:rPr>
              <w:t>$1,000,000 -</w:t>
            </w:r>
          </w:p>
        </w:tc>
        <w:tc>
          <w:tcPr>
            <w:tcW w:w="1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None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7"/>
                <w:szCs w:val="17"/>
                <w:color w:val="auto"/>
              </w:rPr>
              <w:t>$5,000,000</w:t>
            </w: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auto"/>
              </w:rPr>
              <w:t>$5,000,000</w:t>
            </w: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$5,000,000</w:t>
            </w:r>
          </w:p>
        </w:tc>
        <w:tc>
          <w:tcPr>
            <w:tcW w:w="1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100%</w:t>
            </w:r>
          </w:p>
        </w:tc>
        <w:tc>
          <w:tcPr>
            <w:tcW w:w="60" w:type="dxa"/>
            <w:vAlign w:val="bottom"/>
            <w:shd w:val="clear" w:color="auto" w:fill="CCEEFF"/>
          </w:tcPr>
          <w:p>
            <w:pPr>
              <w:spacing w:after="0"/>
              <w:rPr>
                <w:sz w:val="18"/>
                <w:szCs w:val="18"/>
                <w:color w:val="auto"/>
              </w:rPr>
            </w:pPr>
          </w:p>
        </w:tc>
        <w:tc>
          <w:tcPr>
            <w:tcW w:w="17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$5,000,000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Commercial Lines</w:t>
            </w:r>
          </w:p>
        </w:tc>
        <w:tc>
          <w:tcPr>
            <w:tcW w:w="17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$750,000</w:t>
            </w:r>
          </w:p>
        </w:tc>
        <w:tc>
          <w:tcPr>
            <w:tcW w:w="1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$750,000</w:t>
            </w:r>
          </w:p>
        </w:tc>
        <w:tc>
          <w:tcPr>
            <w:tcW w:w="60" w:type="dxa"/>
            <w:vAlign w:val="bottom"/>
            <w:shd w:val="clear" w:color="auto" w:fill="CCEEFF"/>
          </w:tcPr>
          <w:p>
            <w:pPr>
              <w:spacing w:after="0"/>
              <w:rPr>
                <w:sz w:val="18"/>
                <w:szCs w:val="18"/>
                <w:color w:val="auto"/>
              </w:rPr>
            </w:pPr>
          </w:p>
        </w:tc>
        <w:tc>
          <w:tcPr>
            <w:tcW w:w="17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$750,000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$750,000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ind w:left="40"/>
              <w:spacing w:after="0"/>
              <w:rPr>
                <w:sz w:val="20"/>
                <w:szCs w:val="20"/>
                <w:color w:val="auto"/>
              </w:rPr>
            </w:pPr>
            <w:r>
              <w:rPr>
                <w:rFonts w:ascii="Arial" w:cs="Arial" w:eastAsia="Arial" w:hAnsi="Arial"/>
                <w:sz w:val="17"/>
                <w:szCs w:val="17"/>
                <w:color w:val="auto"/>
                <w:w w:val="97"/>
              </w:rPr>
              <w:t>$750,000 - $4,500,000</w:t>
            </w:r>
          </w:p>
        </w:tc>
        <w:tc>
          <w:tcPr>
            <w:tcW w:w="120" w:type="dxa"/>
            <w:vAlign w:val="bottom"/>
          </w:tcPr>
          <w:p>
            <w:pPr>
              <w:spacing w:after="0"/>
              <w:rPr>
                <w:sz w:val="18"/>
                <w:szCs w:val="18"/>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7"/>
                <w:szCs w:val="17"/>
                <w:color w:val="auto"/>
              </w:rPr>
              <w:t>None(3)</w:t>
            </w:r>
          </w:p>
        </w:tc>
        <w:tc>
          <w:tcPr>
            <w:tcW w:w="1780" w:type="dxa"/>
            <w:vAlign w:val="bottom"/>
            <w:gridSpan w:val="2"/>
          </w:tcPr>
          <w:p>
            <w:pPr>
              <w:ind w:left="100"/>
              <w:spacing w:after="0"/>
              <w:rPr>
                <w:sz w:val="20"/>
                <w:szCs w:val="20"/>
                <w:color w:val="auto"/>
              </w:rPr>
            </w:pPr>
            <w:r>
              <w:rPr>
                <w:rFonts w:ascii="Arial" w:cs="Arial" w:eastAsia="Arial" w:hAnsi="Arial"/>
                <w:sz w:val="17"/>
                <w:szCs w:val="17"/>
                <w:color w:val="auto"/>
                <w:w w:val="97"/>
              </w:rPr>
              <w:t>$750,000 - $4,500,000</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None(3)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$4,500,000</w:t>
            </w:r>
          </w:p>
        </w:tc>
        <w:tc>
          <w:tcPr>
            <w:tcW w:w="1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100%</w:t>
            </w:r>
          </w:p>
        </w:tc>
        <w:tc>
          <w:tcPr>
            <w:tcW w:w="60" w:type="dxa"/>
            <w:vAlign w:val="bottom"/>
            <w:shd w:val="clear" w:color="auto" w:fill="CCEEFF"/>
          </w:tcPr>
          <w:p>
            <w:pPr>
              <w:spacing w:after="0"/>
              <w:rPr>
                <w:sz w:val="18"/>
                <w:szCs w:val="18"/>
                <w:color w:val="auto"/>
              </w:rPr>
            </w:pPr>
          </w:p>
        </w:tc>
        <w:tc>
          <w:tcPr>
            <w:tcW w:w="17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$4,500,000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Commercial Umbrella</w:t>
            </w:r>
          </w:p>
        </w:tc>
        <w:tc>
          <w:tcPr>
            <w:tcW w:w="17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$1,000,000</w:t>
            </w:r>
          </w:p>
        </w:tc>
        <w:tc>
          <w:tcPr>
            <w:tcW w:w="1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$100,000</w:t>
            </w:r>
          </w:p>
        </w:tc>
        <w:tc>
          <w:tcPr>
            <w:tcW w:w="60" w:type="dxa"/>
            <w:vAlign w:val="bottom"/>
            <w:shd w:val="clear" w:color="auto" w:fill="CCEEFF"/>
          </w:tcPr>
          <w:p>
            <w:pPr>
              <w:spacing w:after="0"/>
              <w:rPr>
                <w:sz w:val="18"/>
                <w:szCs w:val="18"/>
                <w:color w:val="auto"/>
              </w:rPr>
            </w:pPr>
          </w:p>
        </w:tc>
        <w:tc>
          <w:tcPr>
            <w:tcW w:w="17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$1,000,000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ind w:left="40"/>
              <w:spacing w:after="0"/>
              <w:rPr>
                <w:sz w:val="20"/>
                <w:szCs w:val="20"/>
                <w:color w:val="auto"/>
              </w:rPr>
            </w:pPr>
            <w:r>
              <w:rPr>
                <w:rFonts w:ascii="Arial" w:cs="Arial" w:eastAsia="Arial" w:hAnsi="Arial"/>
                <w:sz w:val="17"/>
                <w:szCs w:val="17"/>
                <w:color w:val="auto"/>
              </w:rPr>
              <w:t>$1,000,000 -</w:t>
            </w:r>
          </w:p>
        </w:tc>
        <w:tc>
          <w:tcPr>
            <w:tcW w:w="120" w:type="dxa"/>
            <w:vAlign w:val="bottom"/>
          </w:tcPr>
          <w:p>
            <w:pPr>
              <w:spacing w:after="0"/>
              <w:rPr>
                <w:sz w:val="17"/>
                <w:szCs w:val="17"/>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7"/>
                <w:szCs w:val="17"/>
                <w:color w:val="auto"/>
              </w:rPr>
              <w:t>None</w:t>
            </w:r>
          </w:p>
        </w:tc>
        <w:tc>
          <w:tcPr>
            <w:tcW w:w="1780" w:type="dxa"/>
            <w:vAlign w:val="bottom"/>
            <w:gridSpan w:val="2"/>
          </w:tcPr>
          <w:p>
            <w:pPr>
              <w:ind w:left="100"/>
              <w:spacing w:after="0"/>
              <w:rPr>
                <w:sz w:val="20"/>
                <w:szCs w:val="20"/>
                <w:color w:val="auto"/>
              </w:rPr>
            </w:pPr>
            <w:r>
              <w:rPr>
                <w:rFonts w:ascii="Arial" w:cs="Arial" w:eastAsia="Arial" w:hAnsi="Arial"/>
                <w:sz w:val="17"/>
                <w:szCs w:val="17"/>
                <w:color w:val="auto"/>
              </w:rPr>
              <w:t>$1,000,000 -</w:t>
            </w:r>
          </w:p>
        </w:tc>
        <w:tc>
          <w:tcPr>
            <w:tcW w:w="1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None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7"/>
                <w:szCs w:val="17"/>
                <w:color w:val="auto"/>
              </w:rPr>
              <w:t>$5,000,000</w:t>
            </w: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auto"/>
              </w:rPr>
              <w:t>$5,000,000</w:t>
            </w: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$5,000,000</w:t>
            </w:r>
          </w:p>
        </w:tc>
        <w:tc>
          <w:tcPr>
            <w:tcW w:w="1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100%</w:t>
            </w:r>
          </w:p>
        </w:tc>
        <w:tc>
          <w:tcPr>
            <w:tcW w:w="60" w:type="dxa"/>
            <w:vAlign w:val="bottom"/>
            <w:shd w:val="clear" w:color="auto" w:fill="CCEEFF"/>
          </w:tcPr>
          <w:p>
            <w:pPr>
              <w:spacing w:after="0"/>
              <w:rPr>
                <w:sz w:val="18"/>
                <w:szCs w:val="18"/>
                <w:color w:val="auto"/>
              </w:rPr>
            </w:pPr>
          </w:p>
        </w:tc>
        <w:tc>
          <w:tcPr>
            <w:tcW w:w="17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$5,000,000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Catastrophe (4)</w:t>
            </w:r>
          </w:p>
        </w:tc>
        <w:tc>
          <w:tcPr>
            <w:tcW w:w="17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$5,000,000</w:t>
            </w:r>
          </w:p>
        </w:tc>
        <w:tc>
          <w:tcPr>
            <w:tcW w:w="1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$4,500,000</w:t>
            </w:r>
          </w:p>
        </w:tc>
        <w:tc>
          <w:tcPr>
            <w:tcW w:w="60" w:type="dxa"/>
            <w:vAlign w:val="bottom"/>
            <w:shd w:val="clear" w:color="auto" w:fill="CCEEFF"/>
          </w:tcPr>
          <w:p>
            <w:pPr>
              <w:spacing w:after="0"/>
              <w:rPr>
                <w:sz w:val="18"/>
                <w:szCs w:val="18"/>
                <w:color w:val="auto"/>
              </w:rPr>
            </w:pPr>
          </w:p>
        </w:tc>
        <w:tc>
          <w:tcPr>
            <w:tcW w:w="17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$5,000,000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ind w:left="40"/>
              <w:spacing w:after="0"/>
              <w:rPr>
                <w:sz w:val="20"/>
                <w:szCs w:val="20"/>
                <w:color w:val="auto"/>
              </w:rPr>
            </w:pPr>
            <w:r>
              <w:rPr>
                <w:rFonts w:ascii="Arial" w:cs="Arial" w:eastAsia="Arial" w:hAnsi="Arial"/>
                <w:sz w:val="17"/>
                <w:szCs w:val="17"/>
                <w:color w:val="auto"/>
              </w:rPr>
              <w:t>$5,000,000 -</w:t>
            </w:r>
          </w:p>
        </w:tc>
        <w:tc>
          <w:tcPr>
            <w:tcW w:w="120" w:type="dxa"/>
            <w:vAlign w:val="bottom"/>
          </w:tcPr>
          <w:p>
            <w:pPr>
              <w:spacing w:after="0"/>
              <w:rPr>
                <w:sz w:val="17"/>
                <w:szCs w:val="17"/>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7"/>
                <w:szCs w:val="17"/>
                <w:color w:val="auto"/>
              </w:rPr>
              <w:t>None</w:t>
            </w:r>
          </w:p>
        </w:tc>
        <w:tc>
          <w:tcPr>
            <w:tcW w:w="1780" w:type="dxa"/>
            <w:vAlign w:val="bottom"/>
            <w:gridSpan w:val="2"/>
          </w:tcPr>
          <w:p>
            <w:pPr>
              <w:ind w:left="100"/>
              <w:spacing w:after="0"/>
              <w:rPr>
                <w:sz w:val="20"/>
                <w:szCs w:val="20"/>
                <w:color w:val="auto"/>
              </w:rPr>
            </w:pPr>
            <w:r>
              <w:rPr>
                <w:rFonts w:ascii="Arial" w:cs="Arial" w:eastAsia="Arial" w:hAnsi="Arial"/>
                <w:sz w:val="17"/>
                <w:szCs w:val="17"/>
                <w:color w:val="auto"/>
              </w:rPr>
              <w:t>$5,000,000 -</w:t>
            </w:r>
          </w:p>
        </w:tc>
        <w:tc>
          <w:tcPr>
            <w:tcW w:w="1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None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7"/>
                <w:szCs w:val="17"/>
                <w:color w:val="auto"/>
              </w:rPr>
              <w:t>$450,000,000</w:t>
            </w: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auto"/>
              </w:rPr>
              <w:t>$320,000,000</w:t>
            </w: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$450,000,000</w:t>
            </w:r>
          </w:p>
        </w:tc>
        <w:tc>
          <w:tcPr>
            <w:tcW w:w="1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100%</w:t>
            </w:r>
          </w:p>
        </w:tc>
        <w:tc>
          <w:tcPr>
            <w:tcW w:w="60" w:type="dxa"/>
            <w:vAlign w:val="bottom"/>
            <w:shd w:val="clear" w:color="auto" w:fill="CCEEFF"/>
          </w:tcPr>
          <w:p>
            <w:pPr>
              <w:spacing w:after="0"/>
              <w:rPr>
                <w:sz w:val="18"/>
                <w:szCs w:val="18"/>
                <w:color w:val="auto"/>
              </w:rPr>
            </w:pPr>
          </w:p>
        </w:tc>
        <w:tc>
          <w:tcPr>
            <w:tcW w:w="17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$320,000,000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320" w:hanging="315"/>
        <w:spacing w:after="0"/>
        <w:tabs>
          <w:tab w:leader="none" w:pos="3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Treaty for July 1, 2017 – June 30, 2018 and July 1, 2018 – June 30, 2019 is a two-year treaty with expiration date of June 30, 2019.</w:t>
      </w:r>
    </w:p>
    <w:p>
      <w:pPr>
        <w:spacing w:after="0" w:line="20" w:lineRule="exact"/>
        <w:rPr>
          <w:rFonts w:ascii="Arial" w:cs="Arial" w:eastAsia="Arial" w:hAnsi="Arial"/>
          <w:sz w:val="17"/>
          <w:szCs w:val="17"/>
          <w:color w:val="auto"/>
        </w:rPr>
      </w:pPr>
    </w:p>
    <w:p>
      <w:pPr>
        <w:ind w:left="320" w:hanging="315"/>
        <w:spacing w:after="0"/>
        <w:tabs>
          <w:tab w:leader="none" w:pos="32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Covered by excess of loss treaties up to $3,500,000 and by facultative facility from $3,500,000 to $10,000,000.</w:t>
      </w:r>
    </w:p>
    <w:p>
      <w:pPr>
        <w:spacing w:after="0" w:line="13" w:lineRule="exact"/>
        <w:rPr>
          <w:rFonts w:ascii="Arial" w:cs="Arial" w:eastAsia="Arial" w:hAnsi="Arial"/>
          <w:sz w:val="17"/>
          <w:szCs w:val="17"/>
          <w:color w:val="auto"/>
        </w:rPr>
      </w:pPr>
    </w:p>
    <w:p>
      <w:pPr>
        <w:ind w:left="320" w:hanging="315"/>
        <w:spacing w:after="0"/>
        <w:tabs>
          <w:tab w:leader="none" w:pos="32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Covered by excess of loss treaties.</w:t>
      </w:r>
    </w:p>
    <w:p>
      <w:pPr>
        <w:spacing w:after="0" w:line="13" w:lineRule="exact"/>
        <w:rPr>
          <w:rFonts w:ascii="Arial" w:cs="Arial" w:eastAsia="Arial" w:hAnsi="Arial"/>
          <w:sz w:val="17"/>
          <w:szCs w:val="17"/>
          <w:color w:val="auto"/>
        </w:rPr>
      </w:pPr>
    </w:p>
    <w:p>
      <w:pPr>
        <w:ind w:left="320" w:hanging="315"/>
        <w:spacing w:after="0"/>
        <w:tabs>
          <w:tab w:leader="none" w:pos="320" w:val="left"/>
        </w:tabs>
        <w:numPr>
          <w:ilvl w:val="0"/>
          <w:numId w:val="6"/>
        </w:numPr>
        <w:rPr>
          <w:rFonts w:ascii="Arial" w:cs="Arial" w:eastAsia="Arial" w:hAnsi="Arial"/>
          <w:sz w:val="17"/>
          <w:szCs w:val="17"/>
          <w:color w:val="auto"/>
        </w:rPr>
      </w:pPr>
      <w:r>
        <w:rPr>
          <w:rFonts w:ascii="Arial" w:cs="Arial" w:eastAsia="Arial" w:hAnsi="Arial"/>
          <w:sz w:val="17"/>
          <w:szCs w:val="17"/>
          <w:color w:val="auto"/>
        </w:rPr>
        <w:t>Catastrophe coverage is limited on an annual basis to two times the per occurrence amounts.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The single maximum risks per occurrence to which the Company is subject under the treaty year shown below are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740" w:type="dxa"/>
            <w:vAlign w:val="bottom"/>
            <w:gridSpan w:val="4"/>
          </w:tcPr>
          <w:p>
            <w:pPr>
              <w:ind w:left="1860"/>
              <w:spacing w:after="0"/>
              <w:rPr>
                <w:sz w:val="20"/>
                <w:szCs w:val="20"/>
                <w:color w:val="auto"/>
              </w:rPr>
            </w:pPr>
            <w:r>
              <w:rPr>
                <w:rFonts w:ascii="Arial" w:cs="Arial" w:eastAsia="Arial" w:hAnsi="Arial"/>
                <w:sz w:val="17"/>
                <w:szCs w:val="17"/>
                <w:b w:val="1"/>
                <w:bCs w:val="1"/>
                <w:color w:val="auto"/>
              </w:rPr>
              <w:t>July 1, 2019 - June 30, 2020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6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Treaty</w:t>
            </w:r>
          </w:p>
        </w:tc>
        <w:tc>
          <w:tcPr>
            <w:tcW w:w="120" w:type="dxa"/>
            <w:vAlign w:val="bottom"/>
          </w:tcPr>
          <w:p>
            <w:pPr>
              <w:spacing w:after="0"/>
              <w:rPr>
                <w:sz w:val="18"/>
                <w:szCs w:val="18"/>
                <w:color w:val="auto"/>
              </w:rPr>
            </w:pPr>
          </w:p>
        </w:tc>
        <w:tc>
          <w:tcPr>
            <w:tcW w:w="280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7"/>
                <w:szCs w:val="17"/>
                <w:b w:val="1"/>
                <w:bCs w:val="1"/>
                <w:color w:val="auto"/>
              </w:rPr>
              <w:t>Range of Loss</w:t>
            </w:r>
          </w:p>
        </w:tc>
        <w:tc>
          <w:tcPr>
            <w:tcW w:w="120" w:type="dxa"/>
            <w:vAlign w:val="bottom"/>
            <w:tcBorders>
              <w:top w:val="single" w:sz="8" w:color="auto"/>
            </w:tcBorders>
          </w:tcPr>
          <w:p>
            <w:pPr>
              <w:spacing w:after="0"/>
              <w:rPr>
                <w:sz w:val="18"/>
                <w:szCs w:val="18"/>
                <w:color w:val="auto"/>
              </w:rPr>
            </w:pPr>
          </w:p>
        </w:tc>
        <w:tc>
          <w:tcPr>
            <w:tcW w:w="2800" w:type="dxa"/>
            <w:vAlign w:val="bottom"/>
            <w:tcBorders>
              <w:top w:val="single" w:sz="8" w:color="auto"/>
              <w:bottom w:val="single" w:sz="8" w:color="auto"/>
            </w:tcBorders>
          </w:tcPr>
          <w:p>
            <w:pPr>
              <w:jc w:val="right"/>
              <w:ind w:right="815"/>
              <w:spacing w:after="0"/>
              <w:rPr>
                <w:sz w:val="20"/>
                <w:szCs w:val="20"/>
                <w:color w:val="auto"/>
              </w:rPr>
            </w:pPr>
            <w:r>
              <w:rPr>
                <w:rFonts w:ascii="Arial" w:cs="Arial" w:eastAsia="Arial" w:hAnsi="Arial"/>
                <w:sz w:val="17"/>
                <w:szCs w:val="17"/>
                <w:b w:val="1"/>
                <w:bCs w:val="1"/>
                <w:color w:val="auto"/>
              </w:rPr>
              <w:t>Risk Retained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Personal Lines (1)</w:t>
            </w:r>
          </w:p>
        </w:tc>
        <w:tc>
          <w:tcPr>
            <w:tcW w:w="2800" w:type="dxa"/>
            <w:vAlign w:val="bottom"/>
            <w:shd w:val="clear" w:color="auto" w:fill="CCEEFF"/>
          </w:tcPr>
          <w:p>
            <w:pPr>
              <w:ind w:left="60"/>
              <w:spacing w:after="0"/>
              <w:rPr>
                <w:sz w:val="20"/>
                <w:szCs w:val="20"/>
                <w:color w:val="auto"/>
              </w:rPr>
            </w:pPr>
            <w:r>
              <w:rPr>
                <w:rFonts w:ascii="Arial" w:cs="Arial" w:eastAsia="Arial" w:hAnsi="Arial"/>
                <w:sz w:val="17"/>
                <w:szCs w:val="17"/>
                <w:color w:val="auto"/>
              </w:rPr>
              <w:t>Initial $1,000,000</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ind w:left="60"/>
              <w:spacing w:after="0"/>
              <w:rPr>
                <w:sz w:val="20"/>
                <w:szCs w:val="20"/>
                <w:color w:val="auto"/>
              </w:rPr>
            </w:pPr>
            <w:r>
              <w:rPr>
                <w:rFonts w:ascii="Arial" w:cs="Arial" w:eastAsia="Arial" w:hAnsi="Arial"/>
                <w:sz w:val="17"/>
                <w:szCs w:val="17"/>
                <w:color w:val="auto"/>
              </w:rPr>
              <w:t>$1,000,000 - $10,000,000</w:t>
            </w:r>
          </w:p>
        </w:tc>
        <w:tc>
          <w:tcPr>
            <w:tcW w:w="120" w:type="dxa"/>
            <w:vAlign w:val="bottom"/>
          </w:tcPr>
          <w:p>
            <w:pPr>
              <w:spacing w:after="0"/>
              <w:rPr>
                <w:sz w:val="18"/>
                <w:szCs w:val="18"/>
                <w:color w:val="auto"/>
              </w:rPr>
            </w:pPr>
          </w:p>
        </w:tc>
        <w:tc>
          <w:tcPr>
            <w:tcW w:w="2800" w:type="dxa"/>
            <w:vAlign w:val="bottom"/>
          </w:tcPr>
          <w:p>
            <w:pPr>
              <w:jc w:val="right"/>
              <w:spacing w:after="0"/>
              <w:rPr>
                <w:sz w:val="20"/>
                <w:szCs w:val="20"/>
                <w:color w:val="auto"/>
              </w:rPr>
            </w:pPr>
            <w:r>
              <w:rPr>
                <w:rFonts w:ascii="Arial" w:cs="Arial" w:eastAsia="Arial" w:hAnsi="Arial"/>
                <w:sz w:val="17"/>
                <w:szCs w:val="17"/>
                <w:color w:val="auto"/>
              </w:rPr>
              <w:t>None(2)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ind w:left="60"/>
              <w:spacing w:after="0"/>
              <w:rPr>
                <w:sz w:val="20"/>
                <w:szCs w:val="20"/>
                <w:color w:val="auto"/>
              </w:rPr>
            </w:pPr>
            <w:r>
              <w:rPr>
                <w:rFonts w:ascii="Arial" w:cs="Arial" w:eastAsia="Arial" w:hAnsi="Arial"/>
                <w:sz w:val="17"/>
                <w:szCs w:val="17"/>
                <w:color w:val="auto"/>
              </w:rPr>
              <w:t>Over $10,000,000</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Personal Umbrella</w:t>
            </w:r>
          </w:p>
        </w:tc>
        <w:tc>
          <w:tcPr>
            <w:tcW w:w="2800" w:type="dxa"/>
            <w:vAlign w:val="bottom"/>
            <w:shd w:val="clear" w:color="auto" w:fill="CCEEFF"/>
          </w:tcPr>
          <w:p>
            <w:pPr>
              <w:ind w:left="60"/>
              <w:spacing w:after="0"/>
              <w:rPr>
                <w:sz w:val="20"/>
                <w:szCs w:val="20"/>
                <w:color w:val="auto"/>
              </w:rPr>
            </w:pPr>
            <w:r>
              <w:rPr>
                <w:rFonts w:ascii="Arial" w:cs="Arial" w:eastAsia="Arial" w:hAnsi="Arial"/>
                <w:sz w:val="17"/>
                <w:szCs w:val="17"/>
                <w:color w:val="auto"/>
              </w:rPr>
              <w:t>Initial $1,000,000</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ind w:left="60"/>
              <w:spacing w:after="0"/>
              <w:rPr>
                <w:sz w:val="20"/>
                <w:szCs w:val="20"/>
                <w:color w:val="auto"/>
              </w:rPr>
            </w:pPr>
            <w:r>
              <w:rPr>
                <w:rFonts w:ascii="Arial" w:cs="Arial" w:eastAsia="Arial" w:hAnsi="Arial"/>
                <w:sz w:val="17"/>
                <w:szCs w:val="17"/>
                <w:color w:val="auto"/>
              </w:rPr>
              <w:t>$1,000,000 - $5,000,000</w:t>
            </w:r>
          </w:p>
        </w:tc>
        <w:tc>
          <w:tcPr>
            <w:tcW w:w="120" w:type="dxa"/>
            <w:vAlign w:val="bottom"/>
          </w:tcPr>
          <w:p>
            <w:pPr>
              <w:spacing w:after="0"/>
              <w:rPr>
                <w:sz w:val="18"/>
                <w:szCs w:val="18"/>
                <w:color w:val="auto"/>
              </w:rPr>
            </w:pPr>
          </w:p>
        </w:tc>
        <w:tc>
          <w:tcPr>
            <w:tcW w:w="2800" w:type="dxa"/>
            <w:vAlign w:val="bottom"/>
          </w:tcPr>
          <w:p>
            <w:pPr>
              <w:jc w:val="right"/>
              <w:spacing w:after="0"/>
              <w:rPr>
                <w:sz w:val="20"/>
                <w:szCs w:val="20"/>
                <w:color w:val="auto"/>
              </w:rPr>
            </w:pPr>
            <w:r>
              <w:rPr>
                <w:rFonts w:ascii="Arial" w:cs="Arial" w:eastAsia="Arial" w:hAnsi="Arial"/>
                <w:sz w:val="17"/>
                <w:szCs w:val="17"/>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ind w:left="60"/>
              <w:spacing w:after="0"/>
              <w:rPr>
                <w:sz w:val="20"/>
                <w:szCs w:val="20"/>
                <w:color w:val="auto"/>
              </w:rPr>
            </w:pPr>
            <w:r>
              <w:rPr>
                <w:rFonts w:ascii="Arial" w:cs="Arial" w:eastAsia="Arial" w:hAnsi="Arial"/>
                <w:sz w:val="17"/>
                <w:szCs w:val="17"/>
                <w:color w:val="auto"/>
              </w:rPr>
              <w:t>Over $5,000,000</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Commercial Lines</w:t>
            </w:r>
          </w:p>
        </w:tc>
        <w:tc>
          <w:tcPr>
            <w:tcW w:w="2800" w:type="dxa"/>
            <w:vAlign w:val="bottom"/>
            <w:shd w:val="clear" w:color="auto" w:fill="CCEEFF"/>
          </w:tcPr>
          <w:p>
            <w:pPr>
              <w:ind w:left="60"/>
              <w:spacing w:after="0"/>
              <w:rPr>
                <w:sz w:val="20"/>
                <w:szCs w:val="20"/>
                <w:color w:val="auto"/>
              </w:rPr>
            </w:pPr>
            <w:r>
              <w:rPr>
                <w:rFonts w:ascii="Arial" w:cs="Arial" w:eastAsia="Arial" w:hAnsi="Arial"/>
                <w:sz w:val="17"/>
                <w:szCs w:val="17"/>
                <w:color w:val="auto"/>
              </w:rPr>
              <w:t>Initial $750,000</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$750,000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ind w:left="60"/>
              <w:spacing w:after="0"/>
              <w:rPr>
                <w:sz w:val="20"/>
                <w:szCs w:val="20"/>
                <w:color w:val="auto"/>
              </w:rPr>
            </w:pPr>
            <w:r>
              <w:rPr>
                <w:rFonts w:ascii="Arial" w:cs="Arial" w:eastAsia="Arial" w:hAnsi="Arial"/>
                <w:sz w:val="17"/>
                <w:szCs w:val="17"/>
                <w:color w:val="auto"/>
              </w:rPr>
              <w:t>$750,000 - $4,500,000</w:t>
            </w:r>
          </w:p>
        </w:tc>
        <w:tc>
          <w:tcPr>
            <w:tcW w:w="120" w:type="dxa"/>
            <w:vAlign w:val="bottom"/>
          </w:tcPr>
          <w:p>
            <w:pPr>
              <w:spacing w:after="0"/>
              <w:rPr>
                <w:sz w:val="18"/>
                <w:szCs w:val="18"/>
                <w:color w:val="auto"/>
              </w:rPr>
            </w:pPr>
          </w:p>
        </w:tc>
        <w:tc>
          <w:tcPr>
            <w:tcW w:w="2800" w:type="dxa"/>
            <w:vAlign w:val="bottom"/>
          </w:tcPr>
          <w:p>
            <w:pPr>
              <w:jc w:val="right"/>
              <w:spacing w:after="0"/>
              <w:rPr>
                <w:sz w:val="20"/>
                <w:szCs w:val="20"/>
                <w:color w:val="auto"/>
              </w:rPr>
            </w:pPr>
            <w:r>
              <w:rPr>
                <w:rFonts w:ascii="Arial" w:cs="Arial" w:eastAsia="Arial" w:hAnsi="Arial"/>
                <w:sz w:val="17"/>
                <w:szCs w:val="17"/>
                <w:color w:val="auto"/>
              </w:rPr>
              <w:t>None(3)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ind w:left="60"/>
              <w:spacing w:after="0"/>
              <w:rPr>
                <w:sz w:val="20"/>
                <w:szCs w:val="20"/>
                <w:color w:val="auto"/>
              </w:rPr>
            </w:pPr>
            <w:r>
              <w:rPr>
                <w:rFonts w:ascii="Arial" w:cs="Arial" w:eastAsia="Arial" w:hAnsi="Arial"/>
                <w:sz w:val="17"/>
                <w:szCs w:val="17"/>
                <w:color w:val="auto"/>
              </w:rPr>
              <w:t>Over $4,500,000</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Commercial Umbrella</w:t>
            </w:r>
          </w:p>
        </w:tc>
        <w:tc>
          <w:tcPr>
            <w:tcW w:w="2800" w:type="dxa"/>
            <w:vAlign w:val="bottom"/>
            <w:shd w:val="clear" w:color="auto" w:fill="CCEEFF"/>
          </w:tcPr>
          <w:p>
            <w:pPr>
              <w:ind w:left="60"/>
              <w:spacing w:after="0"/>
              <w:rPr>
                <w:sz w:val="20"/>
                <w:szCs w:val="20"/>
                <w:color w:val="auto"/>
              </w:rPr>
            </w:pPr>
            <w:r>
              <w:rPr>
                <w:rFonts w:ascii="Arial" w:cs="Arial" w:eastAsia="Arial" w:hAnsi="Arial"/>
                <w:sz w:val="17"/>
                <w:szCs w:val="17"/>
                <w:color w:val="auto"/>
              </w:rPr>
              <w:t>Initial $1,000,000</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ind w:left="60"/>
              <w:spacing w:after="0"/>
              <w:rPr>
                <w:sz w:val="20"/>
                <w:szCs w:val="20"/>
                <w:color w:val="auto"/>
              </w:rPr>
            </w:pPr>
            <w:r>
              <w:rPr>
                <w:rFonts w:ascii="Arial" w:cs="Arial" w:eastAsia="Arial" w:hAnsi="Arial"/>
                <w:sz w:val="17"/>
                <w:szCs w:val="17"/>
                <w:color w:val="auto"/>
              </w:rPr>
              <w:t>$1,000,000 - $5,000,000</w:t>
            </w:r>
          </w:p>
        </w:tc>
        <w:tc>
          <w:tcPr>
            <w:tcW w:w="120" w:type="dxa"/>
            <w:vAlign w:val="bottom"/>
          </w:tcPr>
          <w:p>
            <w:pPr>
              <w:spacing w:after="0"/>
              <w:rPr>
                <w:sz w:val="18"/>
                <w:szCs w:val="18"/>
                <w:color w:val="auto"/>
              </w:rPr>
            </w:pPr>
          </w:p>
        </w:tc>
        <w:tc>
          <w:tcPr>
            <w:tcW w:w="2800" w:type="dxa"/>
            <w:vAlign w:val="bottom"/>
          </w:tcPr>
          <w:p>
            <w:pPr>
              <w:jc w:val="right"/>
              <w:spacing w:after="0"/>
              <w:rPr>
                <w:sz w:val="20"/>
                <w:szCs w:val="20"/>
                <w:color w:val="auto"/>
              </w:rPr>
            </w:pPr>
            <w:r>
              <w:rPr>
                <w:rFonts w:ascii="Arial" w:cs="Arial" w:eastAsia="Arial" w:hAnsi="Arial"/>
                <w:sz w:val="17"/>
                <w:szCs w:val="17"/>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ind w:left="60"/>
              <w:spacing w:after="0"/>
              <w:rPr>
                <w:sz w:val="20"/>
                <w:szCs w:val="20"/>
                <w:color w:val="auto"/>
              </w:rPr>
            </w:pPr>
            <w:r>
              <w:rPr>
                <w:rFonts w:ascii="Arial" w:cs="Arial" w:eastAsia="Arial" w:hAnsi="Arial"/>
                <w:sz w:val="17"/>
                <w:szCs w:val="17"/>
                <w:color w:val="auto"/>
              </w:rPr>
              <w:t>Over $5,000,000</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Catastrophe (4)</w:t>
            </w:r>
          </w:p>
        </w:tc>
        <w:tc>
          <w:tcPr>
            <w:tcW w:w="2800" w:type="dxa"/>
            <w:vAlign w:val="bottom"/>
            <w:shd w:val="clear" w:color="auto" w:fill="CCEEFF"/>
          </w:tcPr>
          <w:p>
            <w:pPr>
              <w:ind w:left="60"/>
              <w:spacing w:after="0"/>
              <w:rPr>
                <w:sz w:val="20"/>
                <w:szCs w:val="20"/>
                <w:color w:val="auto"/>
              </w:rPr>
            </w:pPr>
            <w:r>
              <w:rPr>
                <w:rFonts w:ascii="Arial" w:cs="Arial" w:eastAsia="Arial" w:hAnsi="Arial"/>
                <w:sz w:val="17"/>
                <w:szCs w:val="17"/>
                <w:color w:val="auto"/>
              </w:rPr>
              <w:t>Initial $7,500,000</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$7,500,000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ind w:left="60"/>
              <w:spacing w:after="0"/>
              <w:rPr>
                <w:sz w:val="20"/>
                <w:szCs w:val="20"/>
                <w:color w:val="auto"/>
              </w:rPr>
            </w:pPr>
            <w:r>
              <w:rPr>
                <w:rFonts w:ascii="Arial" w:cs="Arial" w:eastAsia="Arial" w:hAnsi="Arial"/>
                <w:sz w:val="17"/>
                <w:szCs w:val="17"/>
                <w:color w:val="auto"/>
              </w:rPr>
              <w:t>$7,500,000 - $610,000,000</w:t>
            </w:r>
          </w:p>
        </w:tc>
        <w:tc>
          <w:tcPr>
            <w:tcW w:w="120" w:type="dxa"/>
            <w:vAlign w:val="bottom"/>
          </w:tcPr>
          <w:p>
            <w:pPr>
              <w:spacing w:after="0"/>
              <w:rPr>
                <w:sz w:val="18"/>
                <w:szCs w:val="18"/>
                <w:color w:val="auto"/>
              </w:rPr>
            </w:pPr>
          </w:p>
        </w:tc>
        <w:tc>
          <w:tcPr>
            <w:tcW w:w="2800" w:type="dxa"/>
            <w:vAlign w:val="bottom"/>
          </w:tcPr>
          <w:p>
            <w:pPr>
              <w:jc w:val="right"/>
              <w:spacing w:after="0"/>
              <w:rPr>
                <w:sz w:val="20"/>
                <w:szCs w:val="20"/>
                <w:color w:val="auto"/>
              </w:rPr>
            </w:pPr>
            <w:r>
              <w:rPr>
                <w:rFonts w:ascii="Arial" w:cs="Arial" w:eastAsia="Arial" w:hAnsi="Arial"/>
                <w:sz w:val="17"/>
                <w:szCs w:val="17"/>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ind w:left="60"/>
              <w:spacing w:after="0"/>
              <w:rPr>
                <w:sz w:val="20"/>
                <w:szCs w:val="20"/>
                <w:color w:val="auto"/>
              </w:rPr>
            </w:pPr>
            <w:r>
              <w:rPr>
                <w:rFonts w:ascii="Arial" w:cs="Arial" w:eastAsia="Arial" w:hAnsi="Arial"/>
                <w:sz w:val="17"/>
                <w:szCs w:val="17"/>
                <w:color w:val="auto"/>
              </w:rPr>
              <w:t>Over $610,000,000</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320" w:hanging="315"/>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Personal lines quota share treaty was eliminated effective July 1, 2019. The 2017/2019 Treaty expired on a run-off basis.</w:t>
      </w:r>
    </w:p>
    <w:p>
      <w:pPr>
        <w:spacing w:after="0" w:line="20" w:lineRule="exact"/>
        <w:rPr>
          <w:rFonts w:ascii="Arial" w:cs="Arial" w:eastAsia="Arial" w:hAnsi="Arial"/>
          <w:sz w:val="17"/>
          <w:szCs w:val="17"/>
          <w:color w:val="auto"/>
        </w:rPr>
      </w:pPr>
    </w:p>
    <w:p>
      <w:pPr>
        <w:ind w:left="320" w:hanging="315"/>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Covered by excess of loss treaties up to $3,500,000 and by facultative facility from $3,500,000 to $10,000,000.</w:t>
      </w:r>
    </w:p>
    <w:p>
      <w:pPr>
        <w:spacing w:after="0" w:line="13" w:lineRule="exact"/>
        <w:rPr>
          <w:rFonts w:ascii="Arial" w:cs="Arial" w:eastAsia="Arial" w:hAnsi="Arial"/>
          <w:sz w:val="17"/>
          <w:szCs w:val="17"/>
          <w:color w:val="auto"/>
        </w:rPr>
      </w:pPr>
    </w:p>
    <w:p>
      <w:pPr>
        <w:ind w:left="320" w:hanging="315"/>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Covered by excess of loss treaties.</w:t>
      </w:r>
    </w:p>
    <w:p>
      <w:pPr>
        <w:spacing w:after="0" w:line="13" w:lineRule="exact"/>
        <w:rPr>
          <w:rFonts w:ascii="Arial" w:cs="Arial" w:eastAsia="Arial" w:hAnsi="Arial"/>
          <w:sz w:val="17"/>
          <w:szCs w:val="17"/>
          <w:color w:val="auto"/>
        </w:rPr>
      </w:pPr>
    </w:p>
    <w:p>
      <w:pPr>
        <w:ind w:left="320" w:hanging="315"/>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Catastrophe coverage is limited on an annual basis to two times the per occurrence amounts.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31" w:name="page32"/>
    <w:bookmarkEnd w:id="31"/>
    <w:p>
      <w:pPr>
        <w:jc w:val="both"/>
        <w:spacing w:after="0" w:line="265" w:lineRule="auto"/>
        <w:rPr>
          <w:sz w:val="20"/>
          <w:szCs w:val="20"/>
          <w:color w:val="auto"/>
        </w:rPr>
      </w:pPr>
      <w:r>
        <w:rPr>
          <w:rFonts w:ascii="Arial" w:cs="Arial" w:eastAsia="Arial" w:hAnsi="Arial"/>
          <w:sz w:val="17"/>
          <w:szCs w:val="17"/>
          <w:color w:val="auto"/>
        </w:rPr>
        <w:t>The Company’s reinsurance program is structured to enable the Company to significantly grow its premium volume while maintaining regulatory capital and other financial ratios generally within or below the expected ranges used for regulatory oversight purposes. The reinsurance program also provides income as a result of ceding commissions earned pursuant to the quota share reinsurance contracts. The Company’s participation in reinsurance arrangements does not relieve the Company of its obligations to policyholders.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Ceding Commission Revenue</w:t>
      </w:r>
    </w:p>
    <w:p>
      <w:pPr>
        <w:spacing w:after="0" w:line="22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Company earns ceding commission revenue under its quota share reinsurance agreements based on: (i) a fixed provisional commission rate at which provisional ceding commissions are earned, and (ii) a sliding scale of commission rates and ultimate treaty year loss ratios on the policies reinsured under each of these agreements based upon which contingent ceding commissions are earned. The sliding scale includes minimum and maximum commission rates in relation to specified ultimate loss ratios. The commission rate and contingent ceding commissions earned increases when the estimated ultimate loss ratio decreases and, conversely, the commission rate and contingent ceding commissions earned decreases when the estimated ultimate loss ratio increases.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Company’s estimated ultimate treaty year loss ratios (the “Loss Ratio(s)”) for treaties in effect for the three months and six months ended June 30, 2019 are attributable to contracts under the 2017/2019 Treaty for the 2018/2019 Treaty Year. The Loss Ratios for treaties in effect for the three months and six months ended June 30, 2018 are attributable to contracts under the 2017/2019 Treaty for the 2017/2018 Treaty Year.</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Treaty in effect for the three months and six months ended June 30, 2019</w:t>
      </w:r>
    </w:p>
    <w:p>
      <w:pPr>
        <w:spacing w:after="0" w:line="223" w:lineRule="exact"/>
        <w:rPr>
          <w:sz w:val="20"/>
          <w:szCs w:val="20"/>
          <w:color w:val="auto"/>
        </w:rPr>
      </w:pPr>
    </w:p>
    <w:p>
      <w:pPr>
        <w:jc w:val="both"/>
        <w:ind w:left="640"/>
        <w:spacing w:after="0" w:line="283" w:lineRule="auto"/>
        <w:rPr>
          <w:sz w:val="20"/>
          <w:szCs w:val="20"/>
          <w:color w:val="auto"/>
        </w:rPr>
      </w:pPr>
      <w:r>
        <w:rPr>
          <w:rFonts w:ascii="Arial" w:cs="Arial" w:eastAsia="Arial" w:hAnsi="Arial"/>
          <w:sz w:val="16"/>
          <w:szCs w:val="16"/>
          <w:color w:val="auto"/>
        </w:rPr>
        <w:t>Under the 2017/2019 Treaty, the Company received an upfront fixed provisional rate that was only subject to a sliding scale contingent adjustment based upon Loss Ratio for the 2017/2018 Treaty Year (“Loss Period”). Under this arrangement, the Company earned provisional ceding commissions that are subject to later adjustment dependent on changes to the estimated Loss Period Loss Ratio for the 2017/2019 Treaty. The Company’s Loss Period Loss Ratios attributable to the 2017/2019 Treaty reached the maximum contractual level during the six months ended June 30, 2018, and therefore no contingent commission adjustment was recorded for the three months and six months ended June 30, 2019.</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Treaty in effect for the three months and six months ended June 30, 2018</w:t>
      </w:r>
    </w:p>
    <w:p>
      <w:pPr>
        <w:spacing w:after="0" w:line="223" w:lineRule="exact"/>
        <w:rPr>
          <w:sz w:val="20"/>
          <w:szCs w:val="20"/>
          <w:color w:val="auto"/>
        </w:rPr>
      </w:pPr>
    </w:p>
    <w:p>
      <w:pPr>
        <w:jc w:val="both"/>
        <w:ind w:left="640"/>
        <w:spacing w:after="0" w:line="321" w:lineRule="auto"/>
        <w:rPr>
          <w:sz w:val="20"/>
          <w:szCs w:val="20"/>
          <w:color w:val="auto"/>
        </w:rPr>
      </w:pPr>
      <w:r>
        <w:rPr>
          <w:rFonts w:ascii="Arial" w:cs="Arial" w:eastAsia="Arial" w:hAnsi="Arial"/>
          <w:sz w:val="15"/>
          <w:szCs w:val="15"/>
          <w:color w:val="auto"/>
        </w:rPr>
        <w:t>The Loss Ratios for the period July 1, 2017 through June 30, 2018 attributable to the 2017/2019 Treaty were higher than the contractual Loss Ratio at which provisional ceding commissions were earned. Accordingly, for the three months and six months ended June 30, 2018, the Company incurred negative contingent ceding commissions as a result of the estimated Loss Ratio for the 2017/2019 Treaty, which reduced contingent ceding commissions earned.</w:t>
      </w:r>
    </w:p>
    <w:p>
      <w:pPr>
        <w:spacing w:after="0" w:line="14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to the treaties that were in effect for the three months and six months ended June 30, 2019 and 2018, the Loss Ratios from prior years’ treaties are subject to change as incurred losses from those periods increase or decrease, resulting in an increase or decrease in the commission rate and contingent ceding commissions earned.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32" w:name="page33"/>
    <w:bookmarkEnd w:id="32"/>
    <w:p>
      <w:pPr>
        <w:spacing w:after="0"/>
        <w:rPr>
          <w:sz w:val="20"/>
          <w:szCs w:val="20"/>
          <w:color w:val="auto"/>
        </w:rPr>
      </w:pPr>
      <w:r>
        <w:rPr>
          <w:rFonts w:ascii="Arial" w:cs="Arial" w:eastAsia="Arial" w:hAnsi="Arial"/>
          <w:sz w:val="17"/>
          <w:szCs w:val="17"/>
          <w:color w:val="auto"/>
        </w:rPr>
        <w:t>Ceding commission revenue consists of the following:</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234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Six months ended</w:t>
            </w:r>
          </w:p>
        </w:tc>
      </w:tr>
      <w:tr>
        <w:trPr>
          <w:trHeight w:val="200"/>
        </w:trPr>
        <w:tc>
          <w:tcPr>
            <w:tcW w:w="60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126"/>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15"/>
        </w:trPr>
        <w:tc>
          <w:tcPr>
            <w:tcW w:w="60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8"/>
                <w:szCs w:val="18"/>
                <w:color w:val="auto"/>
              </w:rPr>
            </w:pPr>
          </w:p>
        </w:tc>
      </w:tr>
      <w:tr>
        <w:trPr>
          <w:trHeight w:val="235"/>
        </w:trPr>
        <w:tc>
          <w:tcPr>
            <w:tcW w:w="60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09"/>
        </w:trPr>
        <w:tc>
          <w:tcPr>
            <w:tcW w:w="6080" w:type="dxa"/>
            <w:vAlign w:val="bottom"/>
          </w:tcPr>
          <w:p>
            <w:pPr>
              <w:ind w:left="40"/>
              <w:spacing w:after="0"/>
              <w:rPr>
                <w:sz w:val="20"/>
                <w:szCs w:val="20"/>
                <w:color w:val="auto"/>
              </w:rPr>
            </w:pPr>
            <w:r>
              <w:rPr>
                <w:rFonts w:ascii="Arial" w:cs="Arial" w:eastAsia="Arial" w:hAnsi="Arial"/>
                <w:sz w:val="17"/>
                <w:szCs w:val="17"/>
                <w:color w:val="auto"/>
              </w:rPr>
              <w:t>Provisional ceding commissions earned</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1,363,474</w:t>
            </w:r>
          </w:p>
        </w:tc>
        <w:tc>
          <w:tcPr>
            <w:tcW w:w="16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2,145,775</w:t>
            </w:r>
          </w:p>
        </w:tc>
        <w:tc>
          <w:tcPr>
            <w:tcW w:w="280" w:type="dxa"/>
            <w:vAlign w:val="bottom"/>
          </w:tcPr>
          <w:p>
            <w:pPr>
              <w:spacing w:after="0"/>
              <w:rPr>
                <w:sz w:val="18"/>
                <w:szCs w:val="18"/>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2,681,225</w:t>
            </w:r>
          </w:p>
        </w:tc>
        <w:tc>
          <w:tcPr>
            <w:tcW w:w="260" w:type="dxa"/>
            <w:vAlign w:val="bottom"/>
          </w:tcPr>
          <w:p>
            <w:pPr>
              <w:spacing w:after="0"/>
              <w:rPr>
                <w:sz w:val="18"/>
                <w:szCs w:val="18"/>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4,213,280</w:t>
            </w:r>
          </w:p>
        </w:tc>
        <w:tc>
          <w:tcPr>
            <w:tcW w:w="120" w:type="dxa"/>
            <w:vAlign w:val="bottom"/>
          </w:tcPr>
          <w:p>
            <w:pPr>
              <w:spacing w:after="0"/>
              <w:rPr>
                <w:sz w:val="18"/>
                <w:szCs w:val="18"/>
                <w:color w:val="auto"/>
              </w:rPr>
            </w:pPr>
          </w:p>
        </w:tc>
      </w:tr>
      <w:tr>
        <w:trPr>
          <w:trHeight w:val="209"/>
        </w:trPr>
        <w:tc>
          <w:tcPr>
            <w:tcW w:w="608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Contingent ceding commissions earned</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(687,779)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(454,607)</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(727,847)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(826,954)</w:t>
            </w:r>
          </w:p>
        </w:tc>
      </w:tr>
      <w:tr>
        <w:trPr>
          <w:trHeight w:val="26"/>
        </w:trPr>
        <w:tc>
          <w:tcPr>
            <w:tcW w:w="60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09"/>
        </w:trPr>
        <w:tc>
          <w:tcPr>
            <w:tcW w:w="6080" w:type="dxa"/>
            <w:vAlign w:val="bottom"/>
          </w:tcPr>
          <w:p>
            <w:pPr>
              <w:spacing w:after="0"/>
              <w:rPr>
                <w:sz w:val="18"/>
                <w:szCs w:val="18"/>
                <w:color w:val="auto"/>
              </w:rPr>
            </w:pP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675,695</w:t>
            </w:r>
          </w:p>
        </w:tc>
        <w:tc>
          <w:tcPr>
            <w:tcW w:w="16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1,691,168</w:t>
            </w:r>
          </w:p>
        </w:tc>
        <w:tc>
          <w:tcPr>
            <w:tcW w:w="280" w:type="dxa"/>
            <w:vAlign w:val="bottom"/>
          </w:tcPr>
          <w:p>
            <w:pPr>
              <w:spacing w:after="0"/>
              <w:rPr>
                <w:sz w:val="18"/>
                <w:szCs w:val="18"/>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1,953,378</w:t>
            </w:r>
          </w:p>
        </w:tc>
        <w:tc>
          <w:tcPr>
            <w:tcW w:w="260" w:type="dxa"/>
            <w:vAlign w:val="bottom"/>
          </w:tcPr>
          <w:p>
            <w:pPr>
              <w:spacing w:after="0"/>
              <w:rPr>
                <w:sz w:val="18"/>
                <w:szCs w:val="18"/>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3,386,326</w:t>
            </w:r>
          </w:p>
        </w:tc>
        <w:tc>
          <w:tcPr>
            <w:tcW w:w="120" w:type="dxa"/>
            <w:vAlign w:val="bottom"/>
          </w:tcPr>
          <w:p>
            <w:pPr>
              <w:spacing w:after="0"/>
              <w:rPr>
                <w:sz w:val="18"/>
                <w:szCs w:val="18"/>
                <w:color w:val="auto"/>
              </w:rPr>
            </w:pPr>
          </w:p>
        </w:tc>
      </w:tr>
      <w:tr>
        <w:trPr>
          <w:trHeight w:val="20"/>
        </w:trPr>
        <w:tc>
          <w:tcPr>
            <w:tcW w:w="60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Provisional ceding commissions are settled monthly. Balances due from reinsurers for contingent ceding commissions on quota share treaties are settled annually based on the Loss Ratio of each treaty year that ends on June 30. As discussed above, the Loss Ratios from prior years’ treaties are subject to change as incurred losses from those periods develop, resulting in an increase or decrease in the commission rate and contingent ceding commissions earned. As of June 30, 2019 and December 31, 2018, net contingent ceding commissions payable to reinsurers under all treaties was approximately $2,333,000 and $1,581,000, respectively, which is recorded in reinsurance balances payable on the accompanying condensed consolidated balance sheets.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Commercial Lines of Business</w:t>
      </w:r>
    </w:p>
    <w:p>
      <w:pPr>
        <w:spacing w:after="0" w:line="22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In July 2019, the Company made the decision that it will no longer underwrite Commercial Lines risks. These include Business Owners, Artisans (“CraftPak”), Special Multi-Peril, and Commercial Umbrella policies. The Company had 7,770 commercial lines policies in force as of June 30, 2019. For the six months ended June 30, 2019, these policies represented approximately 12% of net premiums earned. As of June 30, 2019, claims from these commercial lines represent 43% of loss and loss adjustment expense reserves net of reinsurance recoverables. Inforce policies for these lines will be non-renewed at the end of their current annual terms. It is expected that all existing inforce Commercial Lines policies will expire by September 30, 2020.</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 Debt</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Federal Home Loan Bank</w:t>
      </w:r>
    </w:p>
    <w:p>
      <w:pPr>
        <w:spacing w:after="0" w:line="223"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In July 2017, KICO became a member of, and invested in, the Federal Home Loan Bank of New York (“FHLBNY”). The aggregate investment in dividend bearing common stock was $15,180 as of June 30, 2019. FHLBNY members have access to a variety of flexible, low cost funding through FHLBNY’s credit products, enabling members to customize advances, which are to be fully collateralized. Eligible collateral to pledge to FHLBNY includes residential and commercial mortgage backed securities, along with U.S. Treasury and agency securities. See Note 3 – Investments for eligible collateral held in a designated custodian account available for future advances. Advances are limited to 5% of KICO’s net admitted assets as of the previous quarter and are due and payable within one year of borrowing. The maximum allowable advance as of March 31, 2019 was approximately $11,060,000. Advances are limited to 90% of the amount of available collateral, which was approximately $4,819,000 as of June 30, 2019. There were no borrowings under this facility during the six months ended June 30, 2019.</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Long-term Debt</w:t>
      </w:r>
    </w:p>
    <w:p>
      <w:pPr>
        <w:spacing w:after="0" w:line="22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On December 19, 2017, the Company issued $30 million of its 5.50% Senior Unsecured Notes due December 30, 2022 (the “Notes”) in an underwritten public offering. Interest is payable semi-annually in arrears on June 30 and December 30 of each year, which began on June 30, 2018 at the rate of 5.50%. The net proceeds of the issuance were $29,121,630, net of discount of $163,200 and transaction costs of $715,170, for an effective yield of 5.67%. The balance of long-term debt as of June 30, 2019 and December 31, 2018 is as follows: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86"/>
        </w:trPr>
        <w:tc>
          <w:tcPr>
            <w:tcW w:w="8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6"/>
                <w:szCs w:val="16"/>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December 31,</w:t>
            </w:r>
          </w:p>
        </w:tc>
      </w:tr>
      <w:tr>
        <w:trPr>
          <w:trHeight w:val="200"/>
        </w:trPr>
        <w:tc>
          <w:tcPr>
            <w:tcW w:w="88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r>
      <w:tr>
        <w:trPr>
          <w:trHeight w:val="235"/>
        </w:trPr>
        <w:tc>
          <w:tcPr>
            <w:tcW w:w="8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884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5.50% Senior Unsecured Notes</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30,000,000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30,000,000</w:t>
            </w:r>
          </w:p>
        </w:tc>
        <w:tc>
          <w:tcPr>
            <w:tcW w:w="120" w:type="dxa"/>
            <w:vAlign w:val="bottom"/>
            <w:shd w:val="clear" w:color="auto" w:fill="CCEEFF"/>
          </w:tcPr>
          <w:p>
            <w:pPr>
              <w:spacing w:after="0"/>
              <w:rPr>
                <w:sz w:val="18"/>
                <w:szCs w:val="18"/>
                <w:color w:val="auto"/>
              </w:rPr>
            </w:pPr>
          </w:p>
        </w:tc>
      </w:tr>
      <w:tr>
        <w:trPr>
          <w:trHeight w:val="209"/>
        </w:trPr>
        <w:tc>
          <w:tcPr>
            <w:tcW w:w="8840" w:type="dxa"/>
            <w:vAlign w:val="bottom"/>
          </w:tcPr>
          <w:p>
            <w:pPr>
              <w:ind w:left="40"/>
              <w:spacing w:after="0"/>
              <w:rPr>
                <w:sz w:val="20"/>
                <w:szCs w:val="20"/>
                <w:color w:val="auto"/>
              </w:rPr>
            </w:pPr>
            <w:r>
              <w:rPr>
                <w:rFonts w:ascii="Arial" w:cs="Arial" w:eastAsia="Arial" w:hAnsi="Arial"/>
                <w:sz w:val="17"/>
                <w:szCs w:val="17"/>
                <w:color w:val="auto"/>
              </w:rPr>
              <w:t>Discount</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(113,575)</w:t>
            </w: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(129,796)</w:t>
            </w:r>
          </w:p>
        </w:tc>
      </w:tr>
      <w:tr>
        <w:trPr>
          <w:trHeight w:val="209"/>
        </w:trPr>
        <w:tc>
          <w:tcPr>
            <w:tcW w:w="884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Issuance costs</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(503,084)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(574,953)</w:t>
            </w:r>
          </w:p>
        </w:tc>
      </w:tr>
      <w:tr>
        <w:trPr>
          <w:trHeight w:val="26"/>
        </w:trPr>
        <w:tc>
          <w:tcPr>
            <w:tcW w:w="88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09"/>
        </w:trPr>
        <w:tc>
          <w:tcPr>
            <w:tcW w:w="8840" w:type="dxa"/>
            <w:vAlign w:val="bottom"/>
          </w:tcPr>
          <w:p>
            <w:pPr>
              <w:ind w:left="40"/>
              <w:spacing w:after="0"/>
              <w:rPr>
                <w:sz w:val="20"/>
                <w:szCs w:val="20"/>
                <w:color w:val="auto"/>
              </w:rPr>
            </w:pPr>
            <w:r>
              <w:rPr>
                <w:rFonts w:ascii="Arial" w:cs="Arial" w:eastAsia="Arial" w:hAnsi="Arial"/>
                <w:sz w:val="17"/>
                <w:szCs w:val="17"/>
                <w:color w:val="auto"/>
              </w:rPr>
              <w:t>Long-term debt, net</w:t>
            </w: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29,383,341</w:t>
            </w:r>
          </w:p>
        </w:tc>
        <w:tc>
          <w:tcPr>
            <w:tcW w:w="2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29,295,251</w:t>
            </w:r>
          </w:p>
        </w:tc>
        <w:tc>
          <w:tcPr>
            <w:tcW w:w="120" w:type="dxa"/>
            <w:vAlign w:val="bottom"/>
          </w:tcPr>
          <w:p>
            <w:pPr>
              <w:spacing w:after="0"/>
              <w:rPr>
                <w:sz w:val="18"/>
                <w:szCs w:val="18"/>
                <w:color w:val="auto"/>
              </w:rPr>
            </w:pPr>
          </w:p>
        </w:tc>
      </w:tr>
      <w:tr>
        <w:trPr>
          <w:trHeight w:val="20"/>
        </w:trPr>
        <w:tc>
          <w:tcPr>
            <w:tcW w:w="8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Notes are unsecured obligations of the Company and are not the obligations of or guaranteed by any of the Company's subsidiaries. The Notes rank senior in right of payment to any of the Company's existing and future indebtedness that is by its terms expressly subordinated or junior in right of payment to the Notes. The Notes rank equally in right of payment to all of the Company's existing and future senior indebtedness, but will be effectively subordinated to any secured indebtedness to the extent of the value of the collateral securing such secured indebtedness. In addition, the Notes will be structurally subordinated to the indebtedness and other obligations of the Company's subsidiaries. The Company may redeem the Notes, at any time in whole or from time to time in part, at the redemption price equal to the greater of: (i) 100% of the principal amount of the Notes to be redeemed; and (ii) the sum of the present values of the remaining scheduled payments of principal and interest on the Notes to be redeemed that would be due if the Notes matured on the applicable redemption date (exclusive of interest accrued to the applicable redemption date) discounted to the redemption date on a semi-annual basis at the Treasury Rate, plus 50 basis points.</w:t>
      </w:r>
    </w:p>
    <w:p>
      <w:pPr>
        <w:spacing w:after="0" w:line="1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December 20, 2017, the Company used $25,000,000 of the net proceeds from the offering to contribute capital to KICO, to support additional growth. The remainder of the net proceeds are being used for general corporate purposes. A registration statement relating to the debt issued in the offering was filed with the SEC, which became effective on November 28, 2017.</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 Stockholders’ Equity</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Dividends Declared and Paid</w:t>
      </w:r>
    </w:p>
    <w:p>
      <w:pPr>
        <w:spacing w:after="0" w:line="2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Dividends declared and paid on common stock were $2,153,349 and $2,134,759 for the six months ended June 30, 2019 and 2018, respectively. The Company’s Board of Directors approved a quarterly dividend on August 7, 2019 of $0.0625 per share payable in cash on September 13, 2019 to stockholders of record as of August 30, 2019 (see Note 13).</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Stock Options</w:t>
      </w:r>
    </w:p>
    <w:p>
      <w:pPr>
        <w:spacing w:after="0" w:line="22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Pursuant to the Company’s 2005 Equity Participation Plan (the “2005 Plan”), which provides for the issuance of incentive stock options, non-statutory stock options and restricted stock, a maximum of 700,000 shares of the Company’s Common Stock are permitted to be issued pursuant to options granted and restricted stock issued. Effective August 12, 2014, the Company adopted the 2014 Equity Participation Plan (the “2014 Plan”) pursuant to which, a maximum of 700,000 shares of Common Stock of the Company are authorized to be issued pursuant to the grant of incentive stock options, non-statutory stock options, stock appreciation rights, restricted stock and stock bonuses. Incentive stock options granted under the 2014 Plan and 2005 Plan expire no later than ten years from the date of grant (except no later than five years for a grant to a 10% stockholder). The Board of Directors or the Compensation Committee determines the expiration date with respect to non-statutory stock options and the vesting provisions for restricted stock granted under the 2014 Plan and 2005 Plan.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97" w:right="239" w:bottom="1440" w:gutter="0" w:footer="0" w:header="0"/>
        </w:sectPr>
      </w:pPr>
    </w:p>
    <w:bookmarkStart w:id="34" w:name="page35"/>
    <w:bookmarkEnd w:id="34"/>
    <w:p>
      <w:pPr>
        <w:jc w:val="both"/>
        <w:spacing w:after="0" w:line="263" w:lineRule="auto"/>
        <w:rPr>
          <w:sz w:val="20"/>
          <w:szCs w:val="20"/>
          <w:color w:val="auto"/>
        </w:rPr>
      </w:pPr>
      <w:r>
        <w:rPr>
          <w:rFonts w:ascii="Arial" w:cs="Arial" w:eastAsia="Arial" w:hAnsi="Arial"/>
          <w:sz w:val="17"/>
          <w:szCs w:val="17"/>
          <w:color w:val="auto"/>
        </w:rPr>
        <w:t>The results of operations for the three months ended June 30, 2019 and 2018 include stock-based compensation expense related to these plans totaling approximately $0 and $1,000, respectively. The results of operations for the six months ended June 30, 2019 and 2018 include stock-based compensation expense related to stock options totaling approximately $1,000 and $4,000, respectively. Stock-based compensation expense related to stock options is net of estimated forfeitures of approximately 17% for the three months and six months ended June 30, 2019 and 2018. Such amounts have been included in the consolidated statements of operations and comprehensive income (loss) within other operating expenses.</w:t>
      </w:r>
    </w:p>
    <w:p>
      <w:pPr>
        <w:spacing w:after="0" w:line="18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Stock-based compensation expense for the six months ended June 30, 2019 and 2018 is the estimated fair value of options granted, amortized on a straight-line basis over the requisite service period, for the entire portion of the award less an estimate for anticipated forfeitures. The Company uses the “simplified” method to estimate the expected term of the options because the Company’s historical share option exercise experience does not provide a reasonable basis upon which to estimate expected term. No options were granted during the six months ended June 30, 2019 and 2018.</w:t>
      </w:r>
    </w:p>
    <w:p>
      <w:pPr>
        <w:spacing w:after="0" w:line="183" w:lineRule="exact"/>
        <w:rPr>
          <w:sz w:val="20"/>
          <w:szCs w:val="20"/>
          <w:color w:val="auto"/>
        </w:rPr>
      </w:pPr>
    </w:p>
    <w:p>
      <w:pPr>
        <w:jc w:val="both"/>
        <w:spacing w:after="0" w:line="311" w:lineRule="auto"/>
        <w:rPr>
          <w:sz w:val="20"/>
          <w:szCs w:val="20"/>
          <w:color w:val="auto"/>
        </w:rPr>
      </w:pPr>
      <w:r>
        <w:rPr>
          <w:rFonts w:ascii="Arial" w:cs="Arial" w:eastAsia="Arial" w:hAnsi="Arial"/>
          <w:sz w:val="15"/>
          <w:szCs w:val="15"/>
          <w:color w:val="auto"/>
        </w:rPr>
        <w:t>The Black-Scholes Option Valuation Model was developed for use in estimating the fair value of traded options, which have no vesting restrictions and are fully transferable. In addition, option valuation models require the input of highly subjective assumptions including the expected stock price volatility. Because our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our stock options.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A summary of stock option activity under the Company’s 2014 Plan and 2005 Plan for the six months ended June 30, 2019 is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center"/>
              <w:ind w:right="77"/>
              <w:spacing w:after="0" w:line="157" w:lineRule="exact"/>
              <w:rPr>
                <w:sz w:val="20"/>
                <w:szCs w:val="20"/>
                <w:color w:val="auto"/>
              </w:rPr>
            </w:pPr>
            <w:r>
              <w:rPr>
                <w:rFonts w:ascii="Arial" w:cs="Arial" w:eastAsia="Arial" w:hAnsi="Arial"/>
                <w:sz w:val="14"/>
                <w:szCs w:val="14"/>
                <w:b w:val="1"/>
                <w:bCs w:val="1"/>
                <w:color w:val="auto"/>
                <w:w w:val="95"/>
              </w:rPr>
              <w:t>Weighted</w:t>
            </w:r>
          </w:p>
        </w:tc>
        <w:tc>
          <w:tcPr>
            <w:tcW w:w="280" w:type="dxa"/>
            <w:vAlign w:val="bottom"/>
          </w:tcPr>
          <w:p>
            <w:pPr>
              <w:spacing w:after="0"/>
              <w:rPr>
                <w:sz w:val="13"/>
                <w:szCs w:val="13"/>
                <w:color w:val="auto"/>
              </w:rPr>
            </w:pPr>
          </w:p>
        </w:tc>
        <w:tc>
          <w:tcPr>
            <w:tcW w:w="11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3"/>
          </w:tcPr>
          <w:p>
            <w:pPr>
              <w:jc w:val="right"/>
              <w:ind w:right="380"/>
              <w:spacing w:after="0" w:line="157" w:lineRule="exact"/>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3"/>
                <w:szCs w:val="13"/>
                <w:color w:val="auto"/>
              </w:rPr>
            </w:pPr>
          </w:p>
        </w:tc>
        <w:tc>
          <w:tcPr>
            <w:tcW w:w="110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w w:val="89"/>
              </w:rPr>
              <w:t>Average Exercise</w:t>
            </w:r>
          </w:p>
        </w:tc>
        <w:tc>
          <w:tcPr>
            <w:tcW w:w="280" w:type="dxa"/>
            <w:vAlign w:val="bottom"/>
          </w:tcPr>
          <w:p>
            <w:pPr>
              <w:spacing w:after="0"/>
              <w:rPr>
                <w:sz w:val="13"/>
                <w:szCs w:val="13"/>
                <w:color w:val="auto"/>
              </w:rPr>
            </w:pPr>
          </w:p>
        </w:tc>
        <w:tc>
          <w:tcPr>
            <w:tcW w:w="11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500" w:type="dxa"/>
            <w:vAlign w:val="bottom"/>
          </w:tcPr>
          <w:p>
            <w:pPr>
              <w:ind w:left="2520"/>
              <w:spacing w:after="0"/>
              <w:rPr>
                <w:sz w:val="20"/>
                <w:szCs w:val="20"/>
                <w:color w:val="auto"/>
              </w:rPr>
            </w:pPr>
            <w:r>
              <w:rPr>
                <w:rFonts w:ascii="Arial" w:cs="Arial" w:eastAsia="Arial" w:hAnsi="Arial"/>
                <w:sz w:val="14"/>
                <w:szCs w:val="14"/>
                <w:b w:val="1"/>
                <w:bCs w:val="1"/>
                <w:color w:val="auto"/>
              </w:rPr>
              <w:t>Stock Options</w:t>
            </w:r>
          </w:p>
        </w:tc>
        <w:tc>
          <w:tcPr>
            <w:tcW w:w="1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5"/>
                <w:szCs w:val="15"/>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Price per Share</w:t>
            </w:r>
          </w:p>
        </w:tc>
        <w:tc>
          <w:tcPr>
            <w:tcW w:w="28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3"/>
              </w:rPr>
              <w:t>Term</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235"/>
        </w:trPr>
        <w:tc>
          <w:tcPr>
            <w:tcW w:w="20" w:type="dxa"/>
            <w:vAlign w:val="bottom"/>
            <w:vMerge w:val="restart"/>
          </w:tcPr>
          <w:p>
            <w:pPr>
              <w:spacing w:after="0"/>
              <w:rPr>
                <w:sz w:val="20"/>
                <w:szCs w:val="20"/>
                <w:color w:val="auto"/>
              </w:rPr>
            </w:pPr>
          </w:p>
        </w:tc>
        <w:tc>
          <w:tcPr>
            <w:tcW w:w="45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January 1, 2019</w:t>
            </w:r>
          </w:p>
        </w:tc>
        <w:tc>
          <w:tcPr>
            <w:tcW w:w="26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37,500</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8"/>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349,950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Granted</w:t>
            </w:r>
          </w:p>
        </w:tc>
        <w:tc>
          <w:tcPr>
            <w:tcW w:w="26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8"/>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7"/>
                <w:szCs w:val="17"/>
                <w:color w:val="auto"/>
              </w:rPr>
              <w:t>Exercised</w:t>
            </w:r>
          </w:p>
        </w:tc>
        <w:tc>
          <w:tcPr>
            <w:tcW w:w="2820" w:type="dxa"/>
            <w:vAlign w:val="bottom"/>
            <w:gridSpan w:val="5"/>
          </w:tcPr>
          <w:p>
            <w:pPr>
              <w:jc w:val="right"/>
              <w:ind w:right="100"/>
              <w:spacing w:after="0"/>
              <w:rPr>
                <w:sz w:val="20"/>
                <w:szCs w:val="20"/>
                <w:color w:val="auto"/>
              </w:rPr>
            </w:pPr>
            <w:r>
              <w:rPr>
                <w:rFonts w:ascii="Arial" w:cs="Arial" w:eastAsia="Arial" w:hAnsi="Arial"/>
                <w:sz w:val="17"/>
                <w:szCs w:val="17"/>
                <w:color w:val="auto"/>
              </w:rPr>
              <w:t>(3,000)</w:t>
            </w:r>
          </w:p>
        </w:tc>
        <w:tc>
          <w:tcPr>
            <w:tcW w:w="300" w:type="dxa"/>
            <w:vAlign w:val="bottom"/>
            <w:gridSpan w:val="2"/>
          </w:tcPr>
          <w:p>
            <w:pPr>
              <w:jc w:val="right"/>
              <w:ind w:right="28"/>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7.85</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6,270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Forfeited</w:t>
            </w:r>
          </w:p>
        </w:tc>
        <w:tc>
          <w:tcPr>
            <w:tcW w:w="2820" w:type="dxa"/>
            <w:vAlign w:val="bottom"/>
            <w:gridSpan w:val="5"/>
            <w:shd w:val="clear" w:color="auto" w:fill="CCEEFF"/>
          </w:tcPr>
          <w:p>
            <w:pPr>
              <w:jc w:val="right"/>
              <w:ind w:right="100"/>
              <w:spacing w:after="0"/>
              <w:rPr>
                <w:sz w:val="20"/>
                <w:szCs w:val="20"/>
                <w:color w:val="auto"/>
              </w:rPr>
            </w:pPr>
            <w:r>
              <w:rPr>
                <w:rFonts w:ascii="Arial" w:cs="Arial" w:eastAsia="Arial" w:hAnsi="Arial"/>
                <w:sz w:val="17"/>
                <w:szCs w:val="17"/>
                <w:color w:val="auto"/>
              </w:rPr>
              <w:t>(2,500)</w:t>
            </w:r>
          </w:p>
        </w:tc>
        <w:tc>
          <w:tcPr>
            <w:tcW w:w="300" w:type="dxa"/>
            <w:vAlign w:val="bottom"/>
            <w:gridSpan w:val="2"/>
            <w:shd w:val="clear" w:color="auto" w:fill="CCEEFF"/>
          </w:tcPr>
          <w:p>
            <w:pPr>
              <w:jc w:val="right"/>
              <w:ind w:right="28"/>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0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301"/>
        </w:trPr>
        <w:tc>
          <w:tcPr>
            <w:tcW w:w="20" w:type="dxa"/>
            <w:vAlign w:val="bottom"/>
            <w:vMerge w:val="continue"/>
          </w:tcPr>
          <w:p>
            <w:pPr>
              <w:spacing w:after="0"/>
              <w:rPr>
                <w:sz w:val="24"/>
                <w:szCs w:val="24"/>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June 30, 2019</w:t>
            </w:r>
          </w:p>
        </w:tc>
        <w:tc>
          <w:tcPr>
            <w:tcW w:w="26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32,000</w:t>
            </w:r>
          </w:p>
        </w:tc>
        <w:tc>
          <w:tcPr>
            <w:tcW w:w="160" w:type="dxa"/>
            <w:vAlign w:val="bottom"/>
            <w:shd w:val="clear" w:color="auto" w:fill="CCEEFF"/>
          </w:tcPr>
          <w:p>
            <w:pPr>
              <w:spacing w:after="0"/>
              <w:rPr>
                <w:sz w:val="24"/>
                <w:szCs w:val="24"/>
                <w:color w:val="auto"/>
              </w:rPr>
            </w:pPr>
          </w:p>
        </w:tc>
        <w:tc>
          <w:tcPr>
            <w:tcW w:w="300" w:type="dxa"/>
            <w:vAlign w:val="bottom"/>
            <w:gridSpan w:val="2"/>
            <w:shd w:val="clear" w:color="auto" w:fill="CCEEFF"/>
          </w:tcPr>
          <w:p>
            <w:pPr>
              <w:jc w:val="right"/>
              <w:ind w:right="28"/>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13,600</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5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301"/>
        </w:trPr>
        <w:tc>
          <w:tcPr>
            <w:tcW w:w="20" w:type="dxa"/>
            <w:vAlign w:val="bottom"/>
            <w:vMerge w:val="continue"/>
          </w:tcPr>
          <w:p>
            <w:pPr>
              <w:spacing w:after="0"/>
              <w:rPr>
                <w:sz w:val="24"/>
                <w:szCs w:val="24"/>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Vested and Exercisable at June 30, 2019</w:t>
            </w:r>
          </w:p>
        </w:tc>
        <w:tc>
          <w:tcPr>
            <w:tcW w:w="266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32,000</w:t>
            </w:r>
          </w:p>
        </w:tc>
        <w:tc>
          <w:tcPr>
            <w:tcW w:w="160" w:type="dxa"/>
            <w:vAlign w:val="bottom"/>
            <w:shd w:val="clear" w:color="auto" w:fill="CCEEFF"/>
          </w:tcPr>
          <w:p>
            <w:pPr>
              <w:spacing w:after="0"/>
              <w:rPr>
                <w:sz w:val="24"/>
                <w:szCs w:val="24"/>
                <w:color w:val="auto"/>
              </w:rPr>
            </w:pPr>
          </w:p>
        </w:tc>
        <w:tc>
          <w:tcPr>
            <w:tcW w:w="300" w:type="dxa"/>
            <w:vAlign w:val="bottom"/>
            <w:gridSpan w:val="2"/>
            <w:shd w:val="clear" w:color="auto" w:fill="CCEEFF"/>
          </w:tcPr>
          <w:p>
            <w:pPr>
              <w:jc w:val="right"/>
              <w:ind w:right="28"/>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13,600</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646"/>
        </w:trPr>
        <w:tc>
          <w:tcPr>
            <w:tcW w:w="20" w:type="dxa"/>
            <w:vAlign w:val="bottom"/>
          </w:tcPr>
          <w:p>
            <w:pPr>
              <w:spacing w:after="0"/>
              <w:rPr>
                <w:sz w:val="24"/>
                <w:szCs w:val="24"/>
                <w:color w:val="auto"/>
              </w:rPr>
            </w:pPr>
          </w:p>
        </w:tc>
        <w:tc>
          <w:tcPr>
            <w:tcW w:w="4500" w:type="dxa"/>
            <w:vAlign w:val="bottom"/>
            <w:tcBorders>
              <w:top w:val="single" w:sz="8" w:color="auto"/>
              <w:bottom w:val="single" w:sz="8" w:color="auto"/>
            </w:tcBorders>
          </w:tcPr>
          <w:p>
            <w:pPr>
              <w:spacing w:after="0"/>
              <w:rPr>
                <w:sz w:val="24"/>
                <w:szCs w:val="24"/>
                <w:color w:val="auto"/>
              </w:rPr>
            </w:pPr>
          </w:p>
        </w:tc>
        <w:tc>
          <w:tcPr>
            <w:tcW w:w="142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rPr>
              <w:t>32</w:t>
            </w:r>
          </w:p>
        </w:tc>
        <w:tc>
          <w:tcPr>
            <w:tcW w:w="140" w:type="dxa"/>
            <w:vAlign w:val="bottom"/>
            <w:tcBorders>
              <w:top w:val="single" w:sz="8" w:color="CCEEFF"/>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0" w:right="239" w:bottom="1440" w:gutter="0" w:footer="0" w:header="0"/>
        </w:sectPr>
      </w:pPr>
    </w:p>
    <w:bookmarkStart w:id="35" w:name="page36"/>
    <w:bookmarkEnd w:id="35"/>
    <w:p>
      <w:pPr>
        <w:jc w:val="both"/>
        <w:spacing w:after="0" w:line="311" w:lineRule="auto"/>
        <w:rPr>
          <w:sz w:val="20"/>
          <w:szCs w:val="20"/>
          <w:color w:val="auto"/>
        </w:rPr>
      </w:pPr>
      <w:r>
        <w:rPr>
          <w:rFonts w:ascii="Arial" w:cs="Arial" w:eastAsia="Arial" w:hAnsi="Arial"/>
          <w:sz w:val="15"/>
          <w:szCs w:val="15"/>
          <w:color w:val="auto"/>
        </w:rPr>
        <w:t>The aggregate intrinsic value of options outstanding and options exercisable at June 30, 2019 is calculated as the difference between the exercise price of the underlying options and the market price of the Company’s Common Stock for the options that had exercise prices that were lower than the $8.65 closing price of the Company’s Common Stock on June 30, 2019. The total intrinsic value of options exercised during the six months ended June 30, 2019 was $6,270, determined as of the date of exercise. The total intrinsic value of options forfeited during the six months ended June 30, 2019 was $13,588, determined as of the date of forfeiture.</w:t>
      </w:r>
    </w:p>
    <w:p>
      <w:pPr>
        <w:spacing w:after="0" w:line="23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Participants in the 2005 and 2014 Plans may exercise their outstanding vested options, in whole or in part, by having the Company reduce the number of shares otherwise issuable by a number of shares having a fair market value equal to the exercise price of the option being exercised (“Net Exercise”), or by exchanging a number of shares owned for a period of greater than one year having a fair market value equal to the exercise price of the option being exercised (“Share Exchange”). The Company received cash proceeds of $23,550 from the exercise of options for the purchase of 3,000 shares of Common Stock during the six months ended June 30, 2019. The Company received cash proceeds of $46,883 from the exercise of options for the purchase of 7,400 shares of Common Stock during the six months ended June 30, 2018. The Company received 4,860 shares from the exercise of options under a Share Exchange for the purchase of 20,000 shares of Common Stock during the six months ended June 30, 2018. The remaining 66,500 options exercised during the six months ended June 30, 2018 were Net Exercises, resulting in the issuance of 30,126 shares of Common Stock.</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2019, there were no unamortized compensation costs related to unvested stock option awards.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2019, there were 427,476 shares reserved for grants under the 2014 Plan.</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Restricted Stock Awards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restricted common stock activity under the Company’s 2014 Plan for the six months ended June 30, 2019 is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center"/>
              <w:ind w:right="20"/>
              <w:spacing w:after="0" w:line="157" w:lineRule="exact"/>
              <w:rPr>
                <w:sz w:val="20"/>
                <w:szCs w:val="20"/>
                <w:color w:val="auto"/>
              </w:rPr>
            </w:pPr>
            <w:r>
              <w:rPr>
                <w:rFonts w:ascii="Arial" w:cs="Arial" w:eastAsia="Arial" w:hAnsi="Arial"/>
                <w:sz w:val="14"/>
                <w:szCs w:val="14"/>
                <w:b w:val="1"/>
                <w:bCs w:val="1"/>
                <w:color w:val="auto"/>
                <w:w w:val="95"/>
              </w:rPr>
              <w:t>Average Grant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w w:val="94"/>
              </w:rPr>
              <w:t>Date Fair Value</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200"/>
              <w:spacing w:after="0" w:line="157" w:lineRule="exact"/>
              <w:rPr>
                <w:sz w:val="20"/>
                <w:szCs w:val="20"/>
                <w:color w:val="auto"/>
              </w:rPr>
            </w:pPr>
            <w:r>
              <w:rPr>
                <w:rFonts w:ascii="Arial" w:cs="Arial" w:eastAsia="Arial" w:hAnsi="Arial"/>
                <w:sz w:val="14"/>
                <w:szCs w:val="14"/>
                <w:b w:val="1"/>
                <w:bCs w:val="1"/>
                <w:color w:val="auto"/>
                <w:w w:val="93"/>
              </w:rPr>
              <w:t>Aggregate Fair</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300" w:type="dxa"/>
            <w:vAlign w:val="bottom"/>
          </w:tcPr>
          <w:p>
            <w:pPr>
              <w:ind w:left="2880"/>
              <w:spacing w:after="0"/>
              <w:rPr>
                <w:sz w:val="20"/>
                <w:szCs w:val="20"/>
                <w:color w:val="auto"/>
              </w:rPr>
            </w:pPr>
            <w:r>
              <w:rPr>
                <w:rFonts w:ascii="Arial" w:cs="Arial" w:eastAsia="Arial" w:hAnsi="Arial"/>
                <w:sz w:val="14"/>
                <w:szCs w:val="14"/>
                <w:b w:val="1"/>
                <w:bCs w:val="1"/>
                <w:color w:val="auto"/>
              </w:rPr>
              <w:t>Restricted Stock Awards</w:t>
            </w:r>
          </w:p>
        </w:tc>
        <w:tc>
          <w:tcPr>
            <w:tcW w:w="140" w:type="dxa"/>
            <w:vAlign w:val="bottom"/>
          </w:tcPr>
          <w:p>
            <w:pPr>
              <w:spacing w:after="0"/>
              <w:rPr>
                <w:sz w:val="15"/>
                <w:szCs w:val="15"/>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center"/>
              <w:ind w:right="20"/>
              <w:spacing w:after="0"/>
              <w:rPr>
                <w:sz w:val="20"/>
                <w:szCs w:val="20"/>
                <w:color w:val="auto"/>
              </w:rPr>
            </w:pPr>
            <w:r>
              <w:rPr>
                <w:rFonts w:ascii="Arial" w:cs="Arial" w:eastAsia="Arial" w:hAnsi="Arial"/>
                <w:sz w:val="14"/>
                <w:szCs w:val="14"/>
                <w:b w:val="1"/>
                <w:bCs w:val="1"/>
                <w:color w:val="auto"/>
                <w:w w:val="92"/>
              </w:rPr>
              <w:t>per Share</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35"/>
        </w:trPr>
        <w:tc>
          <w:tcPr>
            <w:tcW w:w="20" w:type="dxa"/>
            <w:vAlign w:val="bottom"/>
            <w:vMerge w:val="restart"/>
          </w:tcPr>
          <w:p>
            <w:pPr>
              <w:spacing w:after="0"/>
              <w:rPr>
                <w:sz w:val="20"/>
                <w:szCs w:val="20"/>
                <w:color w:val="auto"/>
              </w:rPr>
            </w:pPr>
          </w:p>
        </w:tc>
        <w:tc>
          <w:tcPr>
            <w:tcW w:w="73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7"/>
                <w:szCs w:val="17"/>
                <w:color w:val="auto"/>
              </w:rPr>
              <w:t>Balance at January 1, 2019</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120,499</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2,129,175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7"/>
                <w:szCs w:val="17"/>
                <w:color w:val="auto"/>
              </w:rPr>
              <w:t>Granted</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120,586</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1,870,487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7"/>
                <w:szCs w:val="17"/>
                <w:color w:val="auto"/>
              </w:rPr>
              <w:t>Vested</w:t>
            </w:r>
          </w:p>
        </w:tc>
        <w:tc>
          <w:tcPr>
            <w:tcW w:w="1400" w:type="dxa"/>
            <w:vAlign w:val="bottom"/>
            <w:gridSpan w:val="3"/>
          </w:tcPr>
          <w:p>
            <w:pPr>
              <w:jc w:val="right"/>
              <w:ind w:right="120"/>
              <w:spacing w:after="0"/>
              <w:rPr>
                <w:sz w:val="20"/>
                <w:szCs w:val="20"/>
                <w:color w:val="auto"/>
              </w:rPr>
            </w:pPr>
            <w:r>
              <w:rPr>
                <w:rFonts w:ascii="Arial" w:cs="Arial" w:eastAsia="Arial" w:hAnsi="Arial"/>
                <w:sz w:val="17"/>
                <w:szCs w:val="17"/>
                <w:color w:val="auto"/>
              </w:rPr>
              <w:t>(28,168)</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18.23</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(513,446)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7"/>
                <w:szCs w:val="17"/>
                <w:color w:val="auto"/>
              </w:rPr>
              <w:t>Forfeited</w:t>
            </w:r>
          </w:p>
        </w:tc>
        <w:tc>
          <w:tcPr>
            <w:tcW w:w="140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(5,962)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(90,510)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20" w:type="dxa"/>
            <w:vAlign w:val="bottom"/>
            <w:vMerge w:val="continue"/>
          </w:tcPr>
          <w:p>
            <w:pPr>
              <w:spacing w:after="0"/>
              <w:rPr>
                <w:sz w:val="24"/>
                <w:szCs w:val="24"/>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7"/>
                <w:szCs w:val="17"/>
                <w:color w:val="auto"/>
              </w:rPr>
              <w:t>Balance at June 30, 2019</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206,955</w:t>
            </w:r>
          </w:p>
        </w:tc>
        <w:tc>
          <w:tcPr>
            <w:tcW w:w="160" w:type="dxa"/>
            <w:vAlign w:val="bottom"/>
            <w:shd w:val="clear" w:color="auto" w:fill="CCEEFF"/>
          </w:tcPr>
          <w:p>
            <w:pPr>
              <w:spacing w:after="0"/>
              <w:rPr>
                <w:sz w:val="24"/>
                <w:szCs w:val="24"/>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3,395,706</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Fair value was calculated using the closing price of the Company’s Common Stock on the grant date. For the three months ended June 30, 2019 and 2018, stock-based compensation for these grants was approximately $399,000 and $175,000, respectively, which is included in other operating expenses on the accompanying consolidated statements of operations and comprehensive loss. For the six months ended June 30, 2019 and 2018, stock-based compensation for these grants of approximately $708,000 and $281,000, respectively, for these grants is included in other operating expenses in the condensed consolidated statements of income and comprehensive income (loss). These amounts reflect the Company’s accounting expense and do not correspond to the actual value that will be recognized by the directors, executives and employees.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color w:val="auto"/>
        </w:rPr>
        <w:t>Note 9 – Income Taxes</w:t>
      </w:r>
    </w:p>
    <w:p>
      <w:pPr>
        <w:spacing w:after="0" w:line="227" w:lineRule="exact"/>
        <w:rPr>
          <w:sz w:val="20"/>
          <w:szCs w:val="20"/>
          <w:color w:val="auto"/>
        </w:rPr>
      </w:pPr>
    </w:p>
    <w:p>
      <w:pPr>
        <w:jc w:val="both"/>
        <w:spacing w:after="0" w:line="311" w:lineRule="auto"/>
        <w:rPr>
          <w:sz w:val="20"/>
          <w:szCs w:val="20"/>
          <w:color w:val="auto"/>
        </w:rPr>
      </w:pPr>
      <w:r>
        <w:rPr>
          <w:rFonts w:ascii="Arial" w:cs="Arial" w:eastAsia="Arial" w:hAnsi="Arial"/>
          <w:sz w:val="15"/>
          <w:szCs w:val="15"/>
          <w:color w:val="auto"/>
        </w:rPr>
        <w:t>The Company files a consolidated U.S. federal income tax return that includes all wholly owned subsidiaries. State tax returns are filed on a consolidated or separate return basis depending on applicable laws. The Company records adjustments related to prior years’ taxes during the period when they are identified, generally when the tax returns are filed. The effect of these adjustments on the current and prior periods (during which the differences originated) is evaluated based upon quantitative and qualitative factors and are considered in relation to the consolidated financial statements taken as a whole for the respective periods.</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Deferred tax assets and liabilities are determined using the enacted tax rates applicable to the period the temporary differences are expected to be recovered. Accordingly, the current period income tax provision can be affected by the enactment of new tax rates. The net deferred income taxes on the balance sheets reflect temporary differences between the carrying amounts of the assets and liabilities for financial reporting purposes and income tax purposes, tax effected at various rates depending on whether the temporary differences are subject to federal taxes, state taxes, or both.</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Significant components of the Company’s deferred tax assets and liabilities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197"/>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December 31,</w:t>
            </w:r>
          </w:p>
        </w:tc>
      </w:tr>
      <w:tr>
        <w:trPr>
          <w:trHeight w:val="200"/>
        </w:trPr>
        <w:tc>
          <w:tcPr>
            <w:tcW w:w="8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r>
      <w:tr>
        <w:trPr>
          <w:trHeight w:val="470"/>
        </w:trPr>
        <w:tc>
          <w:tcPr>
            <w:tcW w:w="8820" w:type="dxa"/>
            <w:vAlign w:val="bottom"/>
          </w:tcPr>
          <w:p>
            <w:pPr>
              <w:ind w:left="40"/>
              <w:spacing w:after="0"/>
              <w:rPr>
                <w:sz w:val="20"/>
                <w:szCs w:val="20"/>
                <w:color w:val="auto"/>
              </w:rPr>
            </w:pPr>
            <w:r>
              <w:rPr>
                <w:rFonts w:ascii="Arial" w:cs="Arial" w:eastAsia="Arial" w:hAnsi="Arial"/>
                <w:sz w:val="17"/>
                <w:szCs w:val="17"/>
                <w:color w:val="auto"/>
              </w:rPr>
              <w:t>Deferred tax asset: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0"/>
        </w:trPr>
        <w:tc>
          <w:tcPr>
            <w:tcW w:w="88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 operating loss carryovers (1)</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2,029,412</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90,438</w:t>
            </w:r>
          </w:p>
        </w:tc>
        <w:tc>
          <w:tcPr>
            <w:tcW w:w="120" w:type="dxa"/>
            <w:vAlign w:val="bottom"/>
            <w:shd w:val="clear" w:color="auto" w:fill="CCEEFF"/>
          </w:tcPr>
          <w:p>
            <w:pPr>
              <w:spacing w:after="0"/>
              <w:rPr>
                <w:sz w:val="18"/>
                <w:szCs w:val="18"/>
                <w:color w:val="auto"/>
              </w:rPr>
            </w:pPr>
          </w:p>
        </w:tc>
      </w:tr>
      <w:tr>
        <w:trPr>
          <w:trHeight w:val="209"/>
        </w:trPr>
        <w:tc>
          <w:tcPr>
            <w:tcW w:w="8820" w:type="dxa"/>
            <w:vAlign w:val="bottom"/>
          </w:tcPr>
          <w:p>
            <w:pPr>
              <w:ind w:left="200"/>
              <w:spacing w:after="0"/>
              <w:rPr>
                <w:sz w:val="20"/>
                <w:szCs w:val="20"/>
                <w:color w:val="auto"/>
              </w:rPr>
            </w:pPr>
            <w:r>
              <w:rPr>
                <w:rFonts w:ascii="Arial" w:cs="Arial" w:eastAsia="Arial" w:hAnsi="Arial"/>
                <w:sz w:val="17"/>
                <w:szCs w:val="17"/>
                <w:color w:val="auto"/>
              </w:rPr>
              <w:t>Claims reserve discount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455,200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343,905</w:t>
            </w:r>
          </w:p>
        </w:tc>
        <w:tc>
          <w:tcPr>
            <w:tcW w:w="120" w:type="dxa"/>
            <w:vAlign w:val="bottom"/>
          </w:tcPr>
          <w:p>
            <w:pPr>
              <w:spacing w:after="0"/>
              <w:rPr>
                <w:sz w:val="18"/>
                <w:szCs w:val="18"/>
                <w:color w:val="auto"/>
              </w:rPr>
            </w:pPr>
          </w:p>
        </w:tc>
      </w:tr>
      <w:tr>
        <w:trPr>
          <w:trHeight w:val="209"/>
        </w:trPr>
        <w:tc>
          <w:tcPr>
            <w:tcW w:w="88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Unearned premium</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3,445,635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3,145,682</w:t>
            </w:r>
          </w:p>
        </w:tc>
        <w:tc>
          <w:tcPr>
            <w:tcW w:w="120" w:type="dxa"/>
            <w:vAlign w:val="bottom"/>
            <w:shd w:val="clear" w:color="auto" w:fill="CCEEFF"/>
          </w:tcPr>
          <w:p>
            <w:pPr>
              <w:spacing w:after="0"/>
              <w:rPr>
                <w:sz w:val="18"/>
                <w:szCs w:val="18"/>
                <w:color w:val="auto"/>
              </w:rPr>
            </w:pPr>
          </w:p>
        </w:tc>
      </w:tr>
      <w:tr>
        <w:trPr>
          <w:trHeight w:val="209"/>
        </w:trPr>
        <w:tc>
          <w:tcPr>
            <w:tcW w:w="8820" w:type="dxa"/>
            <w:vAlign w:val="bottom"/>
          </w:tcPr>
          <w:p>
            <w:pPr>
              <w:ind w:left="200"/>
              <w:spacing w:after="0"/>
              <w:rPr>
                <w:sz w:val="20"/>
                <w:szCs w:val="20"/>
                <w:color w:val="auto"/>
              </w:rPr>
            </w:pPr>
            <w:r>
              <w:rPr>
                <w:rFonts w:ascii="Arial" w:cs="Arial" w:eastAsia="Arial" w:hAnsi="Arial"/>
                <w:sz w:val="17"/>
                <w:szCs w:val="17"/>
                <w:color w:val="auto"/>
              </w:rPr>
              <w:t>Deferred ceding commission revenue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651,033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564,202</w:t>
            </w:r>
          </w:p>
        </w:tc>
        <w:tc>
          <w:tcPr>
            <w:tcW w:w="120" w:type="dxa"/>
            <w:vAlign w:val="bottom"/>
          </w:tcPr>
          <w:p>
            <w:pPr>
              <w:spacing w:after="0"/>
              <w:rPr>
                <w:sz w:val="18"/>
                <w:szCs w:val="18"/>
                <w:color w:val="auto"/>
              </w:rPr>
            </w:pPr>
          </w:p>
        </w:tc>
      </w:tr>
      <w:tr>
        <w:trPr>
          <w:trHeight w:val="215"/>
        </w:trPr>
        <w:tc>
          <w:tcPr>
            <w:tcW w:w="8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Other</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141,163</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383,733</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5"/>
        </w:trPr>
        <w:tc>
          <w:tcPr>
            <w:tcW w:w="8820" w:type="dxa"/>
            <w:vAlign w:val="bottom"/>
          </w:tcPr>
          <w:p>
            <w:pPr>
              <w:ind w:left="40"/>
              <w:spacing w:after="0"/>
              <w:rPr>
                <w:sz w:val="20"/>
                <w:szCs w:val="20"/>
                <w:color w:val="auto"/>
              </w:rPr>
            </w:pPr>
            <w:r>
              <w:rPr>
                <w:rFonts w:ascii="Arial" w:cs="Arial" w:eastAsia="Arial" w:hAnsi="Arial"/>
                <w:sz w:val="17"/>
                <w:szCs w:val="17"/>
                <w:color w:val="auto"/>
              </w:rPr>
              <w:t>Total deferred tax assets</w:t>
            </w: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6,722,443</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4,527,960</w:t>
            </w:r>
          </w:p>
        </w:tc>
        <w:tc>
          <w:tcPr>
            <w:tcW w:w="120" w:type="dxa"/>
            <w:vAlign w:val="bottom"/>
          </w:tcPr>
          <w:p>
            <w:pPr>
              <w:spacing w:after="0"/>
              <w:rPr>
                <w:sz w:val="18"/>
                <w:szCs w:val="18"/>
                <w:color w:val="auto"/>
              </w:rPr>
            </w:pPr>
          </w:p>
        </w:tc>
      </w:tr>
      <w:tr>
        <w:trPr>
          <w:trHeight w:val="209"/>
        </w:trPr>
        <w:tc>
          <w:tcPr>
            <w:tcW w:w="8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9"/>
        </w:trPr>
        <w:tc>
          <w:tcPr>
            <w:tcW w:w="8820" w:type="dxa"/>
            <w:vAlign w:val="bottom"/>
          </w:tcPr>
          <w:p>
            <w:pPr>
              <w:ind w:left="40"/>
              <w:spacing w:after="0"/>
              <w:rPr>
                <w:sz w:val="20"/>
                <w:szCs w:val="20"/>
                <w:color w:val="auto"/>
              </w:rPr>
            </w:pPr>
            <w:r>
              <w:rPr>
                <w:rFonts w:ascii="Arial" w:cs="Arial" w:eastAsia="Arial" w:hAnsi="Arial"/>
                <w:sz w:val="17"/>
                <w:szCs w:val="17"/>
                <w:color w:val="auto"/>
              </w:rPr>
              <w:t>Deferred tax liability:</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88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Investment in KICO (2)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759,543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759,543</w:t>
            </w:r>
          </w:p>
        </w:tc>
        <w:tc>
          <w:tcPr>
            <w:tcW w:w="120" w:type="dxa"/>
            <w:vAlign w:val="bottom"/>
            <w:shd w:val="clear" w:color="auto" w:fill="CCEEFF"/>
          </w:tcPr>
          <w:p>
            <w:pPr>
              <w:spacing w:after="0"/>
              <w:rPr>
                <w:sz w:val="18"/>
                <w:szCs w:val="18"/>
                <w:color w:val="auto"/>
              </w:rPr>
            </w:pPr>
          </w:p>
        </w:tc>
      </w:tr>
      <w:tr>
        <w:trPr>
          <w:trHeight w:val="209"/>
        </w:trPr>
        <w:tc>
          <w:tcPr>
            <w:tcW w:w="8820" w:type="dxa"/>
            <w:vAlign w:val="bottom"/>
          </w:tcPr>
          <w:p>
            <w:pPr>
              <w:ind w:left="200"/>
              <w:spacing w:after="0"/>
              <w:rPr>
                <w:sz w:val="20"/>
                <w:szCs w:val="20"/>
                <w:color w:val="auto"/>
              </w:rPr>
            </w:pPr>
            <w:r>
              <w:rPr>
                <w:rFonts w:ascii="Arial" w:cs="Arial" w:eastAsia="Arial" w:hAnsi="Arial"/>
                <w:sz w:val="17"/>
                <w:szCs w:val="17"/>
                <w:color w:val="auto"/>
              </w:rPr>
              <w:t>Deferred acquisition costs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4,076,900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3,760,625</w:t>
            </w:r>
          </w:p>
        </w:tc>
        <w:tc>
          <w:tcPr>
            <w:tcW w:w="120" w:type="dxa"/>
            <w:vAlign w:val="bottom"/>
          </w:tcPr>
          <w:p>
            <w:pPr>
              <w:spacing w:after="0"/>
              <w:rPr>
                <w:sz w:val="18"/>
                <w:szCs w:val="18"/>
                <w:color w:val="auto"/>
              </w:rPr>
            </w:pPr>
          </w:p>
        </w:tc>
      </w:tr>
      <w:tr>
        <w:trPr>
          <w:trHeight w:val="209"/>
        </w:trPr>
        <w:tc>
          <w:tcPr>
            <w:tcW w:w="88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Intangibles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105,000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140,700</w:t>
            </w:r>
          </w:p>
        </w:tc>
        <w:tc>
          <w:tcPr>
            <w:tcW w:w="120" w:type="dxa"/>
            <w:vAlign w:val="bottom"/>
            <w:shd w:val="clear" w:color="auto" w:fill="CCEEFF"/>
          </w:tcPr>
          <w:p>
            <w:pPr>
              <w:spacing w:after="0"/>
              <w:rPr>
                <w:sz w:val="18"/>
                <w:szCs w:val="18"/>
                <w:color w:val="auto"/>
              </w:rPr>
            </w:pPr>
          </w:p>
        </w:tc>
      </w:tr>
      <w:tr>
        <w:trPr>
          <w:trHeight w:val="209"/>
        </w:trPr>
        <w:tc>
          <w:tcPr>
            <w:tcW w:w="8820" w:type="dxa"/>
            <w:vAlign w:val="bottom"/>
          </w:tcPr>
          <w:p>
            <w:pPr>
              <w:ind w:left="200"/>
              <w:spacing w:after="0"/>
              <w:rPr>
                <w:sz w:val="20"/>
                <w:szCs w:val="20"/>
                <w:color w:val="auto"/>
              </w:rPr>
            </w:pPr>
            <w:r>
              <w:rPr>
                <w:rFonts w:ascii="Arial" w:cs="Arial" w:eastAsia="Arial" w:hAnsi="Arial"/>
                <w:sz w:val="17"/>
                <w:szCs w:val="17"/>
                <w:color w:val="auto"/>
              </w:rPr>
              <w:t>Depreciation and amortization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557,084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664,194</w:t>
            </w:r>
          </w:p>
        </w:tc>
        <w:tc>
          <w:tcPr>
            <w:tcW w:w="120" w:type="dxa"/>
            <w:vAlign w:val="bottom"/>
          </w:tcPr>
          <w:p>
            <w:pPr>
              <w:spacing w:after="0"/>
              <w:rPr>
                <w:sz w:val="18"/>
                <w:szCs w:val="18"/>
                <w:color w:val="auto"/>
              </w:rPr>
            </w:pPr>
          </w:p>
        </w:tc>
      </w:tr>
      <w:tr>
        <w:trPr>
          <w:trHeight w:val="215"/>
        </w:trPr>
        <w:tc>
          <w:tcPr>
            <w:tcW w:w="88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 unrealized gains (losses) of securities - available for sale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1,007,442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(1,151,335)</w:t>
            </w:r>
          </w:p>
        </w:tc>
      </w:tr>
      <w:tr>
        <w:trPr>
          <w:trHeight w:val="215"/>
        </w:trPr>
        <w:tc>
          <w:tcPr>
            <w:tcW w:w="8820" w:type="dxa"/>
            <w:vAlign w:val="bottom"/>
            <w:tcBorders>
              <w:top w:val="single" w:sz="8" w:color="CCEEFF"/>
            </w:tcBorders>
          </w:tcPr>
          <w:p>
            <w:pPr>
              <w:ind w:left="40"/>
              <w:spacing w:after="0"/>
              <w:rPr>
                <w:sz w:val="20"/>
                <w:szCs w:val="20"/>
                <w:color w:val="auto"/>
              </w:rPr>
            </w:pPr>
            <w:r>
              <w:rPr>
                <w:rFonts w:ascii="Arial" w:cs="Arial" w:eastAsia="Arial" w:hAnsi="Arial"/>
                <w:sz w:val="17"/>
                <w:szCs w:val="17"/>
                <w:color w:val="auto"/>
              </w:rPr>
              <w:t>Total deferred tax liabilities</w:t>
            </w: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6,505,969</w:t>
            </w: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4,173,727</w:t>
            </w:r>
          </w:p>
        </w:tc>
        <w:tc>
          <w:tcPr>
            <w:tcW w:w="120" w:type="dxa"/>
            <w:vAlign w:val="bottom"/>
            <w:tcBorders>
              <w:top w:val="single" w:sz="8" w:color="CCEEFF"/>
            </w:tcBorders>
          </w:tcPr>
          <w:p>
            <w:pPr>
              <w:spacing w:after="0"/>
              <w:rPr>
                <w:sz w:val="18"/>
                <w:szCs w:val="18"/>
                <w:color w:val="auto"/>
              </w:rPr>
            </w:pPr>
          </w:p>
        </w:tc>
      </w:tr>
      <w:tr>
        <w:trPr>
          <w:trHeight w:val="209"/>
        </w:trPr>
        <w:tc>
          <w:tcPr>
            <w:tcW w:w="8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9"/>
        </w:trPr>
        <w:tc>
          <w:tcPr>
            <w:tcW w:w="8820" w:type="dxa"/>
            <w:vAlign w:val="bottom"/>
          </w:tcPr>
          <w:p>
            <w:pPr>
              <w:ind w:left="40"/>
              <w:spacing w:after="0"/>
              <w:rPr>
                <w:sz w:val="20"/>
                <w:szCs w:val="20"/>
                <w:color w:val="auto"/>
              </w:rPr>
            </w:pPr>
            <w:r>
              <w:rPr>
                <w:rFonts w:ascii="Arial" w:cs="Arial" w:eastAsia="Arial" w:hAnsi="Arial"/>
                <w:sz w:val="17"/>
                <w:szCs w:val="17"/>
                <w:color w:val="auto"/>
              </w:rPr>
              <w:t>Net deferred income tax asset</w:t>
            </w:r>
          </w:p>
        </w:tc>
        <w:tc>
          <w:tcPr>
            <w:tcW w:w="200" w:type="dxa"/>
            <w:vAlign w:val="bottom"/>
            <w:gridSpan w:val="2"/>
          </w:tcPr>
          <w:p>
            <w:pPr>
              <w:jc w:val="right"/>
              <w:ind w:right="100"/>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216,474</w:t>
            </w:r>
          </w:p>
        </w:tc>
        <w:tc>
          <w:tcPr>
            <w:tcW w:w="3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354,233</w:t>
            </w:r>
          </w:p>
        </w:tc>
        <w:tc>
          <w:tcPr>
            <w:tcW w:w="120" w:type="dxa"/>
            <w:vAlign w:val="bottom"/>
          </w:tcPr>
          <w:p>
            <w:pPr>
              <w:spacing w:after="0"/>
              <w:rPr>
                <w:sz w:val="18"/>
                <w:szCs w:val="18"/>
                <w:color w:val="auto"/>
              </w:rPr>
            </w:pPr>
          </w:p>
        </w:tc>
      </w:tr>
      <w:tr>
        <w:trPr>
          <w:trHeight w:val="20"/>
        </w:trPr>
        <w:tc>
          <w:tcPr>
            <w:tcW w:w="8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1" w:lineRule="exact"/>
        <w:rPr>
          <w:sz w:val="20"/>
          <w:szCs w:val="20"/>
          <w:color w:val="auto"/>
        </w:rPr>
      </w:pPr>
    </w:p>
    <w:p>
      <w:pPr>
        <w:ind w:left="5620" w:right="4840" w:hanging="4988"/>
        <w:spacing w:after="0" w:line="795" w:lineRule="auto"/>
        <w:tabs>
          <w:tab w:leader="none" w:pos="937"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deferred tax assets from net operating loss carryovers (“NOL”) are as follows: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-284480</wp:posOffset>
            </wp:positionV>
            <wp:extent cx="72510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December 31,</w:t>
            </w:r>
          </w:p>
        </w:tc>
        <w:tc>
          <w:tcPr>
            <w:tcW w:w="1700" w:type="dxa"/>
            <w:vAlign w:val="bottom"/>
          </w:tcPr>
          <w:p>
            <w:pPr>
              <w:spacing w:after="0"/>
              <w:rPr>
                <w:sz w:val="14"/>
                <w:szCs w:val="14"/>
                <w:color w:val="auto"/>
              </w:rPr>
            </w:pPr>
          </w:p>
        </w:tc>
      </w:tr>
      <w:tr>
        <w:trPr>
          <w:trHeight w:val="177"/>
        </w:trPr>
        <w:tc>
          <w:tcPr>
            <w:tcW w:w="6980" w:type="dxa"/>
            <w:vAlign w:val="bottom"/>
            <w:tcBorders>
              <w:bottom w:val="single" w:sz="8" w:color="auto"/>
            </w:tcBorders>
          </w:tcPr>
          <w:p>
            <w:pPr>
              <w:ind w:left="3100"/>
              <w:spacing w:after="0"/>
              <w:rPr>
                <w:sz w:val="20"/>
                <w:szCs w:val="20"/>
                <w:color w:val="auto"/>
              </w:rPr>
            </w:pPr>
            <w:r>
              <w:rPr>
                <w:rFonts w:ascii="Arial" w:cs="Arial" w:eastAsia="Arial" w:hAnsi="Arial"/>
                <w:sz w:val="14"/>
                <w:szCs w:val="14"/>
                <w:b w:val="1"/>
                <w:bCs w:val="1"/>
                <w:color w:val="auto"/>
              </w:rPr>
              <w:t>Type of NOL</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Expiration</w:t>
            </w:r>
          </w:p>
        </w:tc>
      </w:tr>
      <w:tr>
        <w:trPr>
          <w:trHeight w:val="235"/>
        </w:trPr>
        <w:tc>
          <w:tcPr>
            <w:tcW w:w="6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09"/>
        </w:trPr>
        <w:tc>
          <w:tcPr>
            <w:tcW w:w="6980" w:type="dxa"/>
            <w:vAlign w:val="bottom"/>
            <w:shd w:val="clear" w:color="auto" w:fill="CCEEFF"/>
          </w:tcPr>
          <w:p>
            <w:pPr>
              <w:ind w:left="40"/>
              <w:spacing w:after="0"/>
              <w:rPr>
                <w:sz w:val="20"/>
                <w:szCs w:val="20"/>
                <w:color w:val="auto"/>
              </w:rPr>
            </w:pPr>
            <w:r>
              <w:rPr>
                <w:rFonts w:ascii="Arial" w:cs="Arial" w:eastAsia="Arial" w:hAnsi="Arial"/>
                <w:sz w:val="17"/>
                <w:szCs w:val="17"/>
                <w:color w:val="auto"/>
              </w:rPr>
              <w:t>Federal only, current year</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1,959,030</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ind w:left="720"/>
              <w:spacing w:after="0"/>
              <w:rPr>
                <w:sz w:val="20"/>
                <w:szCs w:val="20"/>
                <w:color w:val="auto"/>
              </w:rPr>
            </w:pPr>
            <w:r>
              <w:rPr>
                <w:rFonts w:ascii="Arial" w:cs="Arial" w:eastAsia="Arial" w:hAnsi="Arial"/>
                <w:sz w:val="17"/>
                <w:szCs w:val="17"/>
                <w:color w:val="auto"/>
              </w:rPr>
              <w:t>None</w:t>
            </w:r>
          </w:p>
        </w:tc>
      </w:tr>
      <w:tr>
        <w:trPr>
          <w:trHeight w:val="215"/>
        </w:trPr>
        <w:tc>
          <w:tcPr>
            <w:tcW w:w="6980" w:type="dxa"/>
            <w:vAlign w:val="bottom"/>
          </w:tcPr>
          <w:p>
            <w:pPr>
              <w:ind w:left="40"/>
              <w:spacing w:after="0"/>
              <w:rPr>
                <w:sz w:val="20"/>
                <w:szCs w:val="20"/>
                <w:color w:val="auto"/>
              </w:rPr>
            </w:pPr>
            <w:r>
              <w:rPr>
                <w:rFonts w:ascii="Arial" w:cs="Arial" w:eastAsia="Arial" w:hAnsi="Arial"/>
                <w:sz w:val="17"/>
                <w:szCs w:val="17"/>
                <w:color w:val="auto"/>
              </w:rPr>
              <w:t>Amount subject to Annual Limitation, federal only</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2,100</w:t>
            </w:r>
          </w:p>
        </w:tc>
        <w:tc>
          <w:tcPr>
            <w:tcW w:w="1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7"/>
                <w:szCs w:val="17"/>
                <w:color w:val="auto"/>
                <w:w w:val="89"/>
              </w:rPr>
              <w:t>December 31, 2019</w:t>
            </w:r>
          </w:p>
        </w:tc>
      </w:tr>
      <w:tr>
        <w:trPr>
          <w:trHeight w:val="215"/>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federal only</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1,959,030</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2,100</w:t>
            </w:r>
          </w:p>
        </w:tc>
        <w:tc>
          <w:tcPr>
            <w:tcW w:w="12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spacing w:after="0"/>
              <w:rPr>
                <w:sz w:val="18"/>
                <w:szCs w:val="18"/>
                <w:color w:val="auto"/>
              </w:rPr>
            </w:pPr>
          </w:p>
        </w:tc>
      </w:tr>
      <w:tr>
        <w:trPr>
          <w:trHeight w:val="209"/>
        </w:trPr>
        <w:tc>
          <w:tcPr>
            <w:tcW w:w="6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09"/>
        </w:trPr>
        <w:tc>
          <w:tcPr>
            <w:tcW w:w="6980" w:type="dxa"/>
            <w:vAlign w:val="bottom"/>
            <w:shd w:val="clear" w:color="auto" w:fill="CCEEFF"/>
          </w:tcPr>
          <w:p>
            <w:pPr>
              <w:ind w:left="40"/>
              <w:spacing w:after="0"/>
              <w:rPr>
                <w:sz w:val="20"/>
                <w:szCs w:val="20"/>
                <w:color w:val="auto"/>
              </w:rPr>
            </w:pPr>
            <w:r>
              <w:rPr>
                <w:rFonts w:ascii="Arial" w:cs="Arial" w:eastAsia="Arial" w:hAnsi="Arial"/>
                <w:sz w:val="17"/>
                <w:szCs w:val="17"/>
                <w:color w:val="auto"/>
              </w:rPr>
              <w:t>State only (A)</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1,504,514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1,305,365</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December 31, 2039</w:t>
            </w:r>
          </w:p>
        </w:tc>
      </w:tr>
      <w:tr>
        <w:trPr>
          <w:trHeight w:val="215"/>
        </w:trPr>
        <w:tc>
          <w:tcPr>
            <w:tcW w:w="6980" w:type="dxa"/>
            <w:vAlign w:val="bottom"/>
          </w:tcPr>
          <w:p>
            <w:pPr>
              <w:ind w:left="40"/>
              <w:spacing w:after="0"/>
              <w:rPr>
                <w:sz w:val="20"/>
                <w:szCs w:val="20"/>
                <w:color w:val="auto"/>
              </w:rPr>
            </w:pPr>
            <w:r>
              <w:rPr>
                <w:rFonts w:ascii="Arial" w:cs="Arial" w:eastAsia="Arial" w:hAnsi="Arial"/>
                <w:sz w:val="17"/>
                <w:szCs w:val="17"/>
                <w:color w:val="auto"/>
              </w:rPr>
              <w:t>Valuation allowance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(1,434,132)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(1,217,027)</w:t>
            </w:r>
          </w:p>
        </w:tc>
        <w:tc>
          <w:tcPr>
            <w:tcW w:w="1700" w:type="dxa"/>
            <w:vAlign w:val="bottom"/>
          </w:tcPr>
          <w:p>
            <w:pPr>
              <w:spacing w:after="0"/>
              <w:rPr>
                <w:sz w:val="18"/>
                <w:szCs w:val="18"/>
                <w:color w:val="auto"/>
              </w:rPr>
            </w:pPr>
          </w:p>
        </w:tc>
      </w:tr>
      <w:tr>
        <w:trPr>
          <w:trHeight w:val="215"/>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State only, net of valuation allowance</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70,382</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88,338</w:t>
            </w:r>
          </w:p>
        </w:tc>
        <w:tc>
          <w:tcPr>
            <w:tcW w:w="12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spacing w:after="0"/>
              <w:rPr>
                <w:sz w:val="18"/>
                <w:szCs w:val="18"/>
                <w:color w:val="auto"/>
              </w:rPr>
            </w:pPr>
          </w:p>
        </w:tc>
      </w:tr>
      <w:tr>
        <w:trPr>
          <w:trHeight w:val="209"/>
        </w:trPr>
        <w:tc>
          <w:tcPr>
            <w:tcW w:w="6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29"/>
        </w:trPr>
        <w:tc>
          <w:tcPr>
            <w:tcW w:w="6980" w:type="dxa"/>
            <w:vAlign w:val="bottom"/>
            <w:shd w:val="clear" w:color="auto" w:fill="CCEEFF"/>
          </w:tcPr>
          <w:p>
            <w:pPr>
              <w:ind w:left="40"/>
              <w:spacing w:after="0"/>
              <w:rPr>
                <w:sz w:val="20"/>
                <w:szCs w:val="20"/>
                <w:color w:val="auto"/>
              </w:rPr>
            </w:pPr>
            <w:r>
              <w:rPr>
                <w:rFonts w:ascii="Arial" w:cs="Arial" w:eastAsia="Arial" w:hAnsi="Arial"/>
                <w:sz w:val="17"/>
                <w:szCs w:val="17"/>
                <w:color w:val="auto"/>
              </w:rPr>
              <w:t>Total deferred tax asset from net operating loss carryovers</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2,029,412</w:t>
            </w:r>
          </w:p>
        </w:tc>
        <w:tc>
          <w:tcPr>
            <w:tcW w:w="16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90,438</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0"/>
        </w:trPr>
        <w:tc>
          <w:tcPr>
            <w:tcW w:w="6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1" w:lineRule="exact"/>
        <w:rPr>
          <w:sz w:val="20"/>
          <w:szCs w:val="20"/>
          <w:color w:val="auto"/>
        </w:rPr>
      </w:pPr>
    </w:p>
    <w:p>
      <w:pPr>
        <w:jc w:val="both"/>
        <w:ind w:left="640" w:hanging="8"/>
        <w:spacing w:after="0" w:line="283" w:lineRule="auto"/>
        <w:tabs>
          <w:tab w:leader="none" w:pos="929" w:val="left"/>
        </w:tabs>
        <w:numPr>
          <w:ilvl w:val="0"/>
          <w:numId w:val="9"/>
        </w:numPr>
        <w:rPr>
          <w:rFonts w:ascii="Arial" w:cs="Arial" w:eastAsia="Arial" w:hAnsi="Arial"/>
          <w:sz w:val="16"/>
          <w:szCs w:val="16"/>
          <w:color w:val="auto"/>
        </w:rPr>
      </w:pPr>
      <w:r>
        <w:rPr>
          <w:rFonts w:ascii="Arial" w:cs="Arial" w:eastAsia="Arial" w:hAnsi="Arial"/>
          <w:sz w:val="16"/>
          <w:szCs w:val="16"/>
          <w:color w:val="auto"/>
        </w:rPr>
        <w:t>Kingstone generates operating losses for state purposes and has prior year NOLs available. The state NOL as of June 30, 2019 and December 31, 2018 was approximately $23,146,000 and $20,083,000, respectively. KICO is not subject to state income taxes. KICO’s state tax obligations are paid through a gross premiums tax, which is included in the condensed consolidated statements of operations and comprehensive income (loss) within other underwriting expenses. A valuation allowance has been recorded due to the uncertainty of generating enough state taxable income to utilize 100% of the available state NOLs over their remaining lives, which expire between 2027 and 2039.</w:t>
      </w:r>
    </w:p>
    <w:p>
      <w:pPr>
        <w:spacing w:after="0" w:line="10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(2)  Deferred tax liability – Investment in KICO</w:t>
      </w:r>
    </w:p>
    <w:p>
      <w:pPr>
        <w:spacing w:after="0" w:line="249"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On July 1, 2009, the Company completed the acquisition of 100% of the issued and outstanding common stock of KICO (formerly known as Commercial Mutual Insurance Company (“CMIC”)) pursuant to the conversion of CMIC from an advance premium cooperative to a stock property and casualty insurance company. Pursuant to the plan of conversion, the Company acquired a 100% equity interest in KICO, in consideration for the exchange of $3,750,000 principal amount of surplus notes of CMIC. In addition, the Company forgave all accrued and unpaid interest on the surplus notes as of the date of conversion. As of the date of acquisition, unpaid accrued interest on the surplus notes along with the accretion of the discount on the original purchase of the surplus notes totaled $2,921,319 (together “Untaxed Interest”). As of the date of acquisition, the deferred tax liability on the Untaxed Interest was $1,169,000. A temporary difference with an indefinite life exists when the parent has a lower carrying value of its subsidiary for income tax purposes. The deferred tax liability was reduced to $759,543 upon the reduction of federal income tax rates as of December 31, 2017. The Company is required to maintain its deferred tax liability of $759,543 related to this temporary difference until the stock of KICO is sold, or the assets of KICO are sold or KICO and the parent are merged.</w:t>
      </w:r>
    </w:p>
    <w:p>
      <w:pPr>
        <w:spacing w:after="0" w:line="10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assessing the valuation of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No valuation allowance against deferred tax assets has been established, except for NOL limitations, as the Company believes it is more likely than not the deferred tax assets will be realized based on the historical taxable income of KICO, or by offset to deferred tax liabilities.</w:t>
      </w:r>
    </w:p>
    <w:p>
      <w:pPr>
        <w:spacing w:after="0" w:line="16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had no material unrecognized tax benefit and no adjustments to liabilities or operations were required. There were no interest or penalties related to income taxes that have been accrued or recognized as of and for the six months ended June 30, 2019 and 2018. If any had been recognized these would have been reported in income tax expense.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41" w:right="239" w:bottom="1440" w:gutter="0" w:footer="0" w:header="0"/>
        </w:sectPr>
      </w:pPr>
    </w:p>
    <w:bookmarkStart w:id="38" w:name="page39"/>
    <w:bookmarkEnd w:id="38"/>
    <w:p>
      <w:pPr>
        <w:jc w:val="both"/>
        <w:spacing w:after="0" w:line="269" w:lineRule="auto"/>
        <w:rPr>
          <w:sz w:val="20"/>
          <w:szCs w:val="20"/>
          <w:color w:val="auto"/>
        </w:rPr>
      </w:pPr>
      <w:r>
        <w:rPr>
          <w:rFonts w:ascii="Arial" w:cs="Arial" w:eastAsia="Arial" w:hAnsi="Arial"/>
          <w:sz w:val="17"/>
          <w:szCs w:val="17"/>
          <w:color w:val="auto"/>
        </w:rPr>
        <w:t>Generally, taxing authorities may examine the Company’s tax returns for the three years from the date of filing. The Company’s tax returns for the years ended December 31, 2015 through December 31, 2018 remain subject to examination. The Company’s federal income tax return for the year ended December 31, 2016 has been examined by the Internal Revenue Service and was accepted as filed.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–Earnings/(Loss) Per Common Share</w:t>
      </w:r>
    </w:p>
    <w:p>
      <w:pPr>
        <w:spacing w:after="0" w:line="16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Basic net earnings/(loss) per common share is computed by dividing income/(loss) available to common shareholders by the weighted-average number of common shares outstanding. Diluted earnings/(loss) per common share reflect, in periods in which they have a dilutive effect, the impact of common shares issuable upon exercise of stock options as well as non-vested restricted stock awards. The computation of diluted earnings/(loss) per common share excludes those options with an exercise price in excess of the average market price of the Company’s common shares during the periods presented.</w:t>
      </w:r>
    </w:p>
    <w:p>
      <w:pPr>
        <w:spacing w:after="0" w:line="10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computation of diluted earnings/(loss) per common share excludes outstanding options in periods where the exercise of such options would be anti-dilutive. For the six months ended June 30, 2019 and 2018, no options were included in the computation of diluted earnings/(loss) per common share would have been anti-dilutive for the relevant periods and, as a result, the weighted average number of common shares used in the calculation of diluted earnings per common share has not been adjusted for the effect of such options.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The reconciliation of the weighted average number of common shares used in the calculation of basic and diluted earnings/(loss) per common share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80" w:type="dxa"/>
            <w:vAlign w:val="bottom"/>
          </w:tcPr>
          <w:p>
            <w:pPr>
              <w:spacing w:after="0"/>
              <w:rPr>
                <w:sz w:val="16"/>
                <w:szCs w:val="16"/>
                <w:color w:val="auto"/>
              </w:rPr>
            </w:pPr>
          </w:p>
        </w:tc>
        <w:tc>
          <w:tcPr>
            <w:tcW w:w="2480" w:type="dxa"/>
            <w:vAlign w:val="bottom"/>
            <w:gridSpan w:val="6"/>
          </w:tcPr>
          <w:p>
            <w:pPr>
              <w:jc w:val="right"/>
              <w:ind w:right="518"/>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580" w:type="dxa"/>
            <w:vAlign w:val="bottom"/>
            <w:gridSpan w:val="5"/>
          </w:tcPr>
          <w:p>
            <w:pPr>
              <w:ind w:left="700"/>
              <w:spacing w:after="0"/>
              <w:rPr>
                <w:sz w:val="20"/>
                <w:szCs w:val="20"/>
                <w:color w:val="auto"/>
              </w:rPr>
            </w:pPr>
            <w:r>
              <w:rPr>
                <w:rFonts w:ascii="Arial" w:cs="Arial" w:eastAsia="Arial" w:hAnsi="Arial"/>
                <w:sz w:val="14"/>
                <w:szCs w:val="14"/>
                <w:b w:val="1"/>
                <w:bCs w:val="1"/>
                <w:color w:val="auto"/>
              </w:rPr>
              <w:t>Six months ended</w:t>
            </w:r>
          </w:p>
        </w:tc>
      </w:tr>
      <w:tr>
        <w:trPr>
          <w:trHeight w:val="200"/>
        </w:trPr>
        <w:tc>
          <w:tcPr>
            <w:tcW w:w="6080" w:type="dxa"/>
            <w:vAlign w:val="bottom"/>
          </w:tcPr>
          <w:p>
            <w:pPr>
              <w:spacing w:after="0"/>
              <w:rPr>
                <w:sz w:val="17"/>
                <w:szCs w:val="17"/>
                <w:color w:val="auto"/>
              </w:rPr>
            </w:pPr>
          </w:p>
        </w:tc>
        <w:tc>
          <w:tcPr>
            <w:tcW w:w="1580" w:type="dxa"/>
            <w:vAlign w:val="bottom"/>
            <w:tcBorders>
              <w:bottom w:val="single" w:sz="8" w:color="auto"/>
            </w:tcBorders>
            <w:gridSpan w:val="5"/>
          </w:tcPr>
          <w:p>
            <w:pPr>
              <w:ind w:left="92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15"/>
        </w:trPr>
        <w:tc>
          <w:tcPr>
            <w:tcW w:w="6080" w:type="dxa"/>
            <w:vAlign w:val="bottom"/>
          </w:tcPr>
          <w:p>
            <w:pPr>
              <w:spacing w:after="0"/>
              <w:rPr>
                <w:sz w:val="18"/>
                <w:szCs w:val="18"/>
                <w:color w:val="auto"/>
              </w:rPr>
            </w:pPr>
          </w:p>
        </w:tc>
        <w:tc>
          <w:tcPr>
            <w:tcW w:w="1020" w:type="dxa"/>
            <w:vAlign w:val="bottom"/>
          </w:tcPr>
          <w:p>
            <w:pPr>
              <w:jc w:val="right"/>
              <w:ind w:right="221"/>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318"/>
              <w:spacing w:after="0"/>
              <w:rPr>
                <w:sz w:val="20"/>
                <w:szCs w:val="20"/>
                <w:color w:val="auto"/>
              </w:rPr>
            </w:pPr>
            <w:r>
              <w:rPr>
                <w:rFonts w:ascii="Arial" w:cs="Arial" w:eastAsia="Arial" w:hAnsi="Arial"/>
                <w:sz w:val="14"/>
                <w:szCs w:val="14"/>
                <w:b w:val="1"/>
                <w:bCs w:val="1"/>
                <w:color w:val="auto"/>
              </w:rPr>
              <w:t>2018</w:t>
            </w:r>
          </w:p>
        </w:tc>
        <w:tc>
          <w:tcPr>
            <w:tcW w:w="1380" w:type="dxa"/>
            <w:vAlign w:val="bottom"/>
            <w:gridSpan w:val="3"/>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31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8"/>
                <w:szCs w:val="18"/>
                <w:color w:val="auto"/>
              </w:rPr>
            </w:pPr>
          </w:p>
        </w:tc>
      </w:tr>
      <w:tr>
        <w:trPr>
          <w:trHeight w:val="235"/>
        </w:trPr>
        <w:tc>
          <w:tcPr>
            <w:tcW w:w="608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6080" w:type="dxa"/>
            <w:vAlign w:val="bottom"/>
            <w:shd w:val="clear" w:color="auto" w:fill="CCEEFF"/>
          </w:tcPr>
          <w:p>
            <w:pPr>
              <w:ind w:left="40"/>
              <w:spacing w:after="0"/>
              <w:rPr>
                <w:sz w:val="20"/>
                <w:szCs w:val="20"/>
                <w:color w:val="auto"/>
              </w:rPr>
            </w:pPr>
            <w:r>
              <w:rPr>
                <w:rFonts w:ascii="Arial" w:cs="Arial" w:eastAsia="Arial" w:hAnsi="Arial"/>
                <w:sz w:val="17"/>
                <w:szCs w:val="17"/>
                <w:color w:val="auto"/>
              </w:rPr>
              <w:t>Weighted average number of shares outstanding</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10,771,717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10,664,806</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10,764,824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10,667,385</w:t>
            </w:r>
          </w:p>
        </w:tc>
        <w:tc>
          <w:tcPr>
            <w:tcW w:w="120" w:type="dxa"/>
            <w:vAlign w:val="bottom"/>
            <w:shd w:val="clear" w:color="auto" w:fill="CCEEFF"/>
          </w:tcPr>
          <w:p>
            <w:pPr>
              <w:spacing w:after="0"/>
              <w:rPr>
                <w:sz w:val="18"/>
                <w:szCs w:val="18"/>
                <w:color w:val="auto"/>
              </w:rPr>
            </w:pPr>
          </w:p>
        </w:tc>
      </w:tr>
      <w:tr>
        <w:trPr>
          <w:trHeight w:val="209"/>
        </w:trPr>
        <w:tc>
          <w:tcPr>
            <w:tcW w:w="6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5"/>
        </w:trPr>
        <w:tc>
          <w:tcPr>
            <w:tcW w:w="60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Effect of dilutive securities, common share equivalents</w:t>
            </w:r>
          </w:p>
        </w:tc>
        <w:tc>
          <w:tcPr>
            <w:tcW w:w="10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09"/>
        </w:trPr>
        <w:tc>
          <w:tcPr>
            <w:tcW w:w="6080" w:type="dxa"/>
            <w:vAlign w:val="bottom"/>
          </w:tcPr>
          <w:p>
            <w:pPr>
              <w:ind w:left="200"/>
              <w:spacing w:after="0"/>
              <w:rPr>
                <w:sz w:val="20"/>
                <w:szCs w:val="20"/>
                <w:color w:val="auto"/>
              </w:rPr>
            </w:pPr>
            <w:r>
              <w:rPr>
                <w:rFonts w:ascii="Arial" w:cs="Arial" w:eastAsia="Arial" w:hAnsi="Arial"/>
                <w:sz w:val="17"/>
                <w:szCs w:val="17"/>
                <w:color w:val="auto"/>
              </w:rPr>
              <w:t>Stock options</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4,188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148,885</w:t>
            </w:r>
          </w:p>
        </w:tc>
        <w:tc>
          <w:tcPr>
            <w:tcW w:w="13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154,322</w:t>
            </w:r>
          </w:p>
        </w:tc>
        <w:tc>
          <w:tcPr>
            <w:tcW w:w="120" w:type="dxa"/>
            <w:vAlign w:val="bottom"/>
          </w:tcPr>
          <w:p>
            <w:pPr>
              <w:spacing w:after="0"/>
              <w:rPr>
                <w:sz w:val="18"/>
                <w:szCs w:val="18"/>
                <w:color w:val="auto"/>
              </w:rPr>
            </w:pPr>
          </w:p>
        </w:tc>
      </w:tr>
      <w:tr>
        <w:trPr>
          <w:trHeight w:val="215"/>
        </w:trPr>
        <w:tc>
          <w:tcPr>
            <w:tcW w:w="60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Restricted stock awards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9,159</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6,631</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6,313</w:t>
            </w:r>
          </w:p>
        </w:tc>
        <w:tc>
          <w:tcPr>
            <w:tcW w:w="120" w:type="dxa"/>
            <w:vAlign w:val="bottom"/>
            <w:shd w:val="clear" w:color="auto" w:fill="CCEEFF"/>
          </w:tcPr>
          <w:p>
            <w:pPr>
              <w:spacing w:after="0"/>
              <w:rPr>
                <w:sz w:val="18"/>
                <w:szCs w:val="18"/>
                <w:color w:val="auto"/>
              </w:rPr>
            </w:pPr>
          </w:p>
        </w:tc>
      </w:tr>
      <w:tr>
        <w:trPr>
          <w:trHeight w:val="209"/>
        </w:trPr>
        <w:tc>
          <w:tcPr>
            <w:tcW w:w="608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09"/>
        </w:trPr>
        <w:tc>
          <w:tcPr>
            <w:tcW w:w="6080" w:type="dxa"/>
            <w:vAlign w:val="bottom"/>
            <w:shd w:val="clear" w:color="auto" w:fill="CCEEFF"/>
          </w:tcPr>
          <w:p>
            <w:pPr>
              <w:ind w:left="40"/>
              <w:spacing w:after="0"/>
              <w:rPr>
                <w:sz w:val="20"/>
                <w:szCs w:val="20"/>
                <w:color w:val="auto"/>
              </w:rPr>
            </w:pPr>
            <w:r>
              <w:rPr>
                <w:rFonts w:ascii="Arial" w:cs="Arial" w:eastAsia="Arial" w:hAnsi="Arial"/>
                <w:sz w:val="17"/>
                <w:szCs w:val="17"/>
                <w:color w:val="auto"/>
              </w:rPr>
              <w:t>Weighted average number of shares outstanding,</w:t>
            </w: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9"/>
        </w:trPr>
        <w:tc>
          <w:tcPr>
            <w:tcW w:w="6080" w:type="dxa"/>
            <w:vAlign w:val="bottom"/>
          </w:tcPr>
          <w:p>
            <w:pPr>
              <w:ind w:left="200"/>
              <w:spacing w:after="0"/>
              <w:rPr>
                <w:sz w:val="20"/>
                <w:szCs w:val="20"/>
                <w:color w:val="auto"/>
              </w:rPr>
            </w:pPr>
            <w:r>
              <w:rPr>
                <w:rFonts w:ascii="Arial" w:cs="Arial" w:eastAsia="Arial" w:hAnsi="Arial"/>
                <w:sz w:val="17"/>
                <w:szCs w:val="17"/>
                <w:color w:val="auto"/>
              </w:rPr>
              <w:t>used for computing diluted earnings per share</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10,785,064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10,820,322</w:t>
            </w:r>
          </w:p>
        </w:tc>
        <w:tc>
          <w:tcPr>
            <w:tcW w:w="1380" w:type="dxa"/>
            <w:vAlign w:val="bottom"/>
            <w:gridSpan w:val="3"/>
          </w:tcPr>
          <w:p>
            <w:pPr>
              <w:jc w:val="right"/>
              <w:spacing w:after="0"/>
              <w:rPr>
                <w:sz w:val="20"/>
                <w:szCs w:val="20"/>
                <w:color w:val="auto"/>
              </w:rPr>
            </w:pPr>
            <w:r>
              <w:rPr>
                <w:rFonts w:ascii="Arial" w:cs="Arial" w:eastAsia="Arial" w:hAnsi="Arial"/>
                <w:sz w:val="17"/>
                <w:szCs w:val="17"/>
                <w:color w:val="auto"/>
              </w:rPr>
              <w:t>10,764,824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10,828,020</w:t>
            </w:r>
          </w:p>
        </w:tc>
        <w:tc>
          <w:tcPr>
            <w:tcW w:w="120" w:type="dxa"/>
            <w:vAlign w:val="bottom"/>
          </w:tcPr>
          <w:p>
            <w:pPr>
              <w:spacing w:after="0"/>
              <w:rPr>
                <w:sz w:val="18"/>
                <w:szCs w:val="18"/>
                <w:color w:val="auto"/>
              </w:rPr>
            </w:pPr>
          </w:p>
        </w:tc>
      </w:tr>
      <w:tr>
        <w:trPr>
          <w:trHeight w:val="20"/>
        </w:trPr>
        <w:tc>
          <w:tcPr>
            <w:tcW w:w="60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 Commitments and Contingencies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Litigation</w:t>
      </w:r>
    </w:p>
    <w:p>
      <w:pPr>
        <w:spacing w:after="0" w:line="22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From time to time, the Company is involved in various legal proceedings in the ordinary course of business. For example, to the extent a claim is asserted by a third party in a lawsuit against one of the Company’s insureds covered by a particular policy, the Company may have a duty to defend the insured party against the claim. These claims may relate to bodily injury, property damage or other compensable injuries as set forth in the policy. Such proceedings are considered in estimating the liability for loss and LAE expenses.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39" w:name="page40"/>
    <w:bookmarkEnd w:id="39"/>
    <w:p>
      <w:pPr>
        <w:jc w:val="both"/>
        <w:spacing w:after="0" w:line="298" w:lineRule="auto"/>
        <w:rPr>
          <w:sz w:val="20"/>
          <w:szCs w:val="20"/>
          <w:color w:val="auto"/>
        </w:rPr>
      </w:pPr>
      <w:r>
        <w:rPr>
          <w:rFonts w:ascii="Arial" w:cs="Arial" w:eastAsia="Arial" w:hAnsi="Arial"/>
          <w:sz w:val="15"/>
          <w:szCs w:val="15"/>
          <w:color w:val="auto"/>
        </w:rPr>
        <w:t xml:space="preserve">On June 12, 2019, Phillip Woolgar filed a suit naming the Company and certain present or former officers and directors as defendants in a putative class action captioned </w:t>
      </w:r>
      <w:r>
        <w:rPr>
          <w:rFonts w:ascii="Arial" w:cs="Arial" w:eastAsia="Arial" w:hAnsi="Arial"/>
          <w:sz w:val="15"/>
          <w:szCs w:val="15"/>
          <w:i w:val="1"/>
          <w:iCs w:val="1"/>
          <w:color w:val="auto"/>
        </w:rPr>
        <w:t>Woolgar v. Kingstone Companies et al.</w:t>
      </w:r>
      <w:r>
        <w:rPr>
          <w:rFonts w:ascii="Arial" w:cs="Arial" w:eastAsia="Arial" w:hAnsi="Arial"/>
          <w:sz w:val="15"/>
          <w:szCs w:val="15"/>
          <w:color w:val="auto"/>
        </w:rPr>
        <w:t>, 19 cv 05500 (S.D.N.Y.), asserting claims under Section 10(b) of the Exchange Act and SEC Rule 10b-5 promulgated thereunder and Section 20(a) of the Exchange Act. Plaintiff seeks to represent a class of persons or entities that purchased Kingstone securities between March 14, 2018, and April 29, 2019, and alleges violations of the federal securities law in connection with the Company’s April 29, 2019 announcement regarding losses related to winter catastrophe events. The lawsuit alleges that the Company failed to disclose that it did not adequately follow industry best practices related to claims handling and thus did not record sufficient claim reserves, and that as a result, Defendants’ positive statements about the Company’s business, operations and prospects misled investors. Plaintiff seeks, among other things, an undetermined amount of money damages. We believe the lawsuit to be without merit. The Company has not established an accrual for this matter as a loss is not considered to be probable and reasonably estimable. It is the opinion of management that facts known at the present time do not indicate that such litigation will have a material adverse impact on the Company’s results of operations, financial position, or cash flows.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Office Lease</w:t>
      </w:r>
    </w:p>
    <w:p>
      <w:pPr>
        <w:spacing w:after="0" w:line="2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enters into lease agreements for real estate that is primarily used for office space in the ordinary course of business. These leases are accounted for as operating leases, whereby lease expense is recognized on a straight-line basis over the term of the lease. See Note 2 - Accounting Policies for additional information regarding the accounting for leases.</w:t>
      </w:r>
    </w:p>
    <w:p>
      <w:pPr>
        <w:spacing w:after="0" w:line="18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The Company is a party to a non-cancellable operating lease, dated March 27, 2015, for its office facility for KICO located in Valley Stream, New York expiring March 31, 2024.</w:t>
      </w:r>
    </w:p>
    <w:p>
      <w:pPr>
        <w:spacing w:after="0" w:line="170" w:lineRule="exact"/>
        <w:rPr>
          <w:sz w:val="20"/>
          <w:szCs w:val="20"/>
          <w:color w:val="auto"/>
        </w:rPr>
      </w:pPr>
    </w:p>
    <w:p>
      <w:pPr>
        <w:jc w:val="both"/>
        <w:spacing w:after="0" w:line="351" w:lineRule="auto"/>
        <w:rPr>
          <w:sz w:val="20"/>
          <w:szCs w:val="20"/>
          <w:color w:val="auto"/>
        </w:rPr>
      </w:pPr>
      <w:r>
        <w:rPr>
          <w:rFonts w:ascii="Arial" w:cs="Arial" w:eastAsia="Arial" w:hAnsi="Arial"/>
          <w:sz w:val="15"/>
          <w:szCs w:val="15"/>
          <w:color w:val="auto"/>
        </w:rPr>
        <w:t>In addition to the base rental costs, occupancy lease agreements generally provide for rent escalations resulting from increased assessments from real estate taxes and other charges. This lease is accounted for as an operating lease, whereby lease expense is recognized on a straight-line basis over the term of the lease.</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Additional information regarding the Company’s office operating lease is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Three months</w:t>
            </w:r>
          </w:p>
        </w:tc>
        <w:tc>
          <w:tcPr>
            <w:tcW w:w="1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Six months</w:t>
            </w:r>
          </w:p>
        </w:tc>
        <w:tc>
          <w:tcPr>
            <w:tcW w:w="0" w:type="dxa"/>
            <w:vAlign w:val="bottom"/>
          </w:tcPr>
          <w:p>
            <w:pPr>
              <w:spacing w:after="0"/>
              <w:rPr>
                <w:sz w:val="1"/>
                <w:szCs w:val="1"/>
                <w:color w:val="auto"/>
              </w:rPr>
            </w:pPr>
          </w:p>
        </w:tc>
      </w:tr>
      <w:tr>
        <w:trPr>
          <w:trHeight w:val="186"/>
        </w:trPr>
        <w:tc>
          <w:tcPr>
            <w:tcW w:w="868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Lease cost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ended</w:t>
            </w:r>
          </w:p>
        </w:tc>
        <w:tc>
          <w:tcPr>
            <w:tcW w:w="12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220"/>
        </w:trPr>
        <w:tc>
          <w:tcPr>
            <w:tcW w:w="86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June 30, 2019</w:t>
            </w:r>
          </w:p>
        </w:tc>
        <w:tc>
          <w:tcPr>
            <w:tcW w:w="120" w:type="dxa"/>
            <w:vAlign w:val="bottom"/>
          </w:tcPr>
          <w:p>
            <w:pPr>
              <w:spacing w:after="0"/>
              <w:rPr>
                <w:sz w:val="19"/>
                <w:szCs w:val="19"/>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June 30, 2019</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41,342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82,684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ind w:left="20"/>
              <w:spacing w:after="0"/>
              <w:rPr>
                <w:sz w:val="20"/>
                <w:szCs w:val="20"/>
                <w:color w:val="auto"/>
              </w:rPr>
            </w:pPr>
            <w:r>
              <w:rPr>
                <w:rFonts w:ascii="Arial" w:cs="Arial" w:eastAsia="Arial" w:hAnsi="Arial"/>
                <w:sz w:val="17"/>
                <w:szCs w:val="17"/>
                <w:color w:val="auto"/>
              </w:rPr>
              <w:t>Short-term leases</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lease cost (1)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41,342</w:t>
            </w: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82,684</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6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Other information on operating lease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660" w:type="dxa"/>
            <w:vAlign w:val="bottom"/>
          </w:tcPr>
          <w:p>
            <w:pPr>
              <w:ind w:left="40"/>
              <w:spacing w:after="0"/>
              <w:rPr>
                <w:sz w:val="20"/>
                <w:szCs w:val="20"/>
                <w:color w:val="auto"/>
              </w:rPr>
            </w:pPr>
            <w:r>
              <w:rPr>
                <w:rFonts w:ascii="Arial" w:cs="Arial" w:eastAsia="Arial" w:hAnsi="Arial"/>
                <w:sz w:val="17"/>
                <w:szCs w:val="17"/>
                <w:color w:val="auto"/>
              </w:rPr>
              <w:t>Cash payments included in the measurement of lease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liability reported in operating cash flows</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42,827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84,206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Discount rate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5.50%</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5.50%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Remaining lease term in years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5 years</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 years</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5620" w:right="1600" w:hanging="5301"/>
        <w:spacing w:after="0" w:line="795" w:lineRule="auto"/>
        <w:tabs>
          <w:tab w:leader="none" w:pos="623"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Included in the condensed consolidated statements of operations and comprehensive income (loss) within other underwriting expenses.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-284480</wp:posOffset>
            </wp:positionV>
            <wp:extent cx="72510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40" w:name="page41"/>
    <w:bookmarkEnd w:id="40"/>
    <w:p>
      <w:pPr>
        <w:spacing w:after="0"/>
        <w:rPr>
          <w:sz w:val="20"/>
          <w:szCs w:val="20"/>
          <w:color w:val="auto"/>
        </w:rPr>
      </w:pPr>
      <w:r>
        <w:rPr>
          <w:rFonts w:ascii="Arial" w:cs="Arial" w:eastAsia="Arial" w:hAnsi="Arial"/>
          <w:sz w:val="17"/>
          <w:szCs w:val="17"/>
          <w:color w:val="auto"/>
        </w:rPr>
        <w:t>The following table presents the contractual maturities of the Company’s lease liabilities as of June 30, 2019:</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0040" w:type="dxa"/>
            <w:vAlign w:val="bottom"/>
          </w:tcPr>
          <w:p>
            <w:pPr>
              <w:jc w:val="center"/>
              <w:spacing w:after="0"/>
              <w:rPr>
                <w:sz w:val="20"/>
                <w:szCs w:val="20"/>
                <w:color w:val="auto"/>
              </w:rPr>
            </w:pPr>
            <w:r>
              <w:rPr>
                <w:rFonts w:ascii="Arial" w:cs="Arial" w:eastAsia="Arial" w:hAnsi="Arial"/>
                <w:sz w:val="14"/>
                <w:szCs w:val="14"/>
                <w:b w:val="1"/>
                <w:bCs w:val="1"/>
                <w:color w:val="auto"/>
                <w:w w:val="95"/>
              </w:rPr>
              <w:t>For the Year</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35"/>
        </w:trPr>
        <w:tc>
          <w:tcPr>
            <w:tcW w:w="20" w:type="dxa"/>
            <w:vAlign w:val="bottom"/>
          </w:tcPr>
          <w:p>
            <w:pPr>
              <w:spacing w:after="0"/>
              <w:rPr>
                <w:sz w:val="20"/>
                <w:szCs w:val="20"/>
                <w:color w:val="auto"/>
              </w:rPr>
            </w:pPr>
          </w:p>
        </w:tc>
        <w:tc>
          <w:tcPr>
            <w:tcW w:w="10040" w:type="dxa"/>
            <w:vAlign w:val="bottom"/>
          </w:tcPr>
          <w:p>
            <w:pPr>
              <w:jc w:val="center"/>
              <w:spacing w:after="0"/>
              <w:rPr>
                <w:sz w:val="20"/>
                <w:szCs w:val="20"/>
                <w:color w:val="auto"/>
              </w:rPr>
            </w:pPr>
            <w:r>
              <w:rPr>
                <w:rFonts w:ascii="Arial" w:cs="Arial" w:eastAsia="Arial" w:hAnsi="Arial"/>
                <w:sz w:val="14"/>
                <w:szCs w:val="14"/>
                <w:b w:val="1"/>
                <w:bCs w:val="1"/>
                <w:color w:val="auto"/>
                <w:w w:val="96"/>
              </w:rPr>
              <w:t>Ending</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26"/>
        </w:trPr>
        <w:tc>
          <w:tcPr>
            <w:tcW w:w="20" w:type="dxa"/>
            <w:vAlign w:val="bottom"/>
          </w:tcPr>
          <w:p>
            <w:pPr>
              <w:spacing w:after="0"/>
              <w:rPr>
                <w:sz w:val="19"/>
                <w:szCs w:val="19"/>
                <w:color w:val="auto"/>
              </w:rPr>
            </w:pPr>
          </w:p>
        </w:tc>
        <w:tc>
          <w:tcPr>
            <w:tcW w:w="10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7"/>
                <w:szCs w:val="17"/>
                <w:color w:val="auto"/>
              </w:rPr>
              <w:t>Remainder of 2019</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85,655</w:t>
            </w:r>
          </w:p>
        </w:tc>
        <w:tc>
          <w:tcPr>
            <w:tcW w:w="12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7"/>
                <w:szCs w:val="17"/>
                <w:color w:val="auto"/>
              </w:rPr>
              <w:t>2020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175,806</w:t>
            </w:r>
          </w:p>
        </w:tc>
        <w:tc>
          <w:tcPr>
            <w:tcW w:w="1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181,959</w:t>
            </w:r>
          </w:p>
        </w:tc>
        <w:tc>
          <w:tcPr>
            <w:tcW w:w="12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7"/>
                <w:szCs w:val="17"/>
                <w:color w:val="auto"/>
              </w:rPr>
              <w:t>2022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188,328</w:t>
            </w:r>
          </w:p>
        </w:tc>
        <w:tc>
          <w:tcPr>
            <w:tcW w:w="1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194,919</w:t>
            </w:r>
          </w:p>
        </w:tc>
        <w:tc>
          <w:tcPr>
            <w:tcW w:w="12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7"/>
                <w:szCs w:val="17"/>
                <w:color w:val="auto"/>
              </w:rPr>
              <w:t>Thereafter</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49,145</w:t>
            </w:r>
          </w:p>
        </w:tc>
        <w:tc>
          <w:tcPr>
            <w:tcW w:w="1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0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undiscounted lease payments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875,812</w:t>
            </w:r>
          </w:p>
        </w:tc>
        <w:tc>
          <w:tcPr>
            <w:tcW w:w="12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7"/>
                <w:szCs w:val="17"/>
                <w:color w:val="auto"/>
              </w:rPr>
              <w:t>Less: present value adjustment</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116,947</w:t>
            </w:r>
          </w:p>
        </w:tc>
        <w:tc>
          <w:tcPr>
            <w:tcW w:w="12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10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Operating lease liability</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758,865</w:t>
            </w:r>
          </w:p>
        </w:tc>
        <w:tc>
          <w:tcPr>
            <w:tcW w:w="12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0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Rent expense for the three months ended June 30, 2019 and 2018 amounted to $41,342 for each period. Rent expense for the six months ended June 30, 2019 and 2018 amounted to $82,684 for each period. Rent expense is included in the condensed consolidated statements of operations and comprehensive income (loss) within other underwriting expenses.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See Note 13 Subsequent Events for additional office lease.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Employment Agreements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See Note 13 Subsequent Events for change in executive employment agreement.</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 Deferred Compensation Plan</w:t>
      </w:r>
    </w:p>
    <w:p>
      <w:pPr>
        <w:spacing w:after="0" w:line="227"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On June 18, 2018, the Company adopted the Kingstone Companies, Inc. Deferred Compensation Plan (the "Deferred Compensation Plan"). The Deferred Compensation Plan is offered to a select group (“Participants”), consisting of management and highly compensated employees as a method of recognizing and retaining such Participants. The Deferred Compensation Plan provides for eligible Participants to elect to defer up to 75% of their base compensation and up to 100% of bonuses and other compensation and to have such deferred amounts deemed to be invested in specified investment options. In addition to the Participant deferrals, the Company may choose to make matching contributions to some or all of the Participants in the Deferred Compensation Plan to the extent the Participant did not receive the maximum matching or non-elective contributions permissible under the Company’s 401(k) Plan due to limitations under the Internal Revenue Code or the 401(k) Plan. Participants may elect to receive payment of their account balances in a single cash payment or in annual installments for a period of up to ten years. The first payroll subject to the Deferred Compensation Plan was in July 2018. The deferred compensation liability as of June 30, 2019 and December 31, 2018 amounted to $486,961 and $298,638, respectively and is recorded in accounts payable, accrued expenses and other liabilities in the consolidated balance sheets. The Company did not make any voluntary contributions for the six months ended June 30, 2019.</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color w:val="auto"/>
        </w:rPr>
        <w:t>Note 13 – Subsequent Events</w:t>
      </w:r>
    </w:p>
    <w:p>
      <w:pPr>
        <w:spacing w:after="0" w:line="162"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The Company has evaluated events that occurred subsequent to June 30, 2019 through the date these condensed consolidated financial statements were issued for matters that required disclosure or adjustment in these condensed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Reinsurance</w:t>
      </w:r>
    </w:p>
    <w:p>
      <w:pPr>
        <w:spacing w:after="0" w:line="223"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KICO eliminated its personal lines and commercial umbrella quota share treaties, and entered into new annual excess of loss and catastrophe reinsurance treaties effective July 1, 2019 (see Note 6, Property and Casualty Insurance Activity – Reinsurance).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Office Lease</w:t>
      </w:r>
    </w:p>
    <w:p>
      <w:pPr>
        <w:spacing w:after="0" w:line="2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July 8, 2019, the Company entered into a lease agreement for an additional office facility for Cosi located in Valley Stream, NY under a non-cancelable operating lease. In addition to the base rental costs, occupancy lease agreements generally provide for rent escalations resulting from increased assessments from real estate taxes and other charges.</w:t>
      </w:r>
    </w:p>
    <w:p>
      <w:pPr>
        <w:spacing w:after="0" w:line="114"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The lease commencement date will be determined upon the completion of landlord provided construction, which the Company expects to be on or about October 1, 2019. The lease has a term of seven years and two months.</w:t>
      </w:r>
    </w:p>
    <w:p>
      <w:pPr>
        <w:spacing w:after="0" w:line="10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This lease will be accounted for as an operating lease, whereby lease expense is recognized on a straight-line basis over the term of the lease. See Note 2 - Accounting Policies for additional information regarding the accounting for leases.</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contractual maturities of the Company’s lease liabilities under this lease: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40" w:type="dxa"/>
            <w:vAlign w:val="bottom"/>
          </w:tcPr>
          <w:p>
            <w:pPr>
              <w:jc w:val="center"/>
              <w:spacing w:after="0"/>
              <w:rPr>
                <w:sz w:val="20"/>
                <w:szCs w:val="20"/>
                <w:color w:val="auto"/>
              </w:rPr>
            </w:pPr>
            <w:r>
              <w:rPr>
                <w:rFonts w:ascii="Arial" w:cs="Arial" w:eastAsia="Arial" w:hAnsi="Arial"/>
                <w:sz w:val="14"/>
                <w:szCs w:val="14"/>
                <w:b w:val="1"/>
                <w:bCs w:val="1"/>
                <w:color w:val="auto"/>
                <w:w w:val="95"/>
              </w:rPr>
              <w:t>For the Year</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1004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6"/>
              </w:rPr>
              <w:t>Ending</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7"/>
        </w:trPr>
        <w:tc>
          <w:tcPr>
            <w:tcW w:w="20" w:type="dxa"/>
            <w:vAlign w:val="bottom"/>
          </w:tcPr>
          <w:p>
            <w:pPr>
              <w:spacing w:after="0"/>
              <w:rPr>
                <w:sz w:val="15"/>
                <w:szCs w:val="15"/>
                <w:color w:val="auto"/>
              </w:rPr>
            </w:pPr>
          </w:p>
        </w:tc>
        <w:tc>
          <w:tcPr>
            <w:tcW w:w="10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7"/>
                <w:szCs w:val="17"/>
                <w:color w:val="auto"/>
              </w:rPr>
              <w:t>Remainder of 2019</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6,652</w:t>
            </w:r>
          </w:p>
        </w:tc>
        <w:tc>
          <w:tcPr>
            <w:tcW w:w="12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7"/>
                <w:szCs w:val="17"/>
                <w:color w:val="auto"/>
              </w:rPr>
              <w:t>2020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80,517</w:t>
            </w:r>
          </w:p>
        </w:tc>
        <w:tc>
          <w:tcPr>
            <w:tcW w:w="1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83,335</w:t>
            </w:r>
          </w:p>
        </w:tc>
        <w:tc>
          <w:tcPr>
            <w:tcW w:w="12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7"/>
                <w:szCs w:val="17"/>
                <w:color w:val="auto"/>
              </w:rPr>
              <w:t>2022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86,252</w:t>
            </w:r>
          </w:p>
        </w:tc>
        <w:tc>
          <w:tcPr>
            <w:tcW w:w="1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89,270</w:t>
            </w:r>
          </w:p>
        </w:tc>
        <w:tc>
          <w:tcPr>
            <w:tcW w:w="12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7"/>
                <w:szCs w:val="17"/>
                <w:color w:val="auto"/>
              </w:rPr>
              <w:t>Thereafter</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261,610</w:t>
            </w:r>
          </w:p>
        </w:tc>
        <w:tc>
          <w:tcPr>
            <w:tcW w:w="1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0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undiscounted lease payments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607,636</w:t>
            </w:r>
          </w:p>
        </w:tc>
        <w:tc>
          <w:tcPr>
            <w:tcW w:w="12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7"/>
                <w:szCs w:val="17"/>
                <w:color w:val="auto"/>
              </w:rPr>
              <w:t>Less: present value adjustment</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104,112</w:t>
            </w:r>
          </w:p>
        </w:tc>
        <w:tc>
          <w:tcPr>
            <w:tcW w:w="12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10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Operating lease liability</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503,524</w:t>
            </w:r>
          </w:p>
        </w:tc>
        <w:tc>
          <w:tcPr>
            <w:tcW w:w="12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0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Employment Agreements</w:t>
      </w:r>
    </w:p>
    <w:p>
      <w:pPr>
        <w:spacing w:after="0" w:line="22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Dale A. Thatcher, Chief Executive Officer and President of the Company and KICO, retired and resigned his positions effective July 19, 2019 (the “Separation Date”). At such time, he also resigned his positions on the Board of Directors of each of the Company and KICO. Effective upon Mr. Thatcher’s separation from employment, the Board appointed Barry B. Goldstein, Former Chief Executive Officer and Executive Chairman of the Board of Directors to the position of Chief Executive Officer and President of each of the Company and KICO. Mr. Goldstein previously served as Chief Executive Officer and President of the Company from March 2001 through December 31, 2018, and as Chief Executive Officer and President of KICO from January 2012 through December 31, 2018.</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42" w:name="page43"/>
    <w:bookmarkEnd w:id="42"/>
    <w:p>
      <w:pPr>
        <w:jc w:val="both"/>
        <w:spacing w:after="0" w:line="298" w:lineRule="auto"/>
        <w:rPr>
          <w:sz w:val="20"/>
          <w:szCs w:val="20"/>
          <w:color w:val="auto"/>
        </w:rPr>
      </w:pPr>
      <w:r>
        <w:rPr>
          <w:rFonts w:ascii="Arial" w:cs="Arial" w:eastAsia="Arial" w:hAnsi="Arial"/>
          <w:sz w:val="15"/>
          <w:szCs w:val="15"/>
          <w:color w:val="auto"/>
        </w:rPr>
        <w:t>In connection with his separation from employment, each of the Company and KICO entered into an Agreement and General Release (the “Separation Agreement”) with Mr. Thatcher. Pursuant to the Separation Agreement, the Company and KICO shall collectively provide the following payments and benefits to Mr. Thatcher in full satisfaction of all payments and benefits and other amounts due to him under the terms of the existing employment agreements upon his separation from employment: (i) an amount equal to $381,111 (representing the amount of base salary he would have received had he remained employed through March 31, 2020), (ii) an amount equal to $5,000 in full satisfaction for any bonus payments payable under the existing employment agreements, (iii) continuing group health coverage commencing on the Separation Date and ending on March 31, 2020, and (iv) continued vesting of all previously granted but unvested stock awards as of the Separation Date (Mr. Thatcher shall not be entitled to any further grants of stock awards after the Separation Date). In addition, the Company and KICO agreed to provide Mr. Thatcher with a severance payment of $20,000 in consideration for a release. As required by the employment agreements, Mr. Thatcher covenanted that, for a period of three years following the Separation Date, he shall not accept any operating executive role with another property and casualty insurance company.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Commercial Lines of Business</w:t>
      </w:r>
    </w:p>
    <w:p>
      <w:pPr>
        <w:spacing w:after="0" w:line="223"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On July 23, 2019, the Company made the decision that it will no longer underwrite Commercial Lines risks (see Note 6 Property and Casualty Insurance Activity – Commercial Lines of Business).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Dividends Declared</w:t>
      </w:r>
    </w:p>
    <w:p>
      <w:pPr>
        <w:spacing w:after="0" w:line="223"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On August 7, 2019, the Company’s Board of Directors approved a quarterly dividend of $0.0625 per share payable in cash on September 13, 2019 to stockholders of record as of the close of business on August 30, 2019 (see Note 8).</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43" w:name="page44"/>
    <w:bookmarkEnd w:id="43"/>
    <w:p>
      <w:pPr>
        <w:ind w:right="1920"/>
        <w:spacing w:after="0" w:line="436" w:lineRule="auto"/>
        <w:rPr>
          <w:sz w:val="20"/>
          <w:szCs w:val="20"/>
          <w:color w:val="auto"/>
        </w:rPr>
      </w:pPr>
      <w:r>
        <w:rPr>
          <w:rFonts w:ascii="Arial" w:cs="Arial" w:eastAsia="Arial" w:hAnsi="Arial"/>
          <w:sz w:val="17"/>
          <w:szCs w:val="17"/>
          <w:b w:val="1"/>
          <w:bCs w:val="1"/>
          <w:u w:val="single" w:color="auto"/>
          <w:color w:val="auto"/>
        </w:rPr>
        <w:t>ITEM 2</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MANAGEMENT’S DISCUSSION AND ANALYSIS OF FINANCIAL CONDITION AND RESULTS OF OPERATIONS</w:t>
      </w:r>
      <w:r>
        <w:rPr>
          <w:rFonts w:ascii="Arial" w:cs="Arial" w:eastAsia="Arial" w:hAnsi="Arial"/>
          <w:sz w:val="17"/>
          <w:szCs w:val="17"/>
          <w:color w:val="auto"/>
        </w:rPr>
        <w:t>.</w:t>
      </w:r>
      <w:r>
        <w:rPr>
          <w:rFonts w:ascii="Arial" w:cs="Arial" w:eastAsia="Arial" w:hAnsi="Arial"/>
          <w:sz w:val="17"/>
          <w:szCs w:val="17"/>
          <w:b w:val="1"/>
          <w:bCs w:val="1"/>
          <w:color w:val="auto"/>
        </w:rPr>
        <w:t xml:space="preserve"> Overview</w:t>
      </w:r>
    </w:p>
    <w:p>
      <w:pPr>
        <w:jc w:val="both"/>
        <w:ind w:firstLine="628"/>
        <w:spacing w:after="0" w:line="263" w:lineRule="auto"/>
        <w:rPr>
          <w:sz w:val="20"/>
          <w:szCs w:val="20"/>
          <w:color w:val="auto"/>
        </w:rPr>
      </w:pPr>
      <w:r>
        <w:rPr>
          <w:rFonts w:ascii="Arial" w:cs="Arial" w:eastAsia="Arial" w:hAnsi="Arial"/>
          <w:sz w:val="17"/>
          <w:szCs w:val="17"/>
          <w:color w:val="auto"/>
        </w:rPr>
        <w:t>We offer property and casualty insurance products to individuals and small businesses through our wholly owned subsidiary, Kingstone Insurance Company (“KICO”). KICO’s insureds are located primarily in downstate New York, consisting of New York City and Long Island, although we are actively writing business in New Jersey, Rhode Island, Massachusetts, Connecticut and Pennsylvania. We are licensed in the States of New York, New Jersey, Rhode Island, Massachusetts, Pennsylvania, Connecticut, Maine, and New Hampshire. For the three months and six months ended June 30, 2019, respectively, 86.0% and 88.4% of KICO’s direct written premiums came from the New York policies.</w:t>
      </w:r>
    </w:p>
    <w:p>
      <w:pPr>
        <w:spacing w:after="0" w:line="119" w:lineRule="exact"/>
        <w:rPr>
          <w:sz w:val="20"/>
          <w:szCs w:val="20"/>
          <w:color w:val="auto"/>
        </w:rPr>
      </w:pPr>
    </w:p>
    <w:p>
      <w:pPr>
        <w:jc w:val="both"/>
        <w:ind w:firstLine="628"/>
        <w:spacing w:after="0" w:line="261" w:lineRule="auto"/>
        <w:rPr>
          <w:sz w:val="20"/>
          <w:szCs w:val="20"/>
          <w:color w:val="auto"/>
        </w:rPr>
      </w:pPr>
      <w:r>
        <w:rPr>
          <w:rFonts w:ascii="Arial" w:cs="Arial" w:eastAsia="Arial" w:hAnsi="Arial"/>
          <w:sz w:val="17"/>
          <w:szCs w:val="17"/>
          <w:color w:val="auto"/>
        </w:rPr>
        <w:t>In addition, through our subsidiary, Cosi Agency, Inc. (“Cosi”), a multi-state licensed general agency, we now access alternative distribution channels outside of the independent agent and broker network, through which KICO currently distributes its various products. Through Cosi, we now have the opportunity to partner with name-brand carriers and access nationwide insurance agencies. See below for discussion of distribution channels. Cosi receives commission revenue from KICO for the policies that it places with nationwide insurance agencies and pays commissions to these agencies. Cosi retains the profit between the commission revenue received and the commission expense paid. Cosi revenue is included in other income and Cosi related expenses is included in other operating expenses. Cosi operations is not included in our stand-alone insurance underwriting business and accordingly, its revenue and expenses are not included in the calculation of our combined ratio as described below.</w:t>
      </w:r>
    </w:p>
    <w:p>
      <w:pPr>
        <w:spacing w:after="0" w:line="121" w:lineRule="exact"/>
        <w:rPr>
          <w:sz w:val="20"/>
          <w:szCs w:val="20"/>
          <w:color w:val="auto"/>
        </w:rPr>
      </w:pPr>
    </w:p>
    <w:p>
      <w:pPr>
        <w:jc w:val="both"/>
        <w:ind w:firstLine="628"/>
        <w:spacing w:after="0" w:line="303" w:lineRule="auto"/>
        <w:rPr>
          <w:sz w:val="20"/>
          <w:szCs w:val="20"/>
          <w:color w:val="auto"/>
        </w:rPr>
      </w:pPr>
      <w:r>
        <w:rPr>
          <w:rFonts w:ascii="Arial" w:cs="Arial" w:eastAsia="Arial" w:hAnsi="Arial"/>
          <w:sz w:val="15"/>
          <w:szCs w:val="15"/>
          <w:color w:val="auto"/>
        </w:rPr>
        <w:t>We derive substantially all of our revenue from KICO, which includes revenues from earned premiums, ceding commissions from quota share reinsurance, net investment income generated from its portfolio, and net realized gains and losses on investment securities. All of KICO’s insurance policies are written for a one-year term. Earned premiums represent premiums received from insureds, which are recognized as revenue over the period of time that insurance coverage is provided (i.e., ratably over the one-year life of the policy). A significant period of time can elapse from the receipt of insurance premiums to the payment of insurance claims. During this time, KICO invests the premiums, earns investment income and generates net realized and unrealized investment gains and losses on investments. Our holding company earns investment income from its cash holdings and may also generate net realized and unrealized investment gains and losses on future investments.</w:t>
      </w:r>
    </w:p>
    <w:p>
      <w:pPr>
        <w:spacing w:after="0" w:line="93" w:lineRule="exact"/>
        <w:rPr>
          <w:sz w:val="20"/>
          <w:szCs w:val="20"/>
          <w:color w:val="auto"/>
        </w:rPr>
      </w:pPr>
    </w:p>
    <w:p>
      <w:pPr>
        <w:jc w:val="both"/>
        <w:ind w:firstLine="628"/>
        <w:spacing w:after="0" w:line="311" w:lineRule="auto"/>
        <w:rPr>
          <w:sz w:val="20"/>
          <w:szCs w:val="20"/>
          <w:color w:val="auto"/>
        </w:rPr>
      </w:pPr>
      <w:r>
        <w:rPr>
          <w:rFonts w:ascii="Arial" w:cs="Arial" w:eastAsia="Arial" w:hAnsi="Arial"/>
          <w:sz w:val="15"/>
          <w:szCs w:val="15"/>
          <w:color w:val="auto"/>
        </w:rPr>
        <w:t>Our expenses include the insurance underwriting expenses of KICO and other operating expenses. Insurance companies incur a significant amount of their total expenses from losses incurred by policyholders, which are commonly referred to as claims. In settling these claims, various loss adjustment expenses (“LAE”) are incurred such as insurance adjusters’ fees and legal expenses. In addition, insurance companies incur policy acquisition costs. Policy acquisition costs include commissions paid to producers, premium taxes, and other expenses related to the underwriting process, including employees’ compensation and benefits.</w:t>
      </w:r>
    </w:p>
    <w:p>
      <w:pPr>
        <w:spacing w:after="0" w:line="87" w:lineRule="exact"/>
        <w:rPr>
          <w:sz w:val="20"/>
          <w:szCs w:val="20"/>
          <w:color w:val="auto"/>
        </w:rPr>
      </w:pPr>
    </w:p>
    <w:p>
      <w:pPr>
        <w:jc w:val="both"/>
        <w:ind w:firstLine="628"/>
        <w:spacing w:after="0" w:line="269" w:lineRule="auto"/>
        <w:rPr>
          <w:sz w:val="20"/>
          <w:szCs w:val="20"/>
          <w:color w:val="auto"/>
        </w:rPr>
      </w:pPr>
      <w:r>
        <w:rPr>
          <w:rFonts w:ascii="Arial" w:cs="Arial" w:eastAsia="Arial" w:hAnsi="Arial"/>
          <w:sz w:val="17"/>
          <w:szCs w:val="17"/>
          <w:color w:val="auto"/>
        </w:rPr>
        <w:t>Other operating expenses include our corporate expenses as a holding company and operating expenses of Cosi. These corporate expenses include legal and auditing fees, executive employment costs, and other costs directly associated with being a public company. Cosi operating expenses primarily include commissions paid to brokers, employment costs, and consulting costs.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44" w:name="page45"/>
    <w:bookmarkEnd w:id="44"/>
    <w:p>
      <w:pPr>
        <w:spacing w:after="0"/>
        <w:rPr>
          <w:sz w:val="20"/>
          <w:szCs w:val="20"/>
          <w:color w:val="auto"/>
        </w:rPr>
      </w:pPr>
      <w:r>
        <w:rPr>
          <w:rFonts w:ascii="Arial" w:cs="Arial" w:eastAsia="Arial" w:hAnsi="Arial"/>
          <w:sz w:val="17"/>
          <w:szCs w:val="17"/>
          <w:b w:val="1"/>
          <w:bCs w:val="1"/>
          <w:color w:val="auto"/>
        </w:rPr>
        <w:t>Product Lines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active product lines include the following:</w:t>
      </w:r>
    </w:p>
    <w:p>
      <w:pPr>
        <w:spacing w:after="0" w:line="158"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b w:val="1"/>
          <w:bCs w:val="1"/>
          <w:i w:val="1"/>
          <w:iCs w:val="1"/>
          <w:color w:val="auto"/>
        </w:rPr>
        <w:t xml:space="preserve">Personal lines: </w:t>
      </w:r>
      <w:r>
        <w:rPr>
          <w:rFonts w:ascii="Arial" w:cs="Arial" w:eastAsia="Arial" w:hAnsi="Arial"/>
          <w:sz w:val="17"/>
          <w:szCs w:val="17"/>
          <w:color w:val="auto"/>
        </w:rPr>
        <w:t>Our largest line of business is personal lines, consisting of homeowners, dwelling fire, cooperative/condominium, renters, and personal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umbrella policies.</w:t>
      </w:r>
    </w:p>
    <w:p>
      <w:pPr>
        <w:spacing w:after="0" w:line="105" w:lineRule="exact"/>
        <w:rPr>
          <w:sz w:val="20"/>
          <w:szCs w:val="20"/>
          <w:color w:val="auto"/>
        </w:rPr>
      </w:pPr>
    </w:p>
    <w:p>
      <w:pPr>
        <w:jc w:val="both"/>
        <w:ind w:firstLine="670"/>
        <w:spacing w:after="0" w:line="265" w:lineRule="auto"/>
        <w:rPr>
          <w:sz w:val="20"/>
          <w:szCs w:val="20"/>
          <w:color w:val="auto"/>
        </w:rPr>
      </w:pPr>
      <w:r>
        <w:rPr>
          <w:rFonts w:ascii="Arial" w:cs="Arial" w:eastAsia="Arial" w:hAnsi="Arial"/>
          <w:sz w:val="17"/>
          <w:szCs w:val="17"/>
          <w:b w:val="1"/>
          <w:bCs w:val="1"/>
          <w:i w:val="1"/>
          <w:iCs w:val="1"/>
          <w:color w:val="auto"/>
        </w:rPr>
        <w:t xml:space="preserve">Commercial lines: </w:t>
      </w:r>
      <w:r>
        <w:rPr>
          <w:rFonts w:ascii="Arial" w:cs="Arial" w:eastAsia="Arial" w:hAnsi="Arial"/>
          <w:sz w:val="17"/>
          <w:szCs w:val="17"/>
          <w:color w:val="auto"/>
        </w:rPr>
        <w:t>Through July 2019, we offered businessowners policies, which consist primarily of small business retail, service, and office risks,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limited property exposures. We also wrote artisan’s liability policies for small independent contractors with smaller sized workforces. In addition, we wrote special multi-peril policies for larger and more specialized businessowners risks, including those with limited residential exposures. Further, we offered commercial umbrella policies written above our supporting commercial lines policies.</w:t>
      </w:r>
    </w:p>
    <w:p>
      <w:pPr>
        <w:spacing w:after="0" w:line="118" w:lineRule="exact"/>
        <w:rPr>
          <w:sz w:val="20"/>
          <w:szCs w:val="20"/>
          <w:color w:val="auto"/>
        </w:rPr>
      </w:pPr>
    </w:p>
    <w:p>
      <w:pPr>
        <w:jc w:val="both"/>
        <w:ind w:firstLine="628"/>
        <w:spacing w:after="0" w:line="263" w:lineRule="auto"/>
        <w:rPr>
          <w:sz w:val="20"/>
          <w:szCs w:val="20"/>
          <w:color w:val="auto"/>
        </w:rPr>
      </w:pPr>
      <w:r>
        <w:rPr>
          <w:rFonts w:ascii="Arial" w:cs="Arial" w:eastAsia="Arial" w:hAnsi="Arial"/>
          <w:sz w:val="17"/>
          <w:szCs w:val="17"/>
          <w:color w:val="auto"/>
        </w:rPr>
        <w:t>In May 2019, due to the poor performance of this line we placed a six month moratorium on new commercial lines and new commercial umbrella submissions. In July 2019, due to the continuing poor performance of these lines, we made the decision to no longer underwrite all commercial lines and commercial umbrella risks. In force policies for these lines will be non-renewed at the end of their current annual terms. For the six months ended June 30, 2019, these policies represent approximately 12% of net premiums earned and claims from this line of business represent 43% of loss and loss adjustment expense reserves net of reinsurance recoverables. See discussion below on Outlook and Additional Financial Information</w:t>
      </w:r>
    </w:p>
    <w:p>
      <w:pPr>
        <w:spacing w:after="0" w:line="263"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b w:val="1"/>
          <w:bCs w:val="1"/>
          <w:i w:val="1"/>
          <w:iCs w:val="1"/>
          <w:color w:val="auto"/>
        </w:rPr>
        <w:t xml:space="preserve">Livery physical damage: </w:t>
      </w:r>
      <w:r>
        <w:rPr>
          <w:rFonts w:ascii="Arial" w:cs="Arial" w:eastAsia="Arial" w:hAnsi="Arial"/>
          <w:sz w:val="17"/>
          <w:szCs w:val="17"/>
          <w:color w:val="auto"/>
        </w:rPr>
        <w:t>We write for-hire vehicle physical damage only policies for livery and car service vehicles and taxicabs. These policies insure only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physical damage portion of insurance for such vehicles, with no liability coverage included.</w:t>
      </w:r>
    </w:p>
    <w:p>
      <w:pPr>
        <w:spacing w:after="0" w:line="105"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 xml:space="preserve">Other: </w:t>
      </w:r>
      <w:r>
        <w:rPr>
          <w:rFonts w:ascii="Arial" w:cs="Arial" w:eastAsia="Arial" w:hAnsi="Arial"/>
          <w:sz w:val="17"/>
          <w:szCs w:val="17"/>
          <w:color w:val="auto"/>
        </w:rPr>
        <w:t>We write canine legal liability policies and have a small participation in mandatory state joint underwriting associations.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Measures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utilize the following key measures in analyzing the results of our insurance underwriting business:</w:t>
      </w:r>
    </w:p>
    <w:p>
      <w:pPr>
        <w:spacing w:after="0" w:line="158"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b w:val="1"/>
          <w:bCs w:val="1"/>
          <w:i w:val="1"/>
          <w:iCs w:val="1"/>
          <w:color w:val="auto"/>
        </w:rPr>
        <w:t xml:space="preserve">Net loss ratio: </w:t>
      </w:r>
      <w:r>
        <w:rPr>
          <w:rFonts w:ascii="Arial" w:cs="Arial" w:eastAsia="Arial" w:hAnsi="Arial"/>
          <w:sz w:val="17"/>
          <w:szCs w:val="17"/>
          <w:color w:val="auto"/>
        </w:rPr>
        <w:t>The net loss ratio is a measure of the underwriting profitability of an insurance company’s business. Expressed as a percentage, this is the ratio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net losses and loss adjustment expenses (“LAE”) incurred to net premiums earned.</w:t>
      </w:r>
    </w:p>
    <w:p>
      <w:pPr>
        <w:spacing w:after="0" w:line="105" w:lineRule="exact"/>
        <w:rPr>
          <w:sz w:val="20"/>
          <w:szCs w:val="20"/>
          <w:color w:val="auto"/>
        </w:rPr>
      </w:pPr>
    </w:p>
    <w:p>
      <w:pPr>
        <w:jc w:val="both"/>
        <w:ind w:firstLine="628"/>
        <w:spacing w:after="0" w:line="269" w:lineRule="auto"/>
        <w:rPr>
          <w:sz w:val="20"/>
          <w:szCs w:val="20"/>
          <w:color w:val="auto"/>
        </w:rPr>
      </w:pPr>
      <w:r>
        <w:rPr>
          <w:rFonts w:ascii="Arial" w:cs="Arial" w:eastAsia="Arial" w:hAnsi="Arial"/>
          <w:sz w:val="17"/>
          <w:szCs w:val="17"/>
          <w:b w:val="1"/>
          <w:bCs w:val="1"/>
          <w:i w:val="1"/>
          <w:iCs w:val="1"/>
          <w:color w:val="auto"/>
        </w:rPr>
        <w:t xml:space="preserve">Net underwriting expense ratio: </w:t>
      </w:r>
      <w:r>
        <w:rPr>
          <w:rFonts w:ascii="Arial" w:cs="Arial" w:eastAsia="Arial" w:hAnsi="Arial"/>
          <w:sz w:val="17"/>
          <w:szCs w:val="17"/>
          <w:color w:val="auto"/>
        </w:rPr>
        <w:t>The net underwriting expense ratio is a measure of an insurance company’s operational efficiency in administering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Expressed as a percentage, this is the ratio of the sum of acquisition costs (the most significant being commissions paid to our producers) and other underwriting expenses less ceding commission revenue less other income to net premiums earned.</w:t>
      </w:r>
    </w:p>
    <w:p>
      <w:pPr>
        <w:spacing w:after="0" w:line="114" w:lineRule="exact"/>
        <w:rPr>
          <w:sz w:val="20"/>
          <w:szCs w:val="20"/>
          <w:color w:val="auto"/>
        </w:rPr>
      </w:pPr>
    </w:p>
    <w:p>
      <w:pPr>
        <w:jc w:val="both"/>
        <w:ind w:firstLine="628"/>
        <w:spacing w:after="0" w:line="269" w:lineRule="auto"/>
        <w:rPr>
          <w:sz w:val="20"/>
          <w:szCs w:val="20"/>
          <w:color w:val="auto"/>
        </w:rPr>
      </w:pPr>
      <w:r>
        <w:rPr>
          <w:rFonts w:ascii="Arial" w:cs="Arial" w:eastAsia="Arial" w:hAnsi="Arial"/>
          <w:sz w:val="17"/>
          <w:szCs w:val="17"/>
          <w:b w:val="1"/>
          <w:bCs w:val="1"/>
          <w:i w:val="1"/>
          <w:iCs w:val="1"/>
          <w:color w:val="auto"/>
        </w:rPr>
        <w:t xml:space="preserve">Net combined ratio: </w:t>
      </w:r>
      <w:r>
        <w:rPr>
          <w:rFonts w:ascii="Arial" w:cs="Arial" w:eastAsia="Arial" w:hAnsi="Arial"/>
          <w:sz w:val="17"/>
          <w:szCs w:val="17"/>
          <w:color w:val="auto"/>
        </w:rPr>
        <w:t>The net combined ratio is a measure of an insurance company’s overall underwriting profit. This is the sum of the net loss and net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underwriting expense ratios. If the net combined ratio is at or above 100 percent, an insurance company cannot be profitable without investment income, and may not be profitable if investment income is insufficient.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72" w:right="239" w:bottom="1440" w:gutter="0" w:footer="0" w:header="0"/>
        </w:sectPr>
      </w:pPr>
    </w:p>
    <w:bookmarkStart w:id="45" w:name="page46"/>
    <w:bookmarkEnd w:id="45"/>
    <w:p>
      <w:pPr>
        <w:jc w:val="both"/>
        <w:ind w:firstLine="628"/>
        <w:spacing w:after="0" w:line="265" w:lineRule="auto"/>
        <w:rPr>
          <w:sz w:val="20"/>
          <w:szCs w:val="20"/>
          <w:color w:val="auto"/>
        </w:rPr>
      </w:pPr>
      <w:r>
        <w:rPr>
          <w:rFonts w:ascii="Arial" w:cs="Arial" w:eastAsia="Arial" w:hAnsi="Arial"/>
          <w:sz w:val="17"/>
          <w:szCs w:val="17"/>
          <w:b w:val="1"/>
          <w:bCs w:val="1"/>
          <w:i w:val="1"/>
          <w:iCs w:val="1"/>
          <w:color w:val="auto"/>
        </w:rPr>
        <w:t xml:space="preserve">Underwriting income: </w:t>
      </w:r>
      <w:r>
        <w:rPr>
          <w:rFonts w:ascii="Arial" w:cs="Arial" w:eastAsia="Arial" w:hAnsi="Arial"/>
          <w:sz w:val="17"/>
          <w:szCs w:val="17"/>
          <w:color w:val="auto"/>
        </w:rPr>
        <w:t>Underwriting income is net pre-tax income attributable to our insurance underwriting business before investment activity. It excludes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net investment income, net realized gains from investments, and depreciation and amortization (net premiums earned less expenses included in combined ratio). Underwriting income is a measure of an insurance company’s overall operating profitability before items such as investment income, depreciation and amortization, interest expense and income taxes.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Distribution Channels</w:t>
      </w:r>
    </w:p>
    <w:p>
      <w:pPr>
        <w:spacing w:after="0" w:line="162" w:lineRule="exact"/>
        <w:rPr>
          <w:sz w:val="20"/>
          <w:szCs w:val="20"/>
          <w:color w:val="auto"/>
        </w:rPr>
      </w:pPr>
    </w:p>
    <w:p>
      <w:pPr>
        <w:jc w:val="both"/>
        <w:ind w:firstLine="628"/>
        <w:spacing w:after="0" w:line="263" w:lineRule="auto"/>
        <w:rPr>
          <w:sz w:val="20"/>
          <w:szCs w:val="20"/>
          <w:color w:val="auto"/>
        </w:rPr>
      </w:pPr>
      <w:r>
        <w:rPr>
          <w:rFonts w:ascii="Arial" w:cs="Arial" w:eastAsia="Arial" w:hAnsi="Arial"/>
          <w:sz w:val="17"/>
          <w:szCs w:val="17"/>
          <w:color w:val="auto"/>
        </w:rPr>
        <w:t>During 2019, we initiated an alternative distribution program through Cosi. The goal of this program is to increase our personal lines historical distribution channel from only independent broker and agent networks (“Independent”) to include nationally recognized name-brand carriers along with nationwide call center and digital insurance agencies. While still in its early stages of development, the results of this initiative can best be measured by the amount of new premiums written compared to total premiums written, which includes renewals from our historical independent network. The table below shows new business and total business written by distribution channel for our homeowners and dwelling fire components of personal lines.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6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1"/>
              </w:rPr>
              <w:t>Three months ended</w:t>
            </w:r>
          </w:p>
        </w:tc>
        <w:tc>
          <w:tcPr>
            <w:tcW w:w="260" w:type="dxa"/>
            <w:vAlign w:val="bottom"/>
          </w:tcPr>
          <w:p>
            <w:pPr>
              <w:spacing w:after="0"/>
              <w:rPr>
                <w:sz w:val="18"/>
                <w:szCs w:val="18"/>
                <w:color w:val="auto"/>
              </w:rPr>
            </w:pPr>
          </w:p>
        </w:tc>
        <w:tc>
          <w:tcPr>
            <w:tcW w:w="234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200"/>
        </w:trPr>
        <w:tc>
          <w:tcPr>
            <w:tcW w:w="60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center"/>
              <w:ind w:left="519"/>
              <w:spacing w:after="0"/>
              <w:rPr>
                <w:sz w:val="20"/>
                <w:szCs w:val="20"/>
                <w:color w:val="auto"/>
              </w:rPr>
            </w:pPr>
            <w:r>
              <w:rPr>
                <w:rFonts w:ascii="Arial" w:cs="Arial" w:eastAsia="Arial" w:hAnsi="Arial"/>
                <w:sz w:val="14"/>
                <w:szCs w:val="14"/>
                <w:b w:val="1"/>
                <w:bCs w:val="1"/>
                <w:color w:val="auto"/>
                <w:w w:val="92"/>
              </w:rPr>
              <w:t>June 30, 2019</w:t>
            </w:r>
          </w:p>
        </w:tc>
        <w:tc>
          <w:tcPr>
            <w:tcW w:w="80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center"/>
              <w:ind w:left="439"/>
              <w:spacing w:after="0"/>
              <w:rPr>
                <w:sz w:val="20"/>
                <w:szCs w:val="20"/>
                <w:color w:val="auto"/>
              </w:rPr>
            </w:pPr>
            <w:r>
              <w:rPr>
                <w:rFonts w:ascii="Arial" w:cs="Arial" w:eastAsia="Arial" w:hAnsi="Arial"/>
                <w:sz w:val="14"/>
                <w:szCs w:val="14"/>
                <w:b w:val="1"/>
                <w:bCs w:val="1"/>
                <w:color w:val="auto"/>
                <w:w w:val="92"/>
              </w:rPr>
              <w:t>June 30, 2019</w:t>
            </w:r>
          </w:p>
        </w:tc>
        <w:tc>
          <w:tcPr>
            <w:tcW w:w="8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080" w:type="dxa"/>
            <w:vAlign w:val="bottom"/>
          </w:tcPr>
          <w:p>
            <w:pPr>
              <w:ind w:left="40"/>
              <w:spacing w:after="0"/>
              <w:rPr>
                <w:sz w:val="20"/>
                <w:szCs w:val="20"/>
                <w:color w:val="auto"/>
              </w:rPr>
            </w:pPr>
            <w:r>
              <w:rPr>
                <w:rFonts w:ascii="Arial" w:cs="Arial" w:eastAsia="Arial" w:hAnsi="Arial"/>
                <w:sz w:val="17"/>
                <w:szCs w:val="17"/>
                <w:color w:val="auto"/>
              </w:rPr>
              <w:t>Direct Written Pemiums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Percent</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Percent</w:t>
            </w:r>
          </w:p>
        </w:tc>
        <w:tc>
          <w:tcPr>
            <w:tcW w:w="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3"/>
          </w:tcPr>
          <w:p>
            <w:pPr>
              <w:jc w:val="right"/>
              <w:spacing w:after="0"/>
              <w:rPr>
                <w:sz w:val="20"/>
                <w:szCs w:val="20"/>
                <w:color w:val="auto"/>
              </w:rPr>
            </w:pPr>
            <w:r>
              <w:rPr>
                <w:rFonts w:ascii="Arial" w:cs="Arial" w:eastAsia="Arial" w:hAnsi="Arial"/>
                <w:sz w:val="17"/>
                <w:szCs w:val="17"/>
                <w:color w:val="auto"/>
              </w:rPr>
              <w:t>($ in thousands)</w:t>
            </w: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080" w:type="dxa"/>
            <w:vAlign w:val="bottom"/>
          </w:tcPr>
          <w:p>
            <w:pPr>
              <w:ind w:left="40"/>
              <w:spacing w:after="0"/>
              <w:rPr>
                <w:sz w:val="20"/>
                <w:szCs w:val="20"/>
                <w:color w:val="auto"/>
              </w:rPr>
            </w:pPr>
            <w:r>
              <w:rPr>
                <w:rFonts w:ascii="Arial" w:cs="Arial" w:eastAsia="Arial" w:hAnsi="Arial"/>
                <w:sz w:val="17"/>
                <w:szCs w:val="17"/>
                <w:b w:val="1"/>
                <w:bCs w:val="1"/>
                <w:color w:val="auto"/>
              </w:rPr>
              <w:t>New Business</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Core Independent</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6,133</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55.0%</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11,755</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80" w:type="dxa"/>
            <w:vAlign w:val="bottom"/>
          </w:tcPr>
          <w:p>
            <w:pPr>
              <w:ind w:left="200"/>
              <w:spacing w:after="0"/>
              <w:rPr>
                <w:sz w:val="20"/>
                <w:szCs w:val="20"/>
                <w:color w:val="auto"/>
              </w:rPr>
            </w:pPr>
            <w:r>
              <w:rPr>
                <w:rFonts w:ascii="Arial" w:cs="Arial" w:eastAsia="Arial" w:hAnsi="Arial"/>
                <w:sz w:val="17"/>
                <w:szCs w:val="17"/>
                <w:color w:val="auto"/>
              </w:rPr>
              <w:t>Expansion Independent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4,097</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36.7%</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6,369</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32.9%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Alternative Distribution through Cosi</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929</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8.3%</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1,206</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0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6080" w:type="dxa"/>
            <w:vAlign w:val="bottom"/>
          </w:tcPr>
          <w:p>
            <w:pPr>
              <w:ind w:left="200"/>
              <w:spacing w:after="0"/>
              <w:rPr>
                <w:sz w:val="20"/>
                <w:szCs w:val="20"/>
                <w:color w:val="auto"/>
              </w:rPr>
            </w:pPr>
            <w:r>
              <w:rPr>
                <w:rFonts w:ascii="Arial" w:cs="Arial" w:eastAsia="Arial" w:hAnsi="Arial"/>
                <w:sz w:val="17"/>
                <w:szCs w:val="17"/>
                <w:color w:val="auto"/>
              </w:rPr>
              <w:t>Total</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11,159</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100.0%</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19,330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100.0%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080" w:type="dxa"/>
            <w:vAlign w:val="bottom"/>
          </w:tcPr>
          <w:p>
            <w:pPr>
              <w:ind w:left="40"/>
              <w:spacing w:after="0"/>
              <w:rPr>
                <w:sz w:val="20"/>
                <w:szCs w:val="20"/>
                <w:color w:val="auto"/>
              </w:rPr>
            </w:pPr>
            <w:r>
              <w:rPr>
                <w:rFonts w:ascii="Arial" w:cs="Arial" w:eastAsia="Arial" w:hAnsi="Arial"/>
                <w:sz w:val="17"/>
                <w:szCs w:val="17"/>
                <w:b w:val="1"/>
                <w:bCs w:val="1"/>
                <w:color w:val="auto"/>
              </w:rPr>
              <w:t>New and Renewal Business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Core Independent</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30,746</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80.9%</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57,281</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80" w:type="dxa"/>
            <w:vAlign w:val="bottom"/>
          </w:tcPr>
          <w:p>
            <w:pPr>
              <w:ind w:left="200"/>
              <w:spacing w:after="0"/>
              <w:rPr>
                <w:sz w:val="20"/>
                <w:szCs w:val="20"/>
                <w:color w:val="auto"/>
              </w:rPr>
            </w:pPr>
            <w:r>
              <w:rPr>
                <w:rFonts w:ascii="Arial" w:cs="Arial" w:eastAsia="Arial" w:hAnsi="Arial"/>
                <w:sz w:val="17"/>
                <w:szCs w:val="17"/>
                <w:color w:val="auto"/>
              </w:rPr>
              <w:t>Expansion Independent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6,272</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16.5%</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9,492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14.0%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Alternative Distribution through Cosi</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964</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1,243</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0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6080" w:type="dxa"/>
            <w:vAlign w:val="bottom"/>
          </w:tcPr>
          <w:p>
            <w:pPr>
              <w:ind w:left="200"/>
              <w:spacing w:after="0"/>
              <w:rPr>
                <w:sz w:val="20"/>
                <w:szCs w:val="20"/>
                <w:color w:val="auto"/>
              </w:rPr>
            </w:pPr>
            <w:r>
              <w:rPr>
                <w:rFonts w:ascii="Arial" w:cs="Arial" w:eastAsia="Arial" w:hAnsi="Arial"/>
                <w:sz w:val="17"/>
                <w:szCs w:val="17"/>
                <w:color w:val="auto"/>
              </w:rPr>
              <w:t>Total</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37,982</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100.0%</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68,016</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100.0%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ind w:right="-79"/>
        <w:spacing w:after="0"/>
        <w:rPr>
          <w:sz w:val="20"/>
          <w:szCs w:val="20"/>
          <w:color w:val="auto"/>
        </w:rPr>
      </w:pPr>
      <w:r>
        <w:rPr>
          <w:rFonts w:ascii="Arial" w:cs="Arial" w:eastAsia="Arial" w:hAnsi="Arial"/>
          <w:sz w:val="17"/>
          <w:szCs w:val="17"/>
          <w:i w:val="1"/>
          <w:iCs w:val="1"/>
          <w:color w:val="auto"/>
        </w:rPr>
        <w:t>(Percent components may not sum to totals due to rounding)</w:t>
      </w:r>
    </w:p>
    <w:p>
      <w:pPr>
        <w:spacing w:after="0" w:line="215" w:lineRule="exact"/>
        <w:rPr>
          <w:sz w:val="20"/>
          <w:szCs w:val="20"/>
          <w:color w:val="auto"/>
        </w:rPr>
      </w:pPr>
    </w:p>
    <w:p>
      <w:pPr>
        <w:jc w:val="both"/>
        <w:ind w:firstLine="628"/>
        <w:spacing w:after="0" w:line="269" w:lineRule="auto"/>
        <w:rPr>
          <w:sz w:val="20"/>
          <w:szCs w:val="20"/>
          <w:color w:val="auto"/>
        </w:rPr>
      </w:pPr>
      <w:r>
        <w:rPr>
          <w:rFonts w:ascii="Arial" w:cs="Arial" w:eastAsia="Arial" w:hAnsi="Arial"/>
          <w:sz w:val="17"/>
          <w:szCs w:val="17"/>
          <w:color w:val="auto"/>
        </w:rPr>
        <w:t>For the three months ended June 30, 2019, Alternative Distribution made up 8.3% of direct written premiums for new business and 2.5% of direct written premiums for new and renewal business combined. For the six months ended June 30, 2019, Alternative Distribution made up 6.2% of direct written premiums for new business and 1.8% of direct written premiums for new and renewal business combined.</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62" w:lineRule="exact"/>
        <w:rPr>
          <w:sz w:val="20"/>
          <w:szCs w:val="20"/>
          <w:color w:val="auto"/>
        </w:rPr>
      </w:pPr>
    </w:p>
    <w:p>
      <w:pPr>
        <w:jc w:val="both"/>
        <w:ind w:firstLine="628"/>
        <w:spacing w:after="0" w:line="299" w:lineRule="auto"/>
        <w:rPr>
          <w:sz w:val="20"/>
          <w:szCs w:val="20"/>
          <w:color w:val="auto"/>
        </w:rPr>
      </w:pPr>
      <w:r>
        <w:rPr>
          <w:rFonts w:ascii="Arial" w:cs="Arial" w:eastAsia="Arial" w:hAnsi="Arial"/>
          <w:sz w:val="15"/>
          <w:szCs w:val="15"/>
          <w:color w:val="auto"/>
        </w:rPr>
        <w:t>Our condensed consolidated financial statements include the accounts of Kingstone Companies, Inc. and all majority-owned and controlled subsidiaries. The preparation of financial statements in conformity with GAAP requires our management to make estimates and assumptions in certain circumstances that affect amounts reported in our condensed consolidated financial statements and related notes. In preparing these condensed consolidated financial statements, our management has utilized information, including our past history, industry standards, the current economic environment, and other factors, in forming its estimates and judgments for certain amounts included in the condensed consolidated financial statements, giving due consideration to materiality. It is possible that the ultimate outcome as anticipated by our management in formulating its estimates in these financial statements may not materialize. Application of the critical accounting policies involves the exercise of judgment and use of assumptions as to future uncertainties and, as a result, actual results could differ from these estimates. In addition, other companies may utilize different estimates, which may impact the comparability of our results of operations to those of similar companies.</w:t>
      </w:r>
    </w:p>
    <w:p>
      <w:pPr>
        <w:spacing w:after="0" w:line="99"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We believe that the most critical accounting policies relate to the reporting of reserves for loss and LAE, including losses that have occurred but have not yet been reported prior to the reporting date, amounts recoverable from reinsurers, deferred ceding commission revenue, deferred policy acquisition costs, deferred income taxes, the impairment of investment securities, intangible assets and the valuation of stock-based compensation. See Note 2 to the condensed consolidated financial statements - “Accounting Policies” for information related to updated accounting policies.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Outlook</w:t>
      </w:r>
    </w:p>
    <w:p>
      <w:pPr>
        <w:spacing w:after="0" w:line="162" w:lineRule="exact"/>
        <w:rPr>
          <w:sz w:val="20"/>
          <w:szCs w:val="20"/>
          <w:color w:val="auto"/>
        </w:rPr>
      </w:pPr>
    </w:p>
    <w:p>
      <w:pPr>
        <w:jc w:val="both"/>
        <w:ind w:firstLine="628"/>
        <w:spacing w:after="0" w:line="293" w:lineRule="auto"/>
        <w:rPr>
          <w:sz w:val="20"/>
          <w:szCs w:val="20"/>
          <w:color w:val="auto"/>
        </w:rPr>
      </w:pPr>
      <w:r>
        <w:rPr>
          <w:rFonts w:ascii="Arial" w:cs="Arial" w:eastAsia="Arial" w:hAnsi="Arial"/>
          <w:sz w:val="16"/>
          <w:szCs w:val="16"/>
          <w:color w:val="auto"/>
        </w:rPr>
        <w:t>Although second quarter results were disappointing due to poor performance from our commercial lines business and a higher impact from weather related catastrophe events, we were pleased with our continuing year over year growth. We anticipate the continued growth of our alternate distribution channel and the launch of our Maine homeowners product during the fourth quarter of 2019, which will add to our geographically distributed footprint in the Northeast.</w:t>
      </w:r>
    </w:p>
    <w:p>
      <w:pPr>
        <w:spacing w:after="0" w:line="9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Due to uncertainties related to the run-off of our commercial lines business as discussed above, we are withdrawing our combined ratio guidance.</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46" w:name="page47"/>
    <w:bookmarkEnd w:id="46"/>
    <w:p>
      <w:pPr>
        <w:spacing w:after="0"/>
        <w:rPr>
          <w:sz w:val="20"/>
          <w:szCs w:val="20"/>
          <w:color w:val="auto"/>
        </w:rPr>
      </w:pPr>
      <w:r>
        <w:rPr>
          <w:rFonts w:ascii="Arial" w:cs="Arial" w:eastAsia="Arial" w:hAnsi="Arial"/>
          <w:sz w:val="17"/>
          <w:szCs w:val="17"/>
          <w:b w:val="1"/>
          <w:bCs w:val="1"/>
          <w:color w:val="auto"/>
        </w:rPr>
        <w:t>Consolidated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Six Months Ended June 30, 2019 Compared to Six Months Ended June 30, 2018</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changes in the results of our operations (in thousands) for the periods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940" w:type="dxa"/>
            <w:vAlign w:val="bottom"/>
            <w:vMerge w:val="restart"/>
          </w:tcPr>
          <w:p>
            <w:pPr>
              <w:spacing w:after="0"/>
              <w:rPr>
                <w:sz w:val="20"/>
                <w:szCs w:val="20"/>
                <w:color w:val="auto"/>
              </w:rPr>
            </w:pPr>
            <w:r>
              <w:rPr>
                <w:rFonts w:ascii="Arial" w:cs="Arial" w:eastAsia="Arial" w:hAnsi="Arial"/>
                <w:sz w:val="17"/>
                <w:szCs w:val="17"/>
                <w:b w:val="1"/>
                <w:bCs w:val="1"/>
                <w:color w:val="auto"/>
              </w:rPr>
              <w:t>($ in thousands)</w:t>
            </w: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6"/>
          </w:tcPr>
          <w:p>
            <w:pPr>
              <w:ind w:left="160"/>
              <w:spacing w:after="0"/>
              <w:rPr>
                <w:sz w:val="20"/>
                <w:szCs w:val="20"/>
                <w:color w:val="auto"/>
              </w:rPr>
            </w:pPr>
            <w:r>
              <w:rPr>
                <w:rFonts w:ascii="Arial" w:cs="Arial" w:eastAsia="Arial" w:hAnsi="Arial"/>
                <w:sz w:val="14"/>
                <w:szCs w:val="14"/>
                <w:b w:val="1"/>
                <w:bCs w:val="1"/>
                <w:color w:val="auto"/>
              </w:rPr>
              <w:t>Six months ended June 30,</w:t>
            </w:r>
          </w:p>
        </w:tc>
        <w:tc>
          <w:tcPr>
            <w:tcW w:w="1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594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315"/>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ind w:left="16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Change</w:t>
            </w:r>
          </w:p>
        </w:tc>
        <w:tc>
          <w:tcPr>
            <w:tcW w:w="1420" w:type="dxa"/>
            <w:vAlign w:val="bottom"/>
            <w:gridSpan w:val="3"/>
          </w:tcPr>
          <w:p>
            <w:pPr>
              <w:ind w:left="46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33"/>
        </w:trPr>
        <w:tc>
          <w:tcPr>
            <w:tcW w:w="5940" w:type="dxa"/>
            <w:vAlign w:val="bottom"/>
          </w:tcPr>
          <w:p>
            <w:pPr>
              <w:ind w:left="40"/>
              <w:spacing w:after="0"/>
              <w:rPr>
                <w:sz w:val="20"/>
                <w:szCs w:val="20"/>
                <w:color w:val="auto"/>
              </w:rPr>
            </w:pPr>
            <w:r>
              <w:rPr>
                <w:rFonts w:ascii="Arial" w:cs="Arial" w:eastAsia="Arial" w:hAnsi="Arial"/>
                <w:sz w:val="17"/>
                <w:szCs w:val="17"/>
                <w:b w:val="1"/>
                <w:bCs w:val="1"/>
                <w:color w:val="auto"/>
              </w:rPr>
              <w:t>Revenue</w:t>
            </w:r>
            <w:r>
              <w:rPr>
                <w:rFonts w:ascii="Arial" w:cs="Arial" w:eastAsia="Arial" w:hAnsi="Arial"/>
                <w:sz w:val="17"/>
                <w:szCs w:val="17"/>
                <w:color w:val="auto"/>
              </w:rPr>
              <w:t>s</w:t>
            </w:r>
          </w:p>
        </w:tc>
        <w:tc>
          <w:tcPr>
            <w:tcW w:w="1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59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Direct written premiums</w:t>
            </w:r>
          </w:p>
        </w:tc>
        <w:tc>
          <w:tcPr>
            <w:tcW w:w="380" w:type="dxa"/>
            <w:vAlign w:val="bottom"/>
            <w:gridSpan w:val="2"/>
            <w:shd w:val="clear" w:color="auto" w:fill="CCEEFF"/>
          </w:tcPr>
          <w:p>
            <w:pPr>
              <w:jc w:val="right"/>
              <w:ind w:right="86"/>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82,310</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68,390</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13,920</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40" w:type="dxa"/>
            <w:vAlign w:val="bottom"/>
          </w:tcPr>
          <w:p>
            <w:pPr>
              <w:ind w:left="200"/>
              <w:spacing w:after="0"/>
              <w:rPr>
                <w:sz w:val="20"/>
                <w:szCs w:val="20"/>
                <w:color w:val="auto"/>
              </w:rPr>
            </w:pPr>
            <w:r>
              <w:rPr>
                <w:rFonts w:ascii="Arial" w:cs="Arial" w:eastAsia="Arial" w:hAnsi="Arial"/>
                <w:sz w:val="17"/>
                <w:szCs w:val="17"/>
                <w:color w:val="auto"/>
              </w:rPr>
              <w:t>Assumed written premiums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1420" w:type="dxa"/>
            <w:vAlign w:val="bottom"/>
            <w:gridSpan w:val="3"/>
          </w:tcPr>
          <w:p>
            <w:pPr>
              <w:ind w:left="1020"/>
              <w:spacing w:after="0"/>
              <w:rPr>
                <w:sz w:val="20"/>
                <w:szCs w:val="20"/>
                <w:color w:val="auto"/>
              </w:rPr>
            </w:pPr>
            <w:r>
              <w:rPr>
                <w:rFonts w:ascii="Arial" w:cs="Arial" w:eastAsia="Arial" w:hAnsi="Arial"/>
                <w:sz w:val="17"/>
                <w:szCs w:val="17"/>
                <w:color w:val="auto"/>
                <w:w w:val="97"/>
              </w:rPr>
              <w:t>na %</w:t>
            </w:r>
          </w:p>
        </w:tc>
        <w:tc>
          <w:tcPr>
            <w:tcW w:w="0" w:type="dxa"/>
            <w:vAlign w:val="bottom"/>
          </w:tcPr>
          <w:p>
            <w:pPr>
              <w:spacing w:after="0"/>
              <w:rPr>
                <w:sz w:val="1"/>
                <w:szCs w:val="1"/>
                <w:color w:val="auto"/>
              </w:rPr>
            </w:pPr>
          </w:p>
        </w:tc>
      </w:tr>
      <w:tr>
        <w:trPr>
          <w:trHeight w:val="215"/>
        </w:trPr>
        <w:tc>
          <w:tcPr>
            <w:tcW w:w="59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82,310</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68,391</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13,919</w:t>
            </w: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tcPr>
          <w:p>
            <w:pPr>
              <w:ind w:left="200"/>
              <w:spacing w:after="0"/>
              <w:rPr>
                <w:sz w:val="20"/>
                <w:szCs w:val="20"/>
                <w:color w:val="auto"/>
              </w:rPr>
            </w:pPr>
            <w:r>
              <w:rPr>
                <w:rFonts w:ascii="Arial" w:cs="Arial" w:eastAsia="Arial" w:hAnsi="Arial"/>
                <w:sz w:val="17"/>
                <w:szCs w:val="17"/>
                <w:color w:val="auto"/>
              </w:rPr>
              <w:t>Ceded written premiums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Ceded to quota share treaties (1)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5,963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9,610</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(3,647)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tcPr>
          <w:p>
            <w:pPr>
              <w:ind w:left="360"/>
              <w:spacing w:after="0"/>
              <w:rPr>
                <w:sz w:val="20"/>
                <w:szCs w:val="20"/>
                <w:color w:val="auto"/>
              </w:rPr>
            </w:pPr>
            <w:r>
              <w:rPr>
                <w:rFonts w:ascii="Arial" w:cs="Arial" w:eastAsia="Arial" w:hAnsi="Arial"/>
                <w:sz w:val="17"/>
                <w:szCs w:val="17"/>
                <w:color w:val="auto"/>
              </w:rPr>
              <w:t>Ceded to excess of loss treaties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833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596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237</w:t>
            </w:r>
          </w:p>
        </w:tc>
        <w:tc>
          <w:tcPr>
            <w:tcW w:w="1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39.8%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Ceded to catastrophe treaties</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8,532</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6,520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2,012</w:t>
            </w: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30.9%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40" w:type="dxa"/>
            <w:vAlign w:val="bottom"/>
          </w:tcPr>
          <w:p>
            <w:pPr>
              <w:ind w:left="200"/>
              <w:spacing w:after="0"/>
              <w:rPr>
                <w:sz w:val="20"/>
                <w:szCs w:val="20"/>
                <w:color w:val="auto"/>
              </w:rPr>
            </w:pPr>
            <w:r>
              <w:rPr>
                <w:rFonts w:ascii="Arial" w:cs="Arial" w:eastAsia="Arial" w:hAnsi="Arial"/>
                <w:sz w:val="17"/>
                <w:szCs w:val="17"/>
                <w:color w:val="auto"/>
              </w:rPr>
              <w:t>Total ceded written premiums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15,328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16,726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(1,398)</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40" w:type="dxa"/>
            <w:vAlign w:val="bottom"/>
          </w:tcPr>
          <w:p>
            <w:pPr>
              <w:ind w:left="200"/>
              <w:spacing w:after="0"/>
              <w:rPr>
                <w:sz w:val="20"/>
                <w:szCs w:val="20"/>
                <w:color w:val="auto"/>
              </w:rPr>
            </w:pPr>
            <w:r>
              <w:rPr>
                <w:rFonts w:ascii="Arial" w:cs="Arial" w:eastAsia="Arial" w:hAnsi="Arial"/>
                <w:sz w:val="17"/>
                <w:szCs w:val="17"/>
                <w:color w:val="auto"/>
              </w:rPr>
              <w:t>Net written premiums</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66,982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51,665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15,317</w:t>
            </w:r>
          </w:p>
        </w:tc>
        <w:tc>
          <w:tcPr>
            <w:tcW w:w="1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29.6%</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tcPr>
          <w:p>
            <w:pPr>
              <w:ind w:left="200"/>
              <w:spacing w:after="0"/>
              <w:rPr>
                <w:sz w:val="20"/>
                <w:szCs w:val="20"/>
                <w:color w:val="auto"/>
              </w:rPr>
            </w:pPr>
            <w:r>
              <w:rPr>
                <w:rFonts w:ascii="Arial" w:cs="Arial" w:eastAsia="Arial" w:hAnsi="Arial"/>
                <w:sz w:val="17"/>
                <w:szCs w:val="17"/>
                <w:color w:val="auto"/>
              </w:rPr>
              <w:t>Change in unearned premiums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Direct and assumed</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(6,456)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(5,492)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(964)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tcPr>
          <w:p>
            <w:pPr>
              <w:ind w:left="360"/>
              <w:spacing w:after="0"/>
              <w:rPr>
                <w:sz w:val="20"/>
                <w:szCs w:val="20"/>
                <w:color w:val="auto"/>
              </w:rPr>
            </w:pPr>
            <w:r>
              <w:rPr>
                <w:rFonts w:ascii="Arial" w:cs="Arial" w:eastAsia="Arial" w:hAnsi="Arial"/>
                <w:sz w:val="17"/>
                <w:szCs w:val="17"/>
                <w:color w:val="auto"/>
              </w:rPr>
              <w:t>Ceded to quota share treaties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271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769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(498)</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(64.8)%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59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Change in net unearned premiums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(6,185)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(4,723)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(1,462)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31.0%</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Premiums earned</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tcPr>
          <w:p>
            <w:pPr>
              <w:ind w:left="360"/>
              <w:spacing w:after="0"/>
              <w:rPr>
                <w:sz w:val="20"/>
                <w:szCs w:val="20"/>
                <w:color w:val="auto"/>
              </w:rPr>
            </w:pPr>
            <w:r>
              <w:rPr>
                <w:rFonts w:ascii="Arial" w:cs="Arial" w:eastAsia="Arial" w:hAnsi="Arial"/>
                <w:sz w:val="17"/>
                <w:szCs w:val="17"/>
                <w:color w:val="auto"/>
              </w:rPr>
              <w:t>Direct and assumed</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75,854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62,898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12,956</w:t>
            </w:r>
          </w:p>
        </w:tc>
        <w:tc>
          <w:tcPr>
            <w:tcW w:w="1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20.6%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Ceded to reinsurance treaties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(15,057)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(15,956)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899</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tcBorders>
              <w:top w:val="single" w:sz="8" w:color="CCEEFF"/>
            </w:tcBorders>
          </w:tcPr>
          <w:p>
            <w:pPr>
              <w:ind w:left="200"/>
              <w:spacing w:after="0"/>
              <w:rPr>
                <w:sz w:val="20"/>
                <w:szCs w:val="20"/>
                <w:color w:val="auto"/>
              </w:rPr>
            </w:pPr>
            <w:r>
              <w:rPr>
                <w:rFonts w:ascii="Arial" w:cs="Arial" w:eastAsia="Arial" w:hAnsi="Arial"/>
                <w:sz w:val="17"/>
                <w:szCs w:val="17"/>
                <w:color w:val="auto"/>
              </w:rPr>
              <w:t>Net premiums earned</w:t>
            </w: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60,797</w:t>
            </w: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46,942</w:t>
            </w: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13,855</w:t>
            </w:r>
          </w:p>
        </w:tc>
        <w:tc>
          <w:tcPr>
            <w:tcW w:w="1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gridSpan w:val="2"/>
          </w:tcPr>
          <w:p>
            <w:pPr>
              <w:jc w:val="right"/>
              <w:spacing w:after="0"/>
              <w:rPr>
                <w:sz w:val="20"/>
                <w:szCs w:val="20"/>
                <w:color w:val="auto"/>
              </w:rPr>
            </w:pPr>
            <w:r>
              <w:rPr>
                <w:rFonts w:ascii="Arial" w:cs="Arial" w:eastAsia="Arial" w:hAnsi="Arial"/>
                <w:sz w:val="17"/>
                <w:szCs w:val="17"/>
                <w:color w:val="auto"/>
              </w:rPr>
              <w:t>29.5%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Ceding commission revenue</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tcPr>
          <w:p>
            <w:pPr>
              <w:ind w:left="360"/>
              <w:spacing w:after="0"/>
              <w:rPr>
                <w:sz w:val="20"/>
                <w:szCs w:val="20"/>
                <w:color w:val="auto"/>
              </w:rPr>
            </w:pPr>
            <w:r>
              <w:rPr>
                <w:rFonts w:ascii="Arial" w:cs="Arial" w:eastAsia="Arial" w:hAnsi="Arial"/>
                <w:sz w:val="17"/>
                <w:szCs w:val="17"/>
                <w:color w:val="auto"/>
              </w:rPr>
              <w:t>Excluding the effect of catastrophes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1,953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3,845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(1,892)</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(49.2)%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Effect of catastrophes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(459)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459</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7"/>
                <w:szCs w:val="17"/>
                <w:color w:val="auto"/>
                <w:w w:val="82"/>
              </w:rPr>
              <w:t>n/a%</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9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tcPr>
          <w:p>
            <w:pPr>
              <w:ind w:left="200"/>
              <w:spacing w:after="0"/>
              <w:rPr>
                <w:sz w:val="20"/>
                <w:szCs w:val="20"/>
                <w:color w:val="auto"/>
              </w:rPr>
            </w:pPr>
            <w:r>
              <w:rPr>
                <w:rFonts w:ascii="Arial" w:cs="Arial" w:eastAsia="Arial" w:hAnsi="Arial"/>
                <w:sz w:val="17"/>
                <w:szCs w:val="17"/>
                <w:color w:val="auto"/>
              </w:rPr>
              <w:t>Total ceding commission revenue</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1,953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3,386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(1,433)</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(42.3)%</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 investment income</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402</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tcPr>
          <w:p>
            <w:pPr>
              <w:ind w:left="200"/>
              <w:spacing w:after="0"/>
              <w:rPr>
                <w:sz w:val="20"/>
                <w:szCs w:val="20"/>
                <w:color w:val="auto"/>
              </w:rPr>
            </w:pPr>
            <w:r>
              <w:rPr>
                <w:rFonts w:ascii="Arial" w:cs="Arial" w:eastAsia="Arial" w:hAnsi="Arial"/>
                <w:sz w:val="17"/>
                <w:szCs w:val="17"/>
                <w:color w:val="auto"/>
              </w:rPr>
              <w:t>Net gains (losses) on investments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2,714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(630)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3,344</w:t>
            </w:r>
          </w:p>
        </w:tc>
        <w:tc>
          <w:tcPr>
            <w:tcW w:w="1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(530.8)%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Other income</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696</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609</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40" w:type="dxa"/>
            <w:vAlign w:val="bottom"/>
          </w:tcPr>
          <w:p>
            <w:pPr>
              <w:ind w:left="360"/>
              <w:spacing w:after="0"/>
              <w:rPr>
                <w:sz w:val="20"/>
                <w:szCs w:val="20"/>
                <w:color w:val="auto"/>
              </w:rPr>
            </w:pPr>
            <w:r>
              <w:rPr>
                <w:rFonts w:ascii="Arial" w:cs="Arial" w:eastAsia="Arial" w:hAnsi="Arial"/>
                <w:sz w:val="17"/>
                <w:szCs w:val="17"/>
                <w:color w:val="auto"/>
              </w:rPr>
              <w:t>Total revenues</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69,503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53,248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16,255</w:t>
            </w:r>
          </w:p>
        </w:tc>
        <w:tc>
          <w:tcPr>
            <w:tcW w:w="1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30.5%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Expense</w:t>
            </w:r>
            <w:r>
              <w:rPr>
                <w:rFonts w:ascii="Arial" w:cs="Arial" w:eastAsia="Arial" w:hAnsi="Arial"/>
                <w:sz w:val="17"/>
                <w:szCs w:val="17"/>
                <w:color w:val="auto"/>
              </w:rPr>
              <w:t>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tcPr>
          <w:p>
            <w:pPr>
              <w:ind w:left="200"/>
              <w:spacing w:after="0"/>
              <w:rPr>
                <w:sz w:val="20"/>
                <w:szCs w:val="20"/>
                <w:color w:val="auto"/>
              </w:rPr>
            </w:pPr>
            <w:r>
              <w:rPr>
                <w:rFonts w:ascii="Arial" w:cs="Arial" w:eastAsia="Arial" w:hAnsi="Arial"/>
                <w:sz w:val="17"/>
                <w:szCs w:val="17"/>
                <w:color w:val="auto"/>
              </w:rPr>
              <w:t>Loss and loss adjustment expenses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Direct and assumed:</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tcPr>
          <w:p>
            <w:pPr>
              <w:ind w:left="360"/>
              <w:spacing w:after="0"/>
              <w:rPr>
                <w:sz w:val="20"/>
                <w:szCs w:val="20"/>
                <w:color w:val="auto"/>
              </w:rPr>
            </w:pPr>
            <w:r>
              <w:rPr>
                <w:rFonts w:ascii="Arial" w:cs="Arial" w:eastAsia="Arial" w:hAnsi="Arial"/>
                <w:sz w:val="17"/>
                <w:szCs w:val="17"/>
                <w:color w:val="auto"/>
              </w:rPr>
              <w:t>Loss and loss adjustment expenses excluding the effect of catastrophes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46,164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25,898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20,266</w:t>
            </w:r>
          </w:p>
        </w:tc>
        <w:tc>
          <w:tcPr>
            <w:tcW w:w="1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78.3%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Losses from catastrophes (2)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7,264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10,561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(3,297)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40" w:type="dxa"/>
            <w:vAlign w:val="bottom"/>
            <w:tcBorders>
              <w:top w:val="single" w:sz="8" w:color="CCEEFF"/>
            </w:tcBorders>
          </w:tcPr>
          <w:p>
            <w:pPr>
              <w:ind w:left="360"/>
              <w:spacing w:after="0"/>
              <w:rPr>
                <w:sz w:val="20"/>
                <w:szCs w:val="20"/>
                <w:color w:val="auto"/>
              </w:rPr>
            </w:pPr>
            <w:r>
              <w:rPr>
                <w:rFonts w:ascii="Arial" w:cs="Arial" w:eastAsia="Arial" w:hAnsi="Arial"/>
                <w:sz w:val="17"/>
                <w:szCs w:val="17"/>
                <w:color w:val="auto"/>
              </w:rPr>
              <w:t>Total direct and assumed loss and loss adjustment expenses</w:t>
            </w: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53,428</w:t>
            </w: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36,459</w:t>
            </w: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16,969</w:t>
            </w:r>
          </w:p>
        </w:tc>
        <w:tc>
          <w:tcPr>
            <w:tcW w:w="1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gridSpan w:val="2"/>
          </w:tcPr>
          <w:p>
            <w:pPr>
              <w:jc w:val="right"/>
              <w:spacing w:after="0"/>
              <w:rPr>
                <w:sz w:val="20"/>
                <w:szCs w:val="20"/>
                <w:color w:val="auto"/>
              </w:rPr>
            </w:pPr>
            <w:r>
              <w:rPr>
                <w:rFonts w:ascii="Arial" w:cs="Arial" w:eastAsia="Arial" w:hAnsi="Arial"/>
                <w:sz w:val="17"/>
                <w:szCs w:val="17"/>
                <w:color w:val="auto"/>
              </w:rPr>
              <w:t>46.5%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tcPr>
          <w:p>
            <w:pPr>
              <w:ind w:left="360"/>
              <w:spacing w:after="0"/>
              <w:rPr>
                <w:sz w:val="20"/>
                <w:szCs w:val="20"/>
                <w:color w:val="auto"/>
              </w:rPr>
            </w:pPr>
            <w:r>
              <w:rPr>
                <w:rFonts w:ascii="Arial" w:cs="Arial" w:eastAsia="Arial" w:hAnsi="Arial"/>
                <w:sz w:val="17"/>
                <w:szCs w:val="17"/>
                <w:color w:val="auto"/>
              </w:rPr>
              <w:t>Ceded loss and loss adjustment expenses: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Loss and loss adjustment expenses excluding the effect of catastrophes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2,673</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tcPr>
          <w:p>
            <w:pPr>
              <w:ind w:left="360"/>
              <w:spacing w:after="0"/>
              <w:rPr>
                <w:sz w:val="20"/>
                <w:szCs w:val="20"/>
                <w:color w:val="auto"/>
              </w:rPr>
            </w:pPr>
            <w:r>
              <w:rPr>
                <w:rFonts w:ascii="Arial" w:cs="Arial" w:eastAsia="Arial" w:hAnsi="Arial"/>
                <w:sz w:val="17"/>
                <w:szCs w:val="17"/>
                <w:color w:val="auto"/>
              </w:rPr>
              <w:t>Losses from catastrophes (2)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763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4,831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(4,068)</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(84.2)%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59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ceded loss and loss adjustment expenses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6,622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8,017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(1,395)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(17.4)%</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Net loss and loss adjustment expenses: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tcPr>
          <w:p>
            <w:pPr>
              <w:ind w:left="360"/>
              <w:spacing w:after="0"/>
              <w:rPr>
                <w:sz w:val="20"/>
                <w:szCs w:val="20"/>
                <w:color w:val="auto"/>
              </w:rPr>
            </w:pPr>
            <w:r>
              <w:rPr>
                <w:rFonts w:ascii="Arial" w:cs="Arial" w:eastAsia="Arial" w:hAnsi="Arial"/>
                <w:sz w:val="17"/>
                <w:szCs w:val="17"/>
                <w:color w:val="auto"/>
              </w:rPr>
              <w:t>Loss and loss adjustment expenses excluding the effect of catastrophes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40,305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22,712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17,593</w:t>
            </w:r>
          </w:p>
        </w:tc>
        <w:tc>
          <w:tcPr>
            <w:tcW w:w="1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77.5%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Losses from catastrophes (2)</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6,501</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5,730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771</w:t>
            </w: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40" w:type="dxa"/>
            <w:vAlign w:val="bottom"/>
          </w:tcPr>
          <w:p>
            <w:pPr>
              <w:ind w:left="360"/>
              <w:spacing w:after="0"/>
              <w:rPr>
                <w:sz w:val="20"/>
                <w:szCs w:val="20"/>
                <w:color w:val="auto"/>
              </w:rPr>
            </w:pPr>
            <w:r>
              <w:rPr>
                <w:rFonts w:ascii="Arial" w:cs="Arial" w:eastAsia="Arial" w:hAnsi="Arial"/>
                <w:sz w:val="17"/>
                <w:szCs w:val="17"/>
                <w:color w:val="auto"/>
              </w:rPr>
              <w:t>Net loss and loss adjustment expenses</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46,806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28,442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18,364</w:t>
            </w:r>
          </w:p>
        </w:tc>
        <w:tc>
          <w:tcPr>
            <w:tcW w:w="1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64.6%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tcPr>
          <w:p>
            <w:pPr>
              <w:ind w:left="200"/>
              <w:spacing w:after="0"/>
              <w:rPr>
                <w:sz w:val="20"/>
                <w:szCs w:val="20"/>
                <w:color w:val="auto"/>
              </w:rPr>
            </w:pPr>
            <w:r>
              <w:rPr>
                <w:rFonts w:ascii="Arial" w:cs="Arial" w:eastAsia="Arial" w:hAnsi="Arial"/>
                <w:sz w:val="17"/>
                <w:szCs w:val="17"/>
                <w:color w:val="auto"/>
              </w:rPr>
              <w:t>Commission expense</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14,153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11,817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2,336</w:t>
            </w:r>
          </w:p>
        </w:tc>
        <w:tc>
          <w:tcPr>
            <w:tcW w:w="1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19.8%</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Other underwriting expenses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11,552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10,107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1,445</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tcPr>
          <w:p>
            <w:pPr>
              <w:ind w:left="200"/>
              <w:spacing w:after="0"/>
              <w:rPr>
                <w:sz w:val="20"/>
                <w:szCs w:val="20"/>
                <w:color w:val="auto"/>
              </w:rPr>
            </w:pPr>
            <w:r>
              <w:rPr>
                <w:rFonts w:ascii="Arial" w:cs="Arial" w:eastAsia="Arial" w:hAnsi="Arial"/>
                <w:sz w:val="17"/>
                <w:szCs w:val="17"/>
                <w:color w:val="auto"/>
              </w:rPr>
              <w:t>Other operating expenses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2,069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1,091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978</w:t>
            </w:r>
          </w:p>
        </w:tc>
        <w:tc>
          <w:tcPr>
            <w:tcW w:w="1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89.6%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Depreciation and amortization</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40" w:type="dxa"/>
            <w:vAlign w:val="bottom"/>
          </w:tcPr>
          <w:p>
            <w:pPr>
              <w:ind w:left="200"/>
              <w:spacing w:after="0"/>
              <w:rPr>
                <w:sz w:val="20"/>
                <w:szCs w:val="20"/>
                <w:color w:val="auto"/>
              </w:rPr>
            </w:pPr>
            <w:r>
              <w:rPr>
                <w:rFonts w:ascii="Arial" w:cs="Arial" w:eastAsia="Arial" w:hAnsi="Arial"/>
                <w:sz w:val="17"/>
                <w:szCs w:val="17"/>
                <w:color w:val="auto"/>
              </w:rPr>
              <w:t>Interest expense</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Total expenses</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76,723</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53,200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23,523</w:t>
            </w: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44.2%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(Loss) income before taxes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(7,220)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(7,268)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(15,141.7)%</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tcPr>
          <w:p>
            <w:pPr>
              <w:ind w:left="200"/>
              <w:spacing w:after="0"/>
              <w:rPr>
                <w:sz w:val="20"/>
                <w:szCs w:val="20"/>
                <w:color w:val="auto"/>
              </w:rPr>
            </w:pPr>
            <w:r>
              <w:rPr>
                <w:rFonts w:ascii="Arial" w:cs="Arial" w:eastAsia="Arial" w:hAnsi="Arial"/>
                <w:sz w:val="17"/>
                <w:szCs w:val="17"/>
                <w:color w:val="auto"/>
              </w:rPr>
              <w:t>Income tax (benefit) expense</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(1,524)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(1,533)</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(17,033.3)%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94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Net (loss) income</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(5,696)</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2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(5,735)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(14,705.1)%</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left="320" w:hanging="315"/>
        <w:spacing w:after="0"/>
        <w:tabs>
          <w:tab w:leader="none" w:pos="3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Effective July 1, 2018, we decreased the quota share ceding rate in our personal lines quota share treaty from 20% to 10% (the “2018 cut-off”).</w:t>
      </w:r>
    </w:p>
    <w:p>
      <w:pPr>
        <w:spacing w:after="0" w:line="157" w:lineRule="exact"/>
        <w:rPr>
          <w:rFonts w:ascii="Arial" w:cs="Arial" w:eastAsia="Arial" w:hAnsi="Arial"/>
          <w:sz w:val="17"/>
          <w:szCs w:val="17"/>
          <w:color w:val="auto"/>
        </w:rPr>
      </w:pPr>
    </w:p>
    <w:p>
      <w:pPr>
        <w:jc w:val="both"/>
        <w:ind w:left="320" w:right="60" w:hanging="315"/>
        <w:spacing w:after="0" w:line="293" w:lineRule="auto"/>
        <w:tabs>
          <w:tab w:leader="none" w:pos="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six months ended June 30, 2019 and 2018 includes catastrophe losses, which are defined as losses from an event for which a catastrophe bulletin and related serial number has been issued by the Property Claims Services (PCS) unit of the Insurance Services Office (ISO). PCS catastrophe bulletins are issued for events that cause more than $25 million in total insured losses and affect a significant number of policyholders and insurers.</w:t>
      </w:r>
    </w:p>
    <w:p>
      <w:pPr>
        <w:spacing w:after="0" w:line="399"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80"/>
          </w:cols>
          <w:pgMar w:left="240" w:top="493" w:right="179" w:bottom="42"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77"/>
        </w:trPr>
        <w:tc>
          <w:tcPr>
            <w:tcW w:w="608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4"/>
          </w:tcPr>
          <w:p>
            <w:pPr>
              <w:jc w:val="right"/>
              <w:ind w:right="800"/>
              <w:spacing w:after="0"/>
              <w:rPr>
                <w:sz w:val="20"/>
                <w:szCs w:val="20"/>
                <w:color w:val="auto"/>
              </w:rPr>
            </w:pPr>
            <w:r>
              <w:rPr>
                <w:rFonts w:ascii="Arial" w:cs="Arial" w:eastAsia="Arial" w:hAnsi="Arial"/>
                <w:sz w:val="14"/>
                <w:szCs w:val="14"/>
                <w:b w:val="1"/>
                <w:bCs w:val="1"/>
                <w:color w:val="auto"/>
              </w:rPr>
              <w:t>Six months ended June 30,</w:t>
            </w:r>
          </w:p>
        </w:tc>
        <w:tc>
          <w:tcPr>
            <w:tcW w:w="1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6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jc w:val="right"/>
              <w:ind w:right="300"/>
              <w:spacing w:after="0" w:line="144" w:lineRule="exact"/>
              <w:rPr>
                <w:sz w:val="20"/>
                <w:szCs w:val="20"/>
                <w:color w:val="auto"/>
              </w:rPr>
            </w:pPr>
            <w:r>
              <w:rPr>
                <w:rFonts w:ascii="Arial" w:cs="Arial" w:eastAsia="Arial" w:hAnsi="Arial"/>
                <w:sz w:val="14"/>
                <w:szCs w:val="14"/>
                <w:b w:val="1"/>
                <w:bCs w:val="1"/>
                <w:color w:val="auto"/>
                <w:w w:val="90"/>
              </w:rPr>
              <w:t>Percentage Point</w:t>
            </w: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6080" w:type="dxa"/>
            <w:vAlign w:val="bottom"/>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5"/>
                <w:szCs w:val="15"/>
                <w:color w:val="auto"/>
              </w:rPr>
            </w:pPr>
          </w:p>
        </w:tc>
        <w:tc>
          <w:tcPr>
            <w:tcW w:w="11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5"/>
                <w:szCs w:val="15"/>
                <w:color w:val="auto"/>
              </w:rPr>
            </w:pPr>
          </w:p>
        </w:tc>
        <w:tc>
          <w:tcPr>
            <w:tcW w:w="11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3"/>
              </w:rPr>
              <w:t>Percent Change</w:t>
            </w:r>
          </w:p>
        </w:tc>
        <w:tc>
          <w:tcPr>
            <w:tcW w:w="18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469"/>
        </w:trPr>
        <w:tc>
          <w:tcPr>
            <w:tcW w:w="6780" w:type="dxa"/>
            <w:vAlign w:val="bottom"/>
            <w:gridSpan w:val="2"/>
          </w:tcPr>
          <w:p>
            <w:pPr>
              <w:ind w:left="40"/>
              <w:spacing w:after="0"/>
              <w:rPr>
                <w:sz w:val="20"/>
                <w:szCs w:val="20"/>
                <w:color w:val="auto"/>
              </w:rPr>
            </w:pPr>
            <w:r>
              <w:rPr>
                <w:rFonts w:ascii="Arial" w:cs="Arial" w:eastAsia="Arial" w:hAnsi="Arial"/>
                <w:sz w:val="17"/>
                <w:szCs w:val="17"/>
                <w:b w:val="1"/>
                <w:bCs w:val="1"/>
                <w:color w:val="auto"/>
              </w:rPr>
              <w:t>Key ratios:</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67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Net loss ratio</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77.0%</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60.6%</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w:t>
            </w:r>
          </w:p>
        </w:tc>
        <w:tc>
          <w:tcPr>
            <w:tcW w:w="2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80" w:type="dxa"/>
            <w:vAlign w:val="bottom"/>
          </w:tcPr>
          <w:p>
            <w:pPr>
              <w:ind w:left="200"/>
              <w:spacing w:after="0"/>
              <w:rPr>
                <w:sz w:val="20"/>
                <w:szCs w:val="20"/>
                <w:color w:val="auto"/>
              </w:rPr>
            </w:pPr>
            <w:r>
              <w:rPr>
                <w:rFonts w:ascii="Arial" w:cs="Arial" w:eastAsia="Arial" w:hAnsi="Arial"/>
                <w:sz w:val="17"/>
                <w:szCs w:val="17"/>
                <w:color w:val="auto"/>
              </w:rPr>
              <w:t>Net underwriting expense ratio</w:t>
            </w:r>
          </w:p>
        </w:tc>
        <w:tc>
          <w:tcPr>
            <w:tcW w:w="7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38.0%</w:t>
            </w:r>
          </w:p>
        </w:tc>
        <w:tc>
          <w:tcPr>
            <w:tcW w:w="1380" w:type="dxa"/>
            <w:vAlign w:val="bottom"/>
            <w:gridSpan w:val="2"/>
          </w:tcPr>
          <w:p>
            <w:pPr>
              <w:jc w:val="right"/>
              <w:ind w:right="140"/>
              <w:spacing w:after="0"/>
              <w:rPr>
                <w:sz w:val="20"/>
                <w:szCs w:val="20"/>
                <w:color w:val="auto"/>
              </w:rPr>
            </w:pPr>
            <w:r>
              <w:rPr>
                <w:rFonts w:ascii="Arial" w:cs="Arial" w:eastAsia="Arial" w:hAnsi="Arial"/>
                <w:sz w:val="17"/>
                <w:szCs w:val="17"/>
                <w:color w:val="auto"/>
              </w:rPr>
              <w:t>38.2%</w:t>
            </w: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(0.2)</w:t>
            </w:r>
          </w:p>
        </w:tc>
        <w:tc>
          <w:tcPr>
            <w:tcW w:w="1220" w:type="dxa"/>
            <w:vAlign w:val="bottom"/>
            <w:gridSpan w:val="3"/>
          </w:tcPr>
          <w:p>
            <w:pPr>
              <w:jc w:val="right"/>
              <w:spacing w:after="0"/>
              <w:rPr>
                <w:sz w:val="20"/>
                <w:szCs w:val="20"/>
                <w:color w:val="auto"/>
              </w:rPr>
            </w:pPr>
            <w:r>
              <w:rPr>
                <w:rFonts w:ascii="Arial" w:cs="Arial" w:eastAsia="Arial" w:hAnsi="Arial"/>
                <w:sz w:val="17"/>
                <w:szCs w:val="17"/>
                <w:color w:val="auto"/>
              </w:rPr>
              <w:t>(0.5)%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0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Net combined ratio</w:t>
            </w:r>
          </w:p>
        </w:tc>
        <w:tc>
          <w:tcPr>
            <w:tcW w:w="7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0"/>
              </w:rPr>
              <w:t>115.0%</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98.8%</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w:t>
            </w:r>
          </w:p>
        </w:tc>
        <w:tc>
          <w:tcPr>
            <w:tcW w:w="26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16.4%</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Direct Written Premiums</w:t>
      </w:r>
    </w:p>
    <w:p>
      <w:pPr>
        <w:spacing w:after="0" w:line="158" w:lineRule="exact"/>
        <w:rPr>
          <w:sz w:val="20"/>
          <w:szCs w:val="20"/>
          <w:color w:val="auto"/>
        </w:rPr>
      </w:pPr>
    </w:p>
    <w:p>
      <w:pPr>
        <w:jc w:val="both"/>
        <w:ind w:right="60" w:firstLine="628"/>
        <w:spacing w:after="0" w:line="265" w:lineRule="auto"/>
        <w:rPr>
          <w:sz w:val="20"/>
          <w:szCs w:val="20"/>
          <w:color w:val="auto"/>
        </w:rPr>
      </w:pPr>
      <w:r>
        <w:rPr>
          <w:rFonts w:ascii="Arial" w:cs="Arial" w:eastAsia="Arial" w:hAnsi="Arial"/>
          <w:sz w:val="17"/>
          <w:szCs w:val="17"/>
          <w:color w:val="auto"/>
        </w:rPr>
        <w:t>Direct written premiums during the six months ended June 30, 2019 (“Six Months 2019”) were $82,310,000 compared to $68,390,000 during the six months ended June 30, 2018 (“Six Months 2018”). The increase of $13,920,000, or 20.4%, was primarily due to an increase in policies in-force during Six Months 2019 as compared to Six Months 2018. We wrote more new policies as a result of continued demand for our products in the markets that we serve. Policies in-force increased by 18.8% as of June 30, 2019 compared to June 30, 2018.</w:t>
      </w:r>
    </w:p>
    <w:p>
      <w:pPr>
        <w:spacing w:after="0" w:line="118" w:lineRule="exact"/>
        <w:rPr>
          <w:sz w:val="20"/>
          <w:szCs w:val="20"/>
          <w:color w:val="auto"/>
        </w:rPr>
      </w:pPr>
    </w:p>
    <w:p>
      <w:pPr>
        <w:jc w:val="both"/>
        <w:ind w:right="60" w:firstLine="628"/>
        <w:spacing w:after="0" w:line="293" w:lineRule="auto"/>
        <w:rPr>
          <w:sz w:val="20"/>
          <w:szCs w:val="20"/>
          <w:color w:val="auto"/>
        </w:rPr>
      </w:pPr>
      <w:r>
        <w:rPr>
          <w:rFonts w:ascii="Arial" w:cs="Arial" w:eastAsia="Arial" w:hAnsi="Arial"/>
          <w:sz w:val="16"/>
          <w:szCs w:val="16"/>
          <w:color w:val="auto"/>
        </w:rPr>
        <w:t>In 2017, we started writing homeowners’ policies in New Jersey and Rhode Island. We began writing homeowners policies in Massachusetts in 2018 and Connecticut in March of 2019. We refer to our New York business as our “Core” business and the business outside of New York as our “Expansion” business. Direct written premiums from our Expansion business were $9,529,000 in Six Months 2019 compared to $3,064,000 in Six Months 2018.</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Net Written Premiums and Net Premiums Earned</w:t>
      </w:r>
    </w:p>
    <w:p>
      <w:pPr>
        <w:spacing w:after="0" w:line="158" w:lineRule="exact"/>
        <w:rPr>
          <w:sz w:val="20"/>
          <w:szCs w:val="20"/>
          <w:color w:val="auto"/>
        </w:rPr>
      </w:pPr>
    </w:p>
    <w:p>
      <w:pPr>
        <w:jc w:val="both"/>
        <w:ind w:right="60" w:firstLine="628"/>
        <w:spacing w:after="0" w:line="269" w:lineRule="auto"/>
        <w:rPr>
          <w:sz w:val="20"/>
          <w:szCs w:val="20"/>
          <w:color w:val="auto"/>
        </w:rPr>
      </w:pPr>
      <w:r>
        <w:rPr>
          <w:rFonts w:ascii="Arial" w:cs="Arial" w:eastAsia="Arial" w:hAnsi="Arial"/>
          <w:sz w:val="17"/>
          <w:szCs w:val="17"/>
          <w:color w:val="auto"/>
        </w:rPr>
        <w:t>The following table describes the quota share reinsurance ceding rates in effect during Six Months 2019 and Six Months 2018, respectively. This table should be referred to in conjunction with the discussions for net written premiums, net premiums earned, ceding commission revenue and net loss and loss adjustment expenses that follow.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3240" w:type="dxa"/>
            <w:vAlign w:val="bottom"/>
            <w:gridSpan w:val="4"/>
          </w:tcPr>
          <w:p>
            <w:pPr>
              <w:ind w:left="660"/>
              <w:spacing w:after="0"/>
              <w:rPr>
                <w:sz w:val="20"/>
                <w:szCs w:val="20"/>
                <w:color w:val="auto"/>
              </w:rPr>
            </w:pPr>
            <w:r>
              <w:rPr>
                <w:rFonts w:ascii="Arial" w:cs="Arial" w:eastAsia="Arial" w:hAnsi="Arial"/>
                <w:sz w:val="14"/>
                <w:szCs w:val="14"/>
                <w:b w:val="1"/>
                <w:bCs w:val="1"/>
                <w:color w:val="auto"/>
              </w:rPr>
              <w:t>Six months ended June 30,</w:t>
            </w:r>
          </w:p>
        </w:tc>
      </w:tr>
      <w:tr>
        <w:trPr>
          <w:trHeight w:val="200"/>
        </w:trPr>
        <w:tc>
          <w:tcPr>
            <w:tcW w:w="8180" w:type="dxa"/>
            <w:vAlign w:val="bottom"/>
          </w:tcPr>
          <w:p>
            <w:pPr>
              <w:spacing w:after="0"/>
              <w:rPr>
                <w:sz w:val="17"/>
                <w:szCs w:val="17"/>
                <w:color w:val="auto"/>
              </w:rPr>
            </w:pPr>
          </w:p>
        </w:tc>
        <w:tc>
          <w:tcPr>
            <w:tcW w:w="1200" w:type="dxa"/>
            <w:vAlign w:val="bottom"/>
          </w:tcPr>
          <w:p>
            <w:pPr>
              <w:jc w:val="right"/>
              <w:ind w:right="385"/>
              <w:spacing w:after="0"/>
              <w:rPr>
                <w:sz w:val="20"/>
                <w:szCs w:val="20"/>
                <w:color w:val="auto"/>
              </w:rPr>
            </w:pPr>
            <w:r>
              <w:rPr>
                <w:rFonts w:ascii="Arial" w:cs="Arial" w:eastAsia="Arial" w:hAnsi="Arial"/>
                <w:sz w:val="14"/>
                <w:szCs w:val="14"/>
                <w:b w:val="1"/>
                <w:bCs w:val="1"/>
                <w:color w:val="auto"/>
              </w:rPr>
              <w:t>2019</w:t>
            </w:r>
          </w:p>
        </w:tc>
        <w:tc>
          <w:tcPr>
            <w:tcW w:w="1700" w:type="dxa"/>
            <w:vAlign w:val="bottom"/>
            <w:gridSpan w:val="2"/>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7"/>
                <w:szCs w:val="17"/>
                <w:color w:val="auto"/>
              </w:rPr>
            </w:pPr>
          </w:p>
        </w:tc>
      </w:tr>
      <w:tr>
        <w:trPr>
          <w:trHeight w:val="144"/>
        </w:trPr>
        <w:tc>
          <w:tcPr>
            <w:tcW w:w="8180" w:type="dxa"/>
            <w:vAlign w:val="bottom"/>
          </w:tcPr>
          <w:p>
            <w:pPr>
              <w:spacing w:after="0"/>
              <w:rPr>
                <w:sz w:val="12"/>
                <w:szCs w:val="12"/>
                <w:color w:val="auto"/>
              </w:rPr>
            </w:pPr>
          </w:p>
        </w:tc>
        <w:tc>
          <w:tcPr>
            <w:tcW w:w="1200" w:type="dxa"/>
            <w:vAlign w:val="bottom"/>
            <w:tcBorders>
              <w:top w:val="single" w:sz="8" w:color="auto"/>
            </w:tcBorders>
          </w:tcPr>
          <w:p>
            <w:pPr>
              <w:jc w:val="right"/>
              <w:ind w:right="145"/>
              <w:spacing w:after="0" w:line="144" w:lineRule="exact"/>
              <w:rPr>
                <w:sz w:val="20"/>
                <w:szCs w:val="20"/>
                <w:color w:val="auto"/>
              </w:rPr>
            </w:pPr>
            <w:r>
              <w:rPr>
                <w:rFonts w:ascii="Arial" w:cs="Arial" w:eastAsia="Arial" w:hAnsi="Arial"/>
                <w:sz w:val="14"/>
                <w:szCs w:val="14"/>
                <w:b w:val="1"/>
                <w:bCs w:val="1"/>
                <w:color w:val="auto"/>
              </w:rPr>
              <w:t>("2017/2019</w:t>
            </w:r>
          </w:p>
        </w:tc>
        <w:tc>
          <w:tcPr>
            <w:tcW w:w="520" w:type="dxa"/>
            <w:vAlign w:val="bottom"/>
          </w:tcPr>
          <w:p>
            <w:pPr>
              <w:spacing w:after="0"/>
              <w:rPr>
                <w:sz w:val="12"/>
                <w:szCs w:val="12"/>
                <w:color w:val="auto"/>
              </w:rPr>
            </w:pPr>
          </w:p>
        </w:tc>
        <w:tc>
          <w:tcPr>
            <w:tcW w:w="1180" w:type="dxa"/>
            <w:vAlign w:val="bottom"/>
            <w:tcBorders>
              <w:top w:val="single" w:sz="8" w:color="auto"/>
            </w:tcBorders>
          </w:tcPr>
          <w:p>
            <w:pPr>
              <w:jc w:val="right"/>
              <w:ind w:right="148"/>
              <w:spacing w:after="0" w:line="144" w:lineRule="exact"/>
              <w:rPr>
                <w:sz w:val="20"/>
                <w:szCs w:val="20"/>
                <w:color w:val="auto"/>
              </w:rPr>
            </w:pPr>
            <w:r>
              <w:rPr>
                <w:rFonts w:ascii="Arial" w:cs="Arial" w:eastAsia="Arial" w:hAnsi="Arial"/>
                <w:sz w:val="14"/>
                <w:szCs w:val="14"/>
                <w:b w:val="1"/>
                <w:bCs w:val="1"/>
                <w:color w:val="auto"/>
              </w:rPr>
              <w:t>("2017/2019</w:t>
            </w:r>
          </w:p>
        </w:tc>
        <w:tc>
          <w:tcPr>
            <w:tcW w:w="340" w:type="dxa"/>
            <w:vAlign w:val="bottom"/>
          </w:tcPr>
          <w:p>
            <w:pPr>
              <w:spacing w:after="0"/>
              <w:rPr>
                <w:sz w:val="12"/>
                <w:szCs w:val="12"/>
                <w:color w:val="auto"/>
              </w:rPr>
            </w:pPr>
          </w:p>
        </w:tc>
      </w:tr>
      <w:tr>
        <w:trPr>
          <w:trHeight w:val="170"/>
        </w:trPr>
        <w:tc>
          <w:tcPr>
            <w:tcW w:w="8180" w:type="dxa"/>
            <w:vAlign w:val="bottom"/>
          </w:tcPr>
          <w:p>
            <w:pPr>
              <w:spacing w:after="0"/>
              <w:rPr>
                <w:sz w:val="14"/>
                <w:szCs w:val="14"/>
                <w:color w:val="auto"/>
              </w:rPr>
            </w:pPr>
          </w:p>
        </w:tc>
        <w:tc>
          <w:tcPr>
            <w:tcW w:w="1200" w:type="dxa"/>
            <w:vAlign w:val="bottom"/>
          </w:tcPr>
          <w:p>
            <w:pPr>
              <w:jc w:val="right"/>
              <w:ind w:right="265"/>
              <w:spacing w:after="0"/>
              <w:rPr>
                <w:sz w:val="20"/>
                <w:szCs w:val="20"/>
                <w:color w:val="auto"/>
              </w:rPr>
            </w:pPr>
            <w:r>
              <w:rPr>
                <w:rFonts w:ascii="Arial" w:cs="Arial" w:eastAsia="Arial" w:hAnsi="Arial"/>
                <w:sz w:val="14"/>
                <w:szCs w:val="14"/>
                <w:b w:val="1"/>
                <w:bCs w:val="1"/>
                <w:color w:val="auto"/>
              </w:rPr>
              <w:t>Treaty")</w:t>
            </w:r>
          </w:p>
        </w:tc>
        <w:tc>
          <w:tcPr>
            <w:tcW w:w="520" w:type="dxa"/>
            <w:vAlign w:val="bottom"/>
          </w:tcPr>
          <w:p>
            <w:pPr>
              <w:spacing w:after="0"/>
              <w:rPr>
                <w:sz w:val="14"/>
                <w:szCs w:val="14"/>
                <w:color w:val="auto"/>
              </w:rPr>
            </w:pPr>
          </w:p>
        </w:tc>
        <w:tc>
          <w:tcPr>
            <w:tcW w:w="1520" w:type="dxa"/>
            <w:vAlign w:val="bottom"/>
            <w:gridSpan w:val="2"/>
          </w:tcPr>
          <w:p>
            <w:pPr>
              <w:ind w:left="320"/>
              <w:spacing w:after="0"/>
              <w:rPr>
                <w:sz w:val="20"/>
                <w:szCs w:val="20"/>
                <w:color w:val="auto"/>
              </w:rPr>
            </w:pPr>
            <w:r>
              <w:rPr>
                <w:rFonts w:ascii="Arial" w:cs="Arial" w:eastAsia="Arial" w:hAnsi="Arial"/>
                <w:sz w:val="14"/>
                <w:szCs w:val="14"/>
                <w:b w:val="1"/>
                <w:bCs w:val="1"/>
                <w:color w:val="auto"/>
              </w:rPr>
              <w:t>Treaty")</w:t>
            </w:r>
          </w:p>
        </w:tc>
      </w:tr>
      <w:tr>
        <w:trPr>
          <w:trHeight w:val="209"/>
        </w:trPr>
        <w:tc>
          <w:tcPr>
            <w:tcW w:w="8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09"/>
        </w:trPr>
        <w:tc>
          <w:tcPr>
            <w:tcW w:w="8180" w:type="dxa"/>
            <w:vAlign w:val="bottom"/>
          </w:tcPr>
          <w:p>
            <w:pPr>
              <w:ind w:left="40"/>
              <w:spacing w:after="0"/>
              <w:rPr>
                <w:sz w:val="20"/>
                <w:szCs w:val="20"/>
                <w:color w:val="auto"/>
              </w:rPr>
            </w:pPr>
            <w:r>
              <w:rPr>
                <w:rFonts w:ascii="Arial" w:cs="Arial" w:eastAsia="Arial" w:hAnsi="Arial"/>
                <w:sz w:val="17"/>
                <w:szCs w:val="17"/>
                <w:b w:val="1"/>
                <w:bCs w:val="1"/>
                <w:color w:val="auto"/>
              </w:rPr>
              <w:t>Quota share reinsurance rates</w:t>
            </w: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09"/>
        </w:trPr>
        <w:tc>
          <w:tcPr>
            <w:tcW w:w="8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Personal lines</w:t>
            </w:r>
          </w:p>
        </w:tc>
        <w:tc>
          <w:tcPr>
            <w:tcW w:w="1200" w:type="dxa"/>
            <w:vAlign w:val="bottom"/>
            <w:shd w:val="clear" w:color="auto" w:fill="CCEEFF"/>
          </w:tcPr>
          <w:p>
            <w:pPr>
              <w:jc w:val="right"/>
              <w:ind w:right="145"/>
              <w:spacing w:after="0"/>
              <w:rPr>
                <w:sz w:val="20"/>
                <w:szCs w:val="20"/>
                <w:color w:val="auto"/>
              </w:rPr>
            </w:pPr>
            <w:r>
              <w:rPr>
                <w:rFonts w:ascii="Arial" w:cs="Arial" w:eastAsia="Arial" w:hAnsi="Arial"/>
                <w:sz w:val="17"/>
                <w:szCs w:val="17"/>
                <w:color w:val="auto"/>
              </w:rPr>
              <w:t>10%(1)</w:t>
            </w:r>
          </w:p>
        </w:tc>
        <w:tc>
          <w:tcPr>
            <w:tcW w:w="1700" w:type="dxa"/>
            <w:vAlign w:val="bottom"/>
            <w:gridSpan w:val="2"/>
            <w:shd w:val="clear" w:color="auto" w:fill="CCEEFF"/>
          </w:tcPr>
          <w:p>
            <w:pPr>
              <w:jc w:val="right"/>
              <w:ind w:right="128"/>
              <w:spacing w:after="0"/>
              <w:rPr>
                <w:sz w:val="20"/>
                <w:szCs w:val="20"/>
                <w:color w:val="auto"/>
              </w:rPr>
            </w:pPr>
            <w:r>
              <w:rPr>
                <w:rFonts w:ascii="Arial" w:cs="Arial" w:eastAsia="Arial" w:hAnsi="Arial"/>
                <w:sz w:val="17"/>
                <w:szCs w:val="17"/>
                <w:color w:val="auto"/>
              </w:rPr>
              <w:t>20%(1)</w:t>
            </w:r>
          </w:p>
        </w:tc>
        <w:tc>
          <w:tcPr>
            <w:tcW w:w="340" w:type="dxa"/>
            <w:vAlign w:val="bottom"/>
            <w:shd w:val="clear" w:color="auto" w:fill="CCEEFF"/>
          </w:tcPr>
          <w:p>
            <w:pPr>
              <w:spacing w:after="0"/>
              <w:rPr>
                <w:sz w:val="18"/>
                <w:szCs w:val="18"/>
                <w:color w:val="auto"/>
              </w:rPr>
            </w:pPr>
          </w:p>
        </w:tc>
      </w:tr>
    </w:tbl>
    <w:p>
      <w:pPr>
        <w:spacing w:after="0" w:line="227" w:lineRule="exact"/>
        <w:rPr>
          <w:sz w:val="20"/>
          <w:szCs w:val="20"/>
          <w:color w:val="auto"/>
        </w:rPr>
      </w:pPr>
    </w:p>
    <w:p>
      <w:pPr>
        <w:ind w:left="640" w:right="2840" w:hanging="8"/>
        <w:spacing w:after="0" w:line="582" w:lineRule="auto"/>
        <w:tabs>
          <w:tab w:leader="none" w:pos="954" w:val="left"/>
        </w:tabs>
        <w:numPr>
          <w:ilvl w:val="0"/>
          <w:numId w:val="12"/>
        </w:numPr>
        <w:rPr>
          <w:rFonts w:ascii="Arial" w:cs="Arial" w:eastAsia="Arial" w:hAnsi="Arial"/>
          <w:sz w:val="15"/>
          <w:szCs w:val="15"/>
          <w:color w:val="auto"/>
        </w:rPr>
      </w:pPr>
      <w:r>
        <w:rPr>
          <w:rFonts w:ascii="Arial" w:cs="Arial" w:eastAsia="Arial" w:hAnsi="Arial"/>
          <w:sz w:val="15"/>
          <w:szCs w:val="15"/>
          <w:color w:val="auto"/>
        </w:rPr>
        <w:t>2017/2019 Treaty is a two-year treaty, quota share reinsurance rate was reduced to 10% effective July 1, 2018. See “Reinsurance” below for changes to our personal lines quota share treaties effective July 1, 2019, 2018 and 2017.</w:t>
      </w:r>
    </w:p>
    <w:p>
      <w:pPr>
        <w:spacing w:after="0" w:line="1" w:lineRule="exact"/>
        <w:rPr>
          <w:sz w:val="20"/>
          <w:szCs w:val="20"/>
          <w:color w:val="auto"/>
        </w:rPr>
      </w:pPr>
    </w:p>
    <w:p>
      <w:pPr>
        <w:jc w:val="both"/>
        <w:ind w:right="60" w:firstLine="628"/>
        <w:spacing w:after="0" w:line="283" w:lineRule="auto"/>
        <w:rPr>
          <w:sz w:val="20"/>
          <w:szCs w:val="20"/>
          <w:color w:val="auto"/>
        </w:rPr>
      </w:pPr>
      <w:r>
        <w:rPr>
          <w:rFonts w:ascii="Arial" w:cs="Arial" w:eastAsia="Arial" w:hAnsi="Arial"/>
          <w:sz w:val="16"/>
          <w:szCs w:val="16"/>
          <w:color w:val="auto"/>
        </w:rPr>
        <w:t>Net written premiums increased $15,317,000, or 29.6%, to $66,982,000 in Six Months 2019 from $51,665,000 in Six Months 2018. Net written premiums include direct and assumed premiums, less the amount of written premiums ceded under our reinsurance treaties (quota share, excess of loss, and catastrophe). Our personal lines business was subject to a quota share treaty through June 30, 2019, which is now in run off. A reduction to the quota share percentage or elimination of a quota share treaty will reduce our ceded written premiums, which will result in a corresponding increase to our net written premiums. The increase in net written premiums is due to growth and the reductions of our personal lines quota share reinsurance rate from 20% to 10% on July 1, 2018.</w:t>
      </w:r>
    </w:p>
    <w:p>
      <w:pPr>
        <w:spacing w:after="0" w:line="200" w:lineRule="exact"/>
        <w:rPr>
          <w:sz w:val="20"/>
          <w:szCs w:val="20"/>
          <w:color w:val="auto"/>
        </w:rPr>
      </w:pPr>
    </w:p>
    <w:p>
      <w:pPr>
        <w:spacing w:after="0" w:line="206"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80"/>
          </w:cols>
          <w:pgMar w:left="240" w:top="623" w:right="179" w:bottom="1440" w:gutter="0" w:footer="0" w:header="0"/>
        </w:sectPr>
      </w:pPr>
    </w:p>
    <w:bookmarkStart w:id="48" w:name="page49"/>
    <w:bookmarkEnd w:id="48"/>
    <w:p>
      <w:pPr>
        <w:ind w:left="640"/>
        <w:spacing w:after="0"/>
        <w:rPr>
          <w:sz w:val="20"/>
          <w:szCs w:val="20"/>
          <w:color w:val="auto"/>
        </w:rPr>
      </w:pPr>
      <w:r>
        <w:rPr>
          <w:rFonts w:ascii="Arial" w:cs="Arial" w:eastAsia="Arial" w:hAnsi="Arial"/>
          <w:sz w:val="17"/>
          <w:szCs w:val="17"/>
          <w:i w:val="1"/>
          <w:iCs w:val="1"/>
          <w:color w:val="auto"/>
        </w:rPr>
        <w:t>Excess of loss reinsurance treaties</w:t>
      </w:r>
    </w:p>
    <w:p>
      <w:pPr>
        <w:spacing w:after="0" w:line="158" w:lineRule="exact"/>
        <w:rPr>
          <w:sz w:val="20"/>
          <w:szCs w:val="20"/>
          <w:color w:val="auto"/>
        </w:rPr>
      </w:pPr>
    </w:p>
    <w:p>
      <w:pPr>
        <w:jc w:val="both"/>
        <w:ind w:firstLine="628"/>
        <w:spacing w:after="0" w:line="269" w:lineRule="auto"/>
        <w:rPr>
          <w:sz w:val="20"/>
          <w:szCs w:val="20"/>
          <w:color w:val="auto"/>
        </w:rPr>
      </w:pPr>
      <w:r>
        <w:rPr>
          <w:rFonts w:ascii="Arial" w:cs="Arial" w:eastAsia="Arial" w:hAnsi="Arial"/>
          <w:sz w:val="17"/>
          <w:szCs w:val="17"/>
          <w:color w:val="auto"/>
        </w:rPr>
        <w:t>An increase in written premiums will increase the premiums ceded under our excess of loss treaties. In Six Months 2019, our ceded excess of loss reinsurance premiums increased by $237,000 over the comparable ceded premiums for Six Months 2018. The increase was due to an increase in premiums subject to excess of loss reinsurance.</w:t>
      </w:r>
    </w:p>
    <w:p>
      <w:pPr>
        <w:spacing w:after="0" w:line="114"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Catastrophe reinsurance treaties</w:t>
      </w:r>
    </w:p>
    <w:p>
      <w:pPr>
        <w:spacing w:after="0" w:line="158"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6"/>
          <w:szCs w:val="16"/>
          <w:color w:val="auto"/>
        </w:rPr>
        <w:t>Most of the premiums written under our personal lines are also subject to our catastrophe treaties. An increase in our personal lines business gives rise to more property exposure, which increases our exposure to catastrophe risk; therefore, our premiums ceded under catastrophe treaties will increase. This results in an increase in premiums ceded under our catastrophe treaties provided that reinsurance rates are stable or are increasing. In Six Months 2019, our premiums ceded under catastrophe treaties increased by $2,012,000 over the comparable ceded premiums in Six Months 2018. The increase was due to an increase in our catastrophe coverage and an increase in premiums subject to catastrophe reinsurance, partially offset by more favorable reinsurance rates in Six Months 2019. Our ceded catastrophe premiums are paid based on the total direct written premiums subject to the catastrophe reinsurance treaty.</w:t>
      </w:r>
    </w:p>
    <w:p>
      <w:pPr>
        <w:spacing w:after="0" w:line="107"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Net premiums earned</w:t>
      </w:r>
    </w:p>
    <w:p>
      <w:pPr>
        <w:spacing w:after="0" w:line="158" w:lineRule="exact"/>
        <w:rPr>
          <w:sz w:val="20"/>
          <w:szCs w:val="20"/>
          <w:color w:val="auto"/>
        </w:rPr>
      </w:pPr>
    </w:p>
    <w:p>
      <w:pPr>
        <w:jc w:val="both"/>
        <w:ind w:firstLine="628"/>
        <w:spacing w:after="0" w:line="269" w:lineRule="auto"/>
        <w:rPr>
          <w:sz w:val="20"/>
          <w:szCs w:val="20"/>
          <w:color w:val="auto"/>
        </w:rPr>
      </w:pPr>
      <w:r>
        <w:rPr>
          <w:rFonts w:ascii="Arial" w:cs="Arial" w:eastAsia="Arial" w:hAnsi="Arial"/>
          <w:sz w:val="17"/>
          <w:szCs w:val="17"/>
          <w:color w:val="auto"/>
        </w:rPr>
        <w:t>Net premiums earned increased $13,855,000, or 29.5%, to $60,797,000 in Six Months 2019 from $46,942,000 in Six Months 2018. The increase was due to the increase in written premiums discussed above and our retaining more earned premiums effective July 1, 2018, as a result of the reduction of the quota share reinsurance rate.</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Ceding Commission Revenue</w:t>
      </w:r>
    </w:p>
    <w:p>
      <w:pPr>
        <w:spacing w:after="0" w:line="158"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The following table details the quota share provisional ceding commission rates in effect during Six Months 2019 and Six Months 2018. This table should be referred to in conjunction with the discussion for ceding commission revenue that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580" w:type="dxa"/>
            <w:vAlign w:val="bottom"/>
            <w:gridSpan w:val="4"/>
          </w:tcPr>
          <w:p>
            <w:pPr>
              <w:ind w:left="600"/>
              <w:spacing w:after="0"/>
              <w:rPr>
                <w:sz w:val="20"/>
                <w:szCs w:val="20"/>
                <w:color w:val="auto"/>
              </w:rPr>
            </w:pPr>
            <w:r>
              <w:rPr>
                <w:rFonts w:ascii="Arial" w:cs="Arial" w:eastAsia="Arial" w:hAnsi="Arial"/>
                <w:sz w:val="14"/>
                <w:szCs w:val="14"/>
                <w:b w:val="1"/>
                <w:bCs w:val="1"/>
                <w:color w:val="auto"/>
              </w:rPr>
              <w:t>Six months ended</w:t>
            </w:r>
          </w:p>
        </w:tc>
      </w:tr>
      <w:tr>
        <w:trPr>
          <w:trHeight w:val="200"/>
        </w:trPr>
        <w:tc>
          <w:tcPr>
            <w:tcW w:w="49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3"/>
          </w:tcPr>
          <w:p>
            <w:pPr>
              <w:jc w:val="right"/>
              <w:ind w:right="668"/>
              <w:spacing w:after="0"/>
              <w:rPr>
                <w:sz w:val="20"/>
                <w:szCs w:val="20"/>
                <w:color w:val="auto"/>
              </w:rPr>
            </w:pPr>
            <w:r>
              <w:rPr>
                <w:rFonts w:ascii="Arial" w:cs="Arial" w:eastAsia="Arial" w:hAnsi="Arial"/>
                <w:sz w:val="14"/>
                <w:szCs w:val="14"/>
                <w:b w:val="1"/>
                <w:bCs w:val="1"/>
                <w:color w:val="auto"/>
              </w:rPr>
              <w:t>June 30, 2019</w:t>
            </w:r>
          </w:p>
        </w:tc>
        <w:tc>
          <w:tcPr>
            <w:tcW w:w="280" w:type="dxa"/>
            <w:vAlign w:val="bottom"/>
          </w:tcPr>
          <w:p>
            <w:pPr>
              <w:spacing w:after="0"/>
              <w:rPr>
                <w:sz w:val="17"/>
                <w:szCs w:val="17"/>
                <w:color w:val="auto"/>
              </w:rPr>
            </w:pPr>
          </w:p>
        </w:tc>
      </w:tr>
      <w:tr>
        <w:trPr>
          <w:trHeight w:val="215"/>
        </w:trPr>
        <w:tc>
          <w:tcPr>
            <w:tcW w:w="4920" w:type="dxa"/>
            <w:vAlign w:val="bottom"/>
          </w:tcPr>
          <w:p>
            <w:pPr>
              <w:spacing w:after="0"/>
              <w:rPr>
                <w:sz w:val="18"/>
                <w:szCs w:val="18"/>
                <w:color w:val="auto"/>
              </w:rPr>
            </w:pPr>
          </w:p>
        </w:tc>
        <w:tc>
          <w:tcPr>
            <w:tcW w:w="4860" w:type="dxa"/>
            <w:vAlign w:val="bottom"/>
            <w:gridSpan w:val="3"/>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136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8"/>
                <w:szCs w:val="18"/>
                <w:color w:val="auto"/>
              </w:rPr>
            </w:pPr>
          </w:p>
        </w:tc>
      </w:tr>
      <w:tr>
        <w:trPr>
          <w:trHeight w:val="144"/>
        </w:trPr>
        <w:tc>
          <w:tcPr>
            <w:tcW w:w="4920" w:type="dxa"/>
            <w:vAlign w:val="bottom"/>
          </w:tcPr>
          <w:p>
            <w:pPr>
              <w:spacing w:after="0"/>
              <w:rPr>
                <w:sz w:val="12"/>
                <w:szCs w:val="12"/>
                <w:color w:val="auto"/>
              </w:rPr>
            </w:pPr>
          </w:p>
        </w:tc>
        <w:tc>
          <w:tcPr>
            <w:tcW w:w="3920" w:type="dxa"/>
            <w:vAlign w:val="bottom"/>
            <w:gridSpan w:val="2"/>
          </w:tcPr>
          <w:p>
            <w:pPr>
              <w:spacing w:after="0"/>
              <w:rPr>
                <w:sz w:val="12"/>
                <w:szCs w:val="12"/>
                <w:color w:val="auto"/>
              </w:rPr>
            </w:pPr>
          </w:p>
        </w:tc>
        <w:tc>
          <w:tcPr>
            <w:tcW w:w="940" w:type="dxa"/>
            <w:vAlign w:val="bottom"/>
            <w:tcBorders>
              <w:top w:val="single" w:sz="8" w:color="auto"/>
            </w:tcBorders>
          </w:tcPr>
          <w:p>
            <w:pPr>
              <w:jc w:val="right"/>
              <w:ind w:right="28"/>
              <w:spacing w:after="0" w:line="144" w:lineRule="exact"/>
              <w:rPr>
                <w:sz w:val="20"/>
                <w:szCs w:val="20"/>
                <w:color w:val="auto"/>
              </w:rPr>
            </w:pPr>
            <w:r>
              <w:rPr>
                <w:rFonts w:ascii="Arial" w:cs="Arial" w:eastAsia="Arial" w:hAnsi="Arial"/>
                <w:sz w:val="14"/>
                <w:szCs w:val="14"/>
                <w:b w:val="1"/>
                <w:bCs w:val="1"/>
                <w:color w:val="auto"/>
              </w:rPr>
              <w:t>("2017/2019</w:t>
            </w:r>
          </w:p>
        </w:tc>
        <w:tc>
          <w:tcPr>
            <w:tcW w:w="420" w:type="dxa"/>
            <w:vAlign w:val="bottom"/>
          </w:tcPr>
          <w:p>
            <w:pPr>
              <w:spacing w:after="0"/>
              <w:rPr>
                <w:sz w:val="12"/>
                <w:szCs w:val="12"/>
                <w:color w:val="auto"/>
              </w:rPr>
            </w:pPr>
          </w:p>
        </w:tc>
        <w:tc>
          <w:tcPr>
            <w:tcW w:w="940" w:type="dxa"/>
            <w:vAlign w:val="bottom"/>
            <w:tcBorders>
              <w:top w:val="single" w:sz="8" w:color="auto"/>
            </w:tcBorders>
          </w:tcPr>
          <w:p>
            <w:pPr>
              <w:jc w:val="right"/>
              <w:ind w:right="28"/>
              <w:spacing w:after="0" w:line="144" w:lineRule="exact"/>
              <w:rPr>
                <w:sz w:val="20"/>
                <w:szCs w:val="20"/>
                <w:color w:val="auto"/>
              </w:rPr>
            </w:pPr>
            <w:r>
              <w:rPr>
                <w:rFonts w:ascii="Arial" w:cs="Arial" w:eastAsia="Arial" w:hAnsi="Arial"/>
                <w:sz w:val="14"/>
                <w:szCs w:val="14"/>
                <w:b w:val="1"/>
                <w:bCs w:val="1"/>
                <w:color w:val="auto"/>
              </w:rPr>
              <w:t>("2017/2019</w:t>
            </w:r>
          </w:p>
        </w:tc>
        <w:tc>
          <w:tcPr>
            <w:tcW w:w="280" w:type="dxa"/>
            <w:vAlign w:val="bottom"/>
          </w:tcPr>
          <w:p>
            <w:pPr>
              <w:spacing w:after="0"/>
              <w:rPr>
                <w:sz w:val="12"/>
                <w:szCs w:val="12"/>
                <w:color w:val="auto"/>
              </w:rPr>
            </w:pPr>
          </w:p>
        </w:tc>
      </w:tr>
      <w:tr>
        <w:trPr>
          <w:trHeight w:val="186"/>
        </w:trPr>
        <w:tc>
          <w:tcPr>
            <w:tcW w:w="49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b w:val="1"/>
                <w:bCs w:val="1"/>
                <w:color w:val="auto"/>
              </w:rPr>
              <w:t>Treaty")</w:t>
            </w:r>
          </w:p>
        </w:tc>
        <w:tc>
          <w:tcPr>
            <w:tcW w:w="420" w:type="dxa"/>
            <w:vAlign w:val="bottom"/>
          </w:tcPr>
          <w:p>
            <w:pPr>
              <w:spacing w:after="0"/>
              <w:rPr>
                <w:sz w:val="16"/>
                <w:szCs w:val="16"/>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Treaty")</w:t>
            </w:r>
          </w:p>
        </w:tc>
      </w:tr>
      <w:tr>
        <w:trPr>
          <w:trHeight w:val="428"/>
        </w:trPr>
        <w:tc>
          <w:tcPr>
            <w:tcW w:w="4920" w:type="dxa"/>
            <w:vAlign w:val="bottom"/>
          </w:tcPr>
          <w:p>
            <w:pPr>
              <w:ind w:left="40"/>
              <w:spacing w:after="0"/>
              <w:rPr>
                <w:sz w:val="20"/>
                <w:szCs w:val="20"/>
                <w:color w:val="auto"/>
              </w:rPr>
            </w:pPr>
            <w:r>
              <w:rPr>
                <w:rFonts w:ascii="Arial" w:cs="Arial" w:eastAsia="Arial" w:hAnsi="Arial"/>
                <w:sz w:val="17"/>
                <w:szCs w:val="17"/>
                <w:b w:val="1"/>
                <w:bCs w:val="1"/>
                <w:color w:val="auto"/>
              </w:rPr>
              <w:t>Provisional ceding commission rate on quota share treaty</w:t>
            </w:r>
          </w:p>
        </w:tc>
        <w:tc>
          <w:tcPr>
            <w:tcW w:w="3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10"/>
        </w:trPr>
        <w:tc>
          <w:tcPr>
            <w:tcW w:w="49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Personal lines</w:t>
            </w:r>
          </w:p>
        </w:tc>
        <w:tc>
          <w:tcPr>
            <w:tcW w:w="4860" w:type="dxa"/>
            <w:vAlign w:val="bottom"/>
            <w:gridSpan w:val="3"/>
            <w:shd w:val="clear" w:color="auto" w:fill="CCEEFF"/>
          </w:tcPr>
          <w:p>
            <w:pPr>
              <w:jc w:val="right"/>
              <w:ind w:right="128"/>
              <w:spacing w:after="0"/>
              <w:rPr>
                <w:sz w:val="20"/>
                <w:szCs w:val="20"/>
                <w:color w:val="auto"/>
              </w:rPr>
            </w:pPr>
            <w:r>
              <w:rPr>
                <w:rFonts w:ascii="Arial" w:cs="Arial" w:eastAsia="Arial" w:hAnsi="Arial"/>
                <w:sz w:val="17"/>
                <w:szCs w:val="17"/>
                <w:color w:val="auto"/>
              </w:rPr>
              <w:t>53%</w:t>
            </w:r>
          </w:p>
        </w:tc>
        <w:tc>
          <w:tcPr>
            <w:tcW w:w="1360" w:type="dxa"/>
            <w:vAlign w:val="bottom"/>
            <w:gridSpan w:val="2"/>
            <w:shd w:val="clear" w:color="auto" w:fill="CCEEFF"/>
          </w:tcPr>
          <w:p>
            <w:pPr>
              <w:jc w:val="right"/>
              <w:ind w:right="128"/>
              <w:spacing w:after="0"/>
              <w:rPr>
                <w:sz w:val="20"/>
                <w:szCs w:val="20"/>
                <w:color w:val="auto"/>
              </w:rPr>
            </w:pPr>
            <w:r>
              <w:rPr>
                <w:rFonts w:ascii="Arial" w:cs="Arial" w:eastAsia="Arial" w:hAnsi="Arial"/>
                <w:sz w:val="17"/>
                <w:szCs w:val="17"/>
                <w:color w:val="auto"/>
              </w:rPr>
              <w:t>53%</w:t>
            </w:r>
          </w:p>
        </w:tc>
        <w:tc>
          <w:tcPr>
            <w:tcW w:w="280" w:type="dxa"/>
            <w:vAlign w:val="bottom"/>
            <w:shd w:val="clear" w:color="auto" w:fill="CCEEFF"/>
          </w:tcPr>
          <w:p>
            <w:pPr>
              <w:spacing w:after="0"/>
              <w:rPr>
                <w:sz w:val="18"/>
                <w:szCs w:val="18"/>
                <w:color w:val="auto"/>
              </w:rPr>
            </w:pPr>
          </w:p>
        </w:tc>
      </w:tr>
      <w:tr>
        <w:trPr>
          <w:trHeight w:val="653"/>
        </w:trPr>
        <w:tc>
          <w:tcPr>
            <w:tcW w:w="492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jc w:val="right"/>
              <w:ind w:right="2939"/>
              <w:spacing w:after="0"/>
              <w:rPr>
                <w:sz w:val="20"/>
                <w:szCs w:val="20"/>
                <w:color w:val="auto"/>
              </w:rPr>
            </w:pPr>
            <w:r>
              <w:rPr>
                <w:rFonts w:ascii="Arial" w:cs="Arial" w:eastAsia="Arial" w:hAnsi="Arial"/>
                <w:sz w:val="17"/>
                <w:szCs w:val="17"/>
                <w:color w:val="auto"/>
              </w:rPr>
              <w:t>46</w:t>
            </w: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49" w:name="page50"/>
    <w:bookmarkEnd w:id="49"/>
    <w:p>
      <w:pPr>
        <w:ind w:left="640"/>
        <w:spacing w:after="0"/>
        <w:rPr>
          <w:sz w:val="20"/>
          <w:szCs w:val="20"/>
          <w:color w:val="auto"/>
        </w:rPr>
      </w:pPr>
      <w:r>
        <w:rPr>
          <w:rFonts w:ascii="Arial" w:cs="Arial" w:eastAsia="Arial" w:hAnsi="Arial"/>
          <w:sz w:val="17"/>
          <w:szCs w:val="17"/>
          <w:color w:val="auto"/>
        </w:rPr>
        <w:t>The following table summarizes the changes in the components of ceding commission revenue (in thousands) for the periods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080" w:type="dxa"/>
            <w:vAlign w:val="bottom"/>
            <w:vMerge w:val="restart"/>
          </w:tcPr>
          <w:p>
            <w:pPr>
              <w:spacing w:after="0"/>
              <w:rPr>
                <w:sz w:val="20"/>
                <w:szCs w:val="20"/>
                <w:color w:val="auto"/>
              </w:rPr>
            </w:pPr>
            <w:r>
              <w:rPr>
                <w:rFonts w:ascii="Arial" w:cs="Arial" w:eastAsia="Arial" w:hAnsi="Arial"/>
                <w:sz w:val="17"/>
                <w:szCs w:val="17"/>
                <w:b w:val="1"/>
                <w:bCs w:val="1"/>
                <w:color w:val="auto"/>
              </w:rPr>
              <w:t>($ in thousands)</w:t>
            </w: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6"/>
          </w:tcPr>
          <w:p>
            <w:pPr>
              <w:jc w:val="right"/>
              <w:ind w:right="780"/>
              <w:spacing w:after="0"/>
              <w:rPr>
                <w:sz w:val="20"/>
                <w:szCs w:val="20"/>
                <w:color w:val="auto"/>
              </w:rPr>
            </w:pPr>
            <w:r>
              <w:rPr>
                <w:rFonts w:ascii="Arial" w:cs="Arial" w:eastAsia="Arial" w:hAnsi="Arial"/>
                <w:sz w:val="14"/>
                <w:szCs w:val="14"/>
                <w:b w:val="1"/>
                <w:bCs w:val="1"/>
                <w:color w:val="auto"/>
                <w:w w:val="96"/>
              </w:rPr>
              <w:t>Six months ended June 30,</w:t>
            </w:r>
          </w:p>
        </w:tc>
        <w:tc>
          <w:tcPr>
            <w:tcW w:w="1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0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317"/>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Change</w:t>
            </w:r>
          </w:p>
        </w:tc>
        <w:tc>
          <w:tcPr>
            <w:tcW w:w="1280" w:type="dxa"/>
            <w:vAlign w:val="bottom"/>
            <w:gridSpan w:val="4"/>
          </w:tcPr>
          <w:p>
            <w:pPr>
              <w:ind w:left="32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35"/>
        </w:trPr>
        <w:tc>
          <w:tcPr>
            <w:tcW w:w="60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08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Provisional ceding commissions earned</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2,681</w:t>
            </w: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4,213</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(1,532)</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(36.4)%</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8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Contingent ceding commissions earned</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80" w:type="dxa"/>
            <w:vAlign w:val="bottom"/>
          </w:tcPr>
          <w:p>
            <w:pPr>
              <w:ind w:left="200"/>
              <w:spacing w:after="0"/>
              <w:rPr>
                <w:sz w:val="20"/>
                <w:szCs w:val="20"/>
                <w:color w:val="auto"/>
              </w:rPr>
            </w:pPr>
            <w:r>
              <w:rPr>
                <w:rFonts w:ascii="Arial" w:cs="Arial" w:eastAsia="Arial" w:hAnsi="Arial"/>
                <w:sz w:val="17"/>
                <w:szCs w:val="17"/>
                <w:color w:val="auto"/>
              </w:rPr>
              <w:t>Contingent ceding commissions earned excluding</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8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the effect of catastrophes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(728)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(368)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(360)</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97.8%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80" w:type="dxa"/>
            <w:vAlign w:val="bottom"/>
          </w:tcPr>
          <w:p>
            <w:pPr>
              <w:ind w:left="200"/>
              <w:spacing w:after="0"/>
              <w:rPr>
                <w:sz w:val="20"/>
                <w:szCs w:val="20"/>
                <w:color w:val="auto"/>
              </w:rPr>
            </w:pPr>
            <w:r>
              <w:rPr>
                <w:rFonts w:ascii="Arial" w:cs="Arial" w:eastAsia="Arial" w:hAnsi="Arial"/>
                <w:sz w:val="17"/>
                <w:szCs w:val="17"/>
                <w:color w:val="auto"/>
              </w:rPr>
              <w:t>Effect of catastrophes on ceding commissions earned</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(459)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459</w:t>
            </w:r>
          </w:p>
        </w:tc>
        <w:tc>
          <w:tcPr>
            <w:tcW w:w="260" w:type="dxa"/>
            <w:vAlign w:val="bottom"/>
          </w:tcPr>
          <w:p>
            <w:pPr>
              <w:spacing w:after="0"/>
              <w:rPr>
                <w:sz w:val="18"/>
                <w:szCs w:val="18"/>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7"/>
                <w:szCs w:val="17"/>
                <w:color w:val="auto"/>
              </w:rPr>
              <w:t>n/a</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0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60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Contingent ceding commissions earned</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(728)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(827)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2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8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ceding commission revenue</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1,953</w:t>
            </w:r>
          </w:p>
        </w:tc>
        <w:tc>
          <w:tcPr>
            <w:tcW w:w="16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3,386</w:t>
            </w:r>
          </w:p>
        </w:tc>
        <w:tc>
          <w:tcPr>
            <w:tcW w:w="16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(1,433)</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(42.3)%</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jc w:val="both"/>
        <w:ind w:right="60" w:firstLine="628"/>
        <w:spacing w:after="0" w:line="265" w:lineRule="auto"/>
        <w:rPr>
          <w:sz w:val="20"/>
          <w:szCs w:val="20"/>
          <w:color w:val="auto"/>
        </w:rPr>
      </w:pPr>
      <w:r>
        <w:rPr>
          <w:rFonts w:ascii="Arial" w:cs="Arial" w:eastAsia="Arial" w:hAnsi="Arial"/>
          <w:sz w:val="17"/>
          <w:szCs w:val="17"/>
          <w:color w:val="auto"/>
        </w:rPr>
        <w:t>Ceding commission revenue was $1,953,000 in Six Months 2019 compared to $3,386,000 in Six Months 2018. The decrease of $1,433,000, or 42.3%, was due to a decrease in provisional ceding commissions earned, partially offset by an increase in contingent ceding commissions earned. The reduction in provisional ceding commissions occurred due to the decision to retain more of our profitable business (see below for discussion of provisional ceding commissions earned and contingent ceding commissions earned).</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Provisional Ceding Commissions Earned</w:t>
      </w:r>
    </w:p>
    <w:p>
      <w:pPr>
        <w:spacing w:after="0" w:line="158" w:lineRule="exact"/>
        <w:rPr>
          <w:sz w:val="20"/>
          <w:szCs w:val="20"/>
          <w:color w:val="auto"/>
        </w:rPr>
      </w:pPr>
    </w:p>
    <w:p>
      <w:pPr>
        <w:jc w:val="both"/>
        <w:ind w:right="60" w:firstLine="628"/>
        <w:spacing w:after="0" w:line="265" w:lineRule="auto"/>
        <w:rPr>
          <w:sz w:val="20"/>
          <w:szCs w:val="20"/>
          <w:color w:val="auto"/>
        </w:rPr>
      </w:pPr>
      <w:r>
        <w:rPr>
          <w:rFonts w:ascii="Arial" w:cs="Arial" w:eastAsia="Arial" w:hAnsi="Arial"/>
          <w:sz w:val="17"/>
          <w:szCs w:val="17"/>
          <w:color w:val="auto"/>
        </w:rPr>
        <w:t>We receive a provisional ceding commission based on ceded written premiums. The $1,532,000 decrease in provisional ceding commissions earned is primarily due to the decrease in the quota share ceding rate effective July 1, 2018 to 10%, from the 20% rate in effect from July 1, 2017 through June 30, 2018. Thus there were fewer ceded premiums in Six Months 2019 available to earn ceding commissions than there were in Six Months 2018. The decrease was partially offset by an increase in personal lines direct written premiums subject to the quota.</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Contingent Ceding Commissions Earned</w:t>
      </w:r>
    </w:p>
    <w:p>
      <w:pPr>
        <w:spacing w:after="0" w:line="158" w:lineRule="exact"/>
        <w:rPr>
          <w:sz w:val="20"/>
          <w:szCs w:val="20"/>
          <w:color w:val="auto"/>
        </w:rPr>
      </w:pPr>
    </w:p>
    <w:p>
      <w:pPr>
        <w:jc w:val="both"/>
        <w:ind w:right="60" w:firstLine="628"/>
        <w:spacing w:after="0" w:line="311" w:lineRule="auto"/>
        <w:rPr>
          <w:sz w:val="20"/>
          <w:szCs w:val="20"/>
          <w:color w:val="auto"/>
        </w:rPr>
      </w:pPr>
      <w:r>
        <w:rPr>
          <w:rFonts w:ascii="Arial" w:cs="Arial" w:eastAsia="Arial" w:hAnsi="Arial"/>
          <w:sz w:val="15"/>
          <w:szCs w:val="15"/>
          <w:color w:val="auto"/>
        </w:rPr>
        <w:t>We receive a contingent ceding commission based on a sliding scale in relation to the losses incurred under our quota share treaties. The lower the ceded loss ratio, the more contingent commission we receive. The amount of contingent ceding commissions we are eligible to receive under the 2017/2019 Treaty is subject to change based on losses incurred from claims with accident dates beginning July 1, 2017. The amount of contingent ceding commissions we are eligible to receive under our prior years’ quota share treaties is subject to change based on losses incurred related to claims with accident dates before July 1, 2017.</w:t>
      </w:r>
    </w:p>
    <w:p>
      <w:pPr>
        <w:spacing w:after="0" w:line="87" w:lineRule="exact"/>
        <w:rPr>
          <w:sz w:val="20"/>
          <w:szCs w:val="20"/>
          <w:color w:val="auto"/>
        </w:rPr>
      </w:pPr>
    </w:p>
    <w:p>
      <w:pPr>
        <w:jc w:val="both"/>
        <w:ind w:right="60" w:firstLine="628"/>
        <w:spacing w:after="0" w:line="277" w:lineRule="auto"/>
        <w:rPr>
          <w:sz w:val="20"/>
          <w:szCs w:val="20"/>
          <w:color w:val="auto"/>
        </w:rPr>
      </w:pPr>
      <w:r>
        <w:rPr>
          <w:rFonts w:ascii="Arial" w:cs="Arial" w:eastAsia="Arial" w:hAnsi="Arial"/>
          <w:sz w:val="16"/>
          <w:szCs w:val="16"/>
          <w:color w:val="auto"/>
        </w:rPr>
        <w:t>The 2017/2019 Treaty structure limits the amount of contingent ceding commissions that we can receive by setting a higher provisional commission rate than the rates received in prior years. As a result of the higher upfront provisional ceding commissions that we receive under the 2017/2019 Treaty, there is not an opportunity to earn additional contingent ceding commissions under this treaty. Under our current “net” treaty structure, catastrophe losses in excess of the $5,000,000 retention will fall outside of the quota share treaty and such losses will not have an impact on contingent ceding commissions. In Six Months 2018, catastrophe losses of $1,433,000 were ceded under our personal lines quota share treaty. These catastrophe losses resulted in the Loss Ratios for the period July 1, 2017 through June 30, 2018 (attributable to the 2017/2019 Treaty) being higher than the contractual Loss Ratio at which provisional ceding commissions were being earned. As a result, we incurred a negative adjustment or reduction to the contingent ceding commissions of $459,000 relative to what would have been earned had the catastrophe losses not occurred. Effective July 1, 2018, the provisional ceding commission rate was a fixed rate with no downward adjustment required related to Loss Ratio, accordingly, in 2019, catastrophe losses of $763,000 that were ceded under our personal lines quota share treaty did not have an effect on contingent ceding commissions. See “Reinsurance” below for changes to our personal lines quota share treaty effective July 1, 2018.</w:t>
      </w:r>
    </w:p>
    <w:p>
      <w:pPr>
        <w:spacing w:after="0" w:line="200" w:lineRule="exact"/>
        <w:rPr>
          <w:sz w:val="20"/>
          <w:szCs w:val="20"/>
          <w:color w:val="auto"/>
        </w:rPr>
      </w:pPr>
    </w:p>
    <w:p>
      <w:pPr>
        <w:spacing w:after="0" w:line="214"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80"/>
          </w:cols>
          <w:pgMar w:left="240" w:top="576" w:right="179" w:bottom="1440" w:gutter="0" w:footer="0" w:header="0"/>
        </w:sectPr>
      </w:pPr>
    </w:p>
    <w:bookmarkStart w:id="50" w:name="page51"/>
    <w:bookmarkEnd w:id="50"/>
    <w:p>
      <w:pPr>
        <w:spacing w:after="0"/>
        <w:rPr>
          <w:sz w:val="20"/>
          <w:szCs w:val="20"/>
          <w:color w:val="auto"/>
        </w:rPr>
      </w:pPr>
      <w:r>
        <w:rPr>
          <w:rFonts w:ascii="Arial" w:cs="Arial" w:eastAsia="Arial" w:hAnsi="Arial"/>
          <w:sz w:val="17"/>
          <w:szCs w:val="17"/>
          <w:u w:val="single" w:color="auto"/>
          <w:color w:val="auto"/>
        </w:rPr>
        <w:t>Net Investment Income</w:t>
      </w:r>
    </w:p>
    <w:p>
      <w:pPr>
        <w:spacing w:after="0" w:line="158" w:lineRule="exact"/>
        <w:rPr>
          <w:sz w:val="20"/>
          <w:szCs w:val="20"/>
          <w:color w:val="auto"/>
        </w:rPr>
      </w:pPr>
    </w:p>
    <w:p>
      <w:pPr>
        <w:jc w:val="both"/>
        <w:ind w:firstLine="628"/>
        <w:spacing w:after="0" w:line="269" w:lineRule="auto"/>
        <w:rPr>
          <w:sz w:val="20"/>
          <w:szCs w:val="20"/>
          <w:color w:val="auto"/>
        </w:rPr>
      </w:pPr>
      <w:r>
        <w:rPr>
          <w:rFonts w:ascii="Arial" w:cs="Arial" w:eastAsia="Arial" w:hAnsi="Arial"/>
          <w:sz w:val="17"/>
          <w:szCs w:val="17"/>
          <w:color w:val="auto"/>
        </w:rPr>
        <w:t>Net investment income was $3,343,000 in Six Months 2019 compared to $2,941,000 in Six Months 2018. The increase of $402,000, or 13.7%, was due to an increase in average invested assets in 2019. The average yield on invested assets was 3.64% as of June 30, 2019 compared to 3.74% as of June 30, 2018. The pre-tax equivalent yield on invested assets was 3.43% and 3.41% as of June 30, 2019 and 2018, respectively.</w:t>
      </w:r>
    </w:p>
    <w:p>
      <w:pPr>
        <w:spacing w:after="0" w:line="114"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Cash and invested assets were $212,130,000 as of June 30, 2019 compared to $186,310,000 as of June 30, 2018. The $25,820,000 increase in cash and invested assets resulted primarily from increased operating cash flows for the period after June 30, 2018.</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Net Gains and Losses on Investments</w:t>
      </w:r>
    </w:p>
    <w:p>
      <w:pPr>
        <w:spacing w:after="0" w:line="158" w:lineRule="exact"/>
        <w:rPr>
          <w:sz w:val="20"/>
          <w:szCs w:val="20"/>
          <w:color w:val="auto"/>
        </w:rPr>
      </w:pPr>
    </w:p>
    <w:p>
      <w:pPr>
        <w:jc w:val="both"/>
        <w:ind w:firstLine="628"/>
        <w:spacing w:after="0" w:line="269" w:lineRule="auto"/>
        <w:rPr>
          <w:sz w:val="20"/>
          <w:szCs w:val="20"/>
          <w:color w:val="auto"/>
        </w:rPr>
      </w:pPr>
      <w:r>
        <w:rPr>
          <w:rFonts w:ascii="Arial" w:cs="Arial" w:eastAsia="Arial" w:hAnsi="Arial"/>
          <w:sz w:val="17"/>
          <w:szCs w:val="17"/>
          <w:color w:val="auto"/>
        </w:rPr>
        <w:t>Net gains on investments were $2,714,000 in Six Months 2019 compared to a net loss of $630,000 in Six Months 2018. Unrealized gains on our equity securities and other investments in Six Months 2019 were $2,713,000, compared to an unrealized loss of $310,000 in Six Months 2018. Realized gains on sales of investments were $1,000 in Six Months 2019 compared to realized losses of $320,000 in Six Months 2018.</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Income</w:t>
      </w:r>
    </w:p>
    <w:p>
      <w:pPr>
        <w:spacing w:after="0" w:line="158"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Other income was $696,000 in Six Months 2019 compared to $609,000 in Six Months 2018. The increase of $87,000, or 14.3%, was primarily due to an increase in installment and other fees earned in our insurance underwriting business.</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Net Loss and LAE</w:t>
      </w:r>
    </w:p>
    <w:p>
      <w:pPr>
        <w:spacing w:after="0" w:line="158"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Net loss and LAE was $46,806,000 in Six Months 2019 compared to $28,442,000 in Six Months 2018. The net loss ratio was 77.0% in Six Months 2019 compared to 60.6% in Six Months 2018, an increase of 16.4 percentage points.</w:t>
      </w:r>
    </w:p>
    <w:p>
      <w:pPr>
        <w:spacing w:after="0" w:line="170"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The following graphs summarize the changes in the components of net loss ratio for the periods indicated, along with the comparable components excluding commercial lines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1821815</wp:posOffset>
            </wp:positionH>
            <wp:positionV relativeFrom="paragraph">
              <wp:posOffset>113665</wp:posOffset>
            </wp:positionV>
            <wp:extent cx="4011930" cy="29565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011930" cy="2956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51" w:name="page52"/>
    <w:bookmarkEnd w:id="51"/>
    <w:p>
      <w:pPr>
        <w:jc w:val="both"/>
        <w:ind w:firstLine="628"/>
        <w:spacing w:after="0" w:line="263" w:lineRule="auto"/>
        <w:rPr>
          <w:sz w:val="20"/>
          <w:szCs w:val="20"/>
          <w:color w:val="auto"/>
        </w:rPr>
      </w:pPr>
      <w:r>
        <w:rPr>
          <w:rFonts w:ascii="Arial" w:cs="Arial" w:eastAsia="Arial" w:hAnsi="Arial"/>
          <w:sz w:val="17"/>
          <w:szCs w:val="17"/>
          <w:color w:val="auto"/>
        </w:rPr>
        <w:t>During the Six Months 2019, the loss ratio was elevated due to three factors. First, there was a higher than normal level of catastrophe loss activity, primarily related to a single large freeze event in Mid-January with a $4.3 million impact. In total, there are five PCS catastrophe events affecting KICO in 2019 with a net impact of $6.5 million, or 10.7 points on the loss ratio. This compares to a 12.2 point impact from six catastrophe events for the same period in 2018, or a 1.5 point reduction in the impact of catastrophe losses. Although catastrophe activity has had a slightly lower impact on the loss ratio in 2019, it was still well above the 10-year average impact through the first Six Months.</w:t>
      </w:r>
    </w:p>
    <w:p>
      <w:pPr>
        <w:spacing w:after="0" w:line="185" w:lineRule="exact"/>
        <w:rPr>
          <w:sz w:val="20"/>
          <w:szCs w:val="20"/>
          <w:color w:val="auto"/>
        </w:rPr>
      </w:pPr>
    </w:p>
    <w:p>
      <w:pPr>
        <w:jc w:val="both"/>
        <w:ind w:firstLine="628"/>
        <w:spacing w:after="0" w:line="279" w:lineRule="auto"/>
        <w:rPr>
          <w:sz w:val="20"/>
          <w:szCs w:val="20"/>
          <w:color w:val="auto"/>
        </w:rPr>
      </w:pPr>
      <w:r>
        <w:rPr>
          <w:rFonts w:ascii="Arial" w:cs="Arial" w:eastAsia="Arial" w:hAnsi="Arial"/>
          <w:sz w:val="16"/>
          <w:szCs w:val="16"/>
          <w:color w:val="auto"/>
        </w:rPr>
        <w:t>A second major impact on the loss ratio was reserve strengthening for prior years of $6.1 million, which had a 10.0 point impact on the loss ratio. This compares to 0.5 points of prior year development in Six Months 2018, or an increase of 9.5 points in the impact of prior year loss development. During the early part of 2019 it was determined that significant case reserve strengthening was required for older liability claims, particularly from commercial lines business. This in turn led to our decision to cease writing commercial lines policies in July 2019. Of the prior year reserve strengthening through Six Months 2019, 72% is related to commercial lines liability business. This has significantly increased the ultimate loss ratio projections for commercial lines liability business in accident years 2014 and forward, and leads to the conclusion that the business is no longer profitable. Excluding commercial lines, prior year development for the Six Months 2019 was 3.1 points, compared to 2.0 points of adverse prior year development for the Six Months 2018.</w:t>
      </w:r>
    </w:p>
    <w:p>
      <w:pPr>
        <w:spacing w:after="0" w:line="177" w:lineRule="exact"/>
        <w:rPr>
          <w:sz w:val="20"/>
          <w:szCs w:val="20"/>
          <w:color w:val="auto"/>
        </w:rPr>
      </w:pPr>
    </w:p>
    <w:p>
      <w:pPr>
        <w:jc w:val="both"/>
        <w:ind w:firstLine="628"/>
        <w:spacing w:after="0" w:line="261" w:lineRule="auto"/>
        <w:rPr>
          <w:sz w:val="20"/>
          <w:szCs w:val="20"/>
          <w:color w:val="auto"/>
        </w:rPr>
      </w:pPr>
      <w:r>
        <w:rPr>
          <w:rFonts w:ascii="Arial" w:cs="Arial" w:eastAsia="Arial" w:hAnsi="Arial"/>
          <w:sz w:val="17"/>
          <w:szCs w:val="17"/>
          <w:color w:val="auto"/>
        </w:rPr>
        <w:t>Finally, the underlying loss ratio excluding the impact of catastrophes and prior year development was 56.3% for the Six Months 2019, an increase of 8.4 points from the 47.9% underlying loss ratio recorded for Six Months 2018. The underlying loss ratio increased compared to Six Months 2018 due to continued increases in average claim severity for non-weather water damage property claims. In addition, the underlying loss ratio for the Six Months 2019 is affected by increased loss ratio expectations for commercial lines as a result of increases in our prior year loss ratio estimates for that business as noted above. Excluding commercial lines, the underlying loss ratio excluding the impact of catastrophes and prior year development for the Six Months 2019 was 53.1%, an increase of 6.7 points from the 46.4% underlying loss ratio recorded for the Six Months 2018. See table below under “Additional Financial Information” summarizing net loss ratios by line of business.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Commission Expense</w:t>
      </w:r>
    </w:p>
    <w:p>
      <w:pPr>
        <w:spacing w:after="0" w:line="223" w:lineRule="exact"/>
        <w:rPr>
          <w:sz w:val="20"/>
          <w:szCs w:val="20"/>
          <w:color w:val="auto"/>
        </w:rPr>
      </w:pPr>
    </w:p>
    <w:p>
      <w:pPr>
        <w:jc w:val="both"/>
        <w:ind w:firstLine="628"/>
        <w:spacing w:after="0" w:line="269" w:lineRule="auto"/>
        <w:rPr>
          <w:sz w:val="20"/>
          <w:szCs w:val="20"/>
          <w:color w:val="auto"/>
        </w:rPr>
      </w:pPr>
      <w:r>
        <w:rPr>
          <w:rFonts w:ascii="Arial" w:cs="Arial" w:eastAsia="Arial" w:hAnsi="Arial"/>
          <w:sz w:val="17"/>
          <w:szCs w:val="17"/>
          <w:color w:val="auto"/>
        </w:rPr>
        <w:t>Commission expense was $14,153,000 in Six Months 2019 or 18.7% of direct earned premiums. Commission expense was $11,817,000 in Six Months 2018 or 18.8% of direct earned premiums. The increase of $2,336,000 is primarily due to the increase in direct earned premiums for Six Months 2019 as compared to Six Months 2018.</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Underwriting Expenses</w:t>
      </w:r>
    </w:p>
    <w:p>
      <w:pPr>
        <w:spacing w:after="0" w:line="158" w:lineRule="exact"/>
        <w:rPr>
          <w:sz w:val="20"/>
          <w:szCs w:val="20"/>
          <w:color w:val="auto"/>
        </w:rPr>
      </w:pPr>
    </w:p>
    <w:p>
      <w:pPr>
        <w:jc w:val="both"/>
        <w:ind w:firstLine="628"/>
        <w:spacing w:after="0" w:line="311" w:lineRule="auto"/>
        <w:rPr>
          <w:sz w:val="20"/>
          <w:szCs w:val="20"/>
          <w:color w:val="auto"/>
        </w:rPr>
      </w:pPr>
      <w:r>
        <w:rPr>
          <w:rFonts w:ascii="Arial" w:cs="Arial" w:eastAsia="Arial" w:hAnsi="Arial"/>
          <w:sz w:val="15"/>
          <w:szCs w:val="15"/>
          <w:color w:val="auto"/>
        </w:rPr>
        <w:t>Other underwriting expenses were $11,552,000 in Six Months 2019 compared to $10,107,000 in Six Months 2018. The increase of $1,445,000, or 14.3%, was primarily due to expenses related to growth in direct written premiums. Expenses directly related to the increase in direct written premiums primarily consist of underwriting expenses, software usage fees, and state premium taxes. Expenses indirectly related to the increase in direct written premiums primarily consist of salaries along with related other employment costs. The 14.3 percentage point increase of other underwriting was less than the 20.4% increase in total direct written premiums.</w:t>
      </w:r>
    </w:p>
    <w:p>
      <w:pPr>
        <w:spacing w:after="0" w:line="87" w:lineRule="exact"/>
        <w:rPr>
          <w:sz w:val="20"/>
          <w:szCs w:val="20"/>
          <w:color w:val="auto"/>
        </w:rPr>
      </w:pPr>
    </w:p>
    <w:p>
      <w:pPr>
        <w:jc w:val="both"/>
        <w:ind w:firstLine="628"/>
        <w:spacing w:after="0" w:line="321" w:lineRule="auto"/>
        <w:rPr>
          <w:sz w:val="20"/>
          <w:szCs w:val="20"/>
          <w:color w:val="auto"/>
        </w:rPr>
      </w:pPr>
      <w:r>
        <w:rPr>
          <w:rFonts w:ascii="Arial" w:cs="Arial" w:eastAsia="Arial" w:hAnsi="Arial"/>
          <w:sz w:val="15"/>
          <w:szCs w:val="15"/>
          <w:color w:val="auto"/>
        </w:rPr>
        <w:t>Our largest component of other underwriting expenses is salaries and employment, which costs were $4,899,000 in Six Months 2019 compared to $4,522,000 in Six Months 2018. The increase of $377,000, or 8.3%, was less than the 20.4% increase in total direct written premiums. The increase in employment costs was due to hiring of additional staff to service our current level of business and anticipated growth in volume, as well as annual increases in salaries.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52" w:name="page53"/>
    <w:bookmarkEnd w:id="52"/>
    <w:p>
      <w:pPr>
        <w:jc w:val="both"/>
        <w:ind w:firstLine="628"/>
        <w:spacing w:after="0" w:line="281" w:lineRule="auto"/>
        <w:rPr>
          <w:sz w:val="20"/>
          <w:szCs w:val="20"/>
          <w:color w:val="auto"/>
        </w:rPr>
      </w:pPr>
      <w:r>
        <w:rPr>
          <w:rFonts w:ascii="Arial" w:cs="Arial" w:eastAsia="Arial" w:hAnsi="Arial"/>
          <w:sz w:val="17"/>
          <w:szCs w:val="17"/>
          <w:color w:val="auto"/>
        </w:rPr>
        <w:t>Our net underwriting expense ratio in Six Months 2019 was 38.0% compared to 38.2% in Six Months 2018. The following table shows the individual components of our net underwriting expense ratio for the periods indicated: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Six months ended</w:t>
            </w: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44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68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15"/>
        </w:trPr>
        <w:tc>
          <w:tcPr>
            <w:tcW w:w="7460" w:type="dxa"/>
            <w:vAlign w:val="bottom"/>
            <w:gridSpan w:val="2"/>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w w:val="83"/>
              </w:rPr>
              <w:t>2018</w:t>
            </w:r>
          </w:p>
        </w:tc>
        <w:tc>
          <w:tcPr>
            <w:tcW w:w="260" w:type="dxa"/>
            <w:vAlign w:val="bottom"/>
          </w:tcPr>
          <w:p>
            <w:pPr>
              <w:spacing w:after="0"/>
              <w:rPr>
                <w:sz w:val="18"/>
                <w:szCs w:val="18"/>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Point Change</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0"/>
        </w:trPr>
        <w:tc>
          <w:tcPr>
            <w:tcW w:w="8160" w:type="dxa"/>
            <w:vAlign w:val="bottom"/>
            <w:gridSpan w:val="3"/>
          </w:tcPr>
          <w:p>
            <w:pPr>
              <w:spacing w:after="0"/>
              <w:rPr>
                <w:sz w:val="20"/>
                <w:szCs w:val="20"/>
                <w:color w:val="auto"/>
              </w:rPr>
            </w:pPr>
            <w:r>
              <w:rPr>
                <w:rFonts w:ascii="Arial" w:cs="Arial" w:eastAsia="Arial" w:hAnsi="Arial"/>
                <w:sz w:val="17"/>
                <w:szCs w:val="17"/>
                <w:color w:val="auto"/>
              </w:rPr>
              <w:t>Other underwriting expenses</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Employment costs</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8.1%</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9.6%</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40" w:type="dxa"/>
            <w:vAlign w:val="bottom"/>
            <w:gridSpan w:val="2"/>
          </w:tcPr>
          <w:p>
            <w:pPr>
              <w:ind w:left="300"/>
              <w:spacing w:after="0"/>
              <w:rPr>
                <w:sz w:val="20"/>
                <w:szCs w:val="20"/>
                <w:color w:val="auto"/>
              </w:rPr>
            </w:pPr>
            <w:r>
              <w:rPr>
                <w:rFonts w:ascii="Arial" w:cs="Arial" w:eastAsia="Arial" w:hAnsi="Arial"/>
                <w:sz w:val="17"/>
                <w:szCs w:val="17"/>
                <w:color w:val="auto"/>
              </w:rPr>
              <w:t>Underwriting fees (inspections/data services)</w:t>
            </w:r>
          </w:p>
        </w:tc>
        <w:tc>
          <w:tcPr>
            <w:tcW w:w="400" w:type="dxa"/>
            <w:vAlign w:val="bottom"/>
          </w:tcPr>
          <w:p>
            <w:pPr>
              <w:jc w:val="right"/>
              <w:spacing w:after="0"/>
              <w:rPr>
                <w:sz w:val="20"/>
                <w:szCs w:val="20"/>
                <w:color w:val="auto"/>
              </w:rPr>
            </w:pPr>
            <w:r>
              <w:rPr>
                <w:rFonts w:ascii="Arial" w:cs="Arial" w:eastAsia="Arial" w:hAnsi="Arial"/>
                <w:sz w:val="17"/>
                <w:szCs w:val="17"/>
                <w:color w:val="auto"/>
              </w:rPr>
              <w:t>2.4</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2.5</w:t>
            </w:r>
          </w:p>
        </w:tc>
        <w:tc>
          <w:tcPr>
            <w:tcW w:w="2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Other expenses</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44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7440" w:type="dxa"/>
            <w:vAlign w:val="bottom"/>
          </w:tcPr>
          <w:p>
            <w:pPr>
              <w:ind w:left="140"/>
              <w:spacing w:after="0"/>
              <w:rPr>
                <w:sz w:val="20"/>
                <w:szCs w:val="20"/>
                <w:color w:val="auto"/>
              </w:rPr>
            </w:pPr>
            <w:r>
              <w:rPr>
                <w:rFonts w:ascii="Arial" w:cs="Arial" w:eastAsia="Arial" w:hAnsi="Arial"/>
                <w:sz w:val="17"/>
                <w:szCs w:val="17"/>
                <w:color w:val="auto"/>
              </w:rPr>
              <w:t>Total other underwriting expenses</w:t>
            </w:r>
          </w:p>
        </w:tc>
        <w:tc>
          <w:tcPr>
            <w:tcW w:w="7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19.1</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21.4</w:t>
            </w:r>
          </w:p>
        </w:tc>
        <w:tc>
          <w:tcPr>
            <w:tcW w:w="2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44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140" w:type="dxa"/>
            <w:vAlign w:val="bottom"/>
            <w:gridSpan w:val="2"/>
          </w:tcPr>
          <w:p>
            <w:pPr>
              <w:spacing w:after="0"/>
              <w:rPr>
                <w:sz w:val="20"/>
                <w:szCs w:val="20"/>
                <w:color w:val="auto"/>
              </w:rPr>
            </w:pPr>
            <w:r>
              <w:rPr>
                <w:rFonts w:ascii="Arial" w:cs="Arial" w:eastAsia="Arial" w:hAnsi="Arial"/>
                <w:sz w:val="17"/>
                <w:szCs w:val="17"/>
                <w:color w:val="auto"/>
              </w:rPr>
              <w:t>Ceding commission revenue</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Provisional</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(4.4)</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(9.0)</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40" w:type="dxa"/>
            <w:vAlign w:val="bottom"/>
          </w:tcPr>
          <w:p>
            <w:pPr>
              <w:ind w:left="300"/>
              <w:spacing w:after="0"/>
              <w:rPr>
                <w:sz w:val="20"/>
                <w:szCs w:val="20"/>
                <w:color w:val="auto"/>
              </w:rPr>
            </w:pPr>
            <w:r>
              <w:rPr>
                <w:rFonts w:ascii="Arial" w:cs="Arial" w:eastAsia="Arial" w:hAnsi="Arial"/>
                <w:sz w:val="17"/>
                <w:szCs w:val="17"/>
                <w:color w:val="auto"/>
              </w:rPr>
              <w:t>Contingent</w:t>
            </w:r>
          </w:p>
        </w:tc>
        <w:tc>
          <w:tcPr>
            <w:tcW w:w="7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1.2</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1.8</w:t>
            </w:r>
          </w:p>
        </w:tc>
        <w:tc>
          <w:tcPr>
            <w:tcW w:w="2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7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ceding commission revenue</w:t>
            </w:r>
          </w:p>
        </w:tc>
        <w:tc>
          <w:tcPr>
            <w:tcW w:w="7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(3.2)</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(7.2)</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440" w:type="dxa"/>
            <w:vAlign w:val="bottom"/>
            <w:tcBorders>
              <w:top w:val="single" w:sz="8" w:color="CCEEFF"/>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income</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(1.1)</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(1.2)</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40" w:type="dxa"/>
            <w:vAlign w:val="bottom"/>
            <w:gridSpan w:val="2"/>
          </w:tcPr>
          <w:p>
            <w:pPr>
              <w:spacing w:after="0"/>
              <w:rPr>
                <w:sz w:val="20"/>
                <w:szCs w:val="20"/>
                <w:color w:val="auto"/>
              </w:rPr>
            </w:pPr>
            <w:r>
              <w:rPr>
                <w:rFonts w:ascii="Arial" w:cs="Arial" w:eastAsia="Arial" w:hAnsi="Arial"/>
                <w:sz w:val="17"/>
                <w:szCs w:val="17"/>
                <w:color w:val="auto"/>
              </w:rPr>
              <w:t>Commission expense</w:t>
            </w:r>
          </w:p>
        </w:tc>
        <w:tc>
          <w:tcPr>
            <w:tcW w:w="400" w:type="dxa"/>
            <w:vAlign w:val="bottom"/>
          </w:tcPr>
          <w:p>
            <w:pPr>
              <w:jc w:val="right"/>
              <w:spacing w:after="0"/>
              <w:rPr>
                <w:sz w:val="20"/>
                <w:szCs w:val="20"/>
                <w:color w:val="auto"/>
              </w:rPr>
            </w:pPr>
            <w:r>
              <w:rPr>
                <w:rFonts w:ascii="Arial" w:cs="Arial" w:eastAsia="Arial" w:hAnsi="Arial"/>
                <w:sz w:val="17"/>
                <w:szCs w:val="17"/>
                <w:color w:val="auto"/>
              </w:rPr>
              <w:t>23.2</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25.2</w:t>
            </w:r>
          </w:p>
        </w:tc>
        <w:tc>
          <w:tcPr>
            <w:tcW w:w="2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44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140" w:type="dxa"/>
            <w:vAlign w:val="bottom"/>
            <w:gridSpan w:val="2"/>
          </w:tcPr>
          <w:p>
            <w:pPr>
              <w:spacing w:after="0"/>
              <w:rPr>
                <w:sz w:val="20"/>
                <w:szCs w:val="20"/>
                <w:color w:val="auto"/>
              </w:rPr>
            </w:pPr>
            <w:r>
              <w:rPr>
                <w:rFonts w:ascii="Arial" w:cs="Arial" w:eastAsia="Arial" w:hAnsi="Arial"/>
                <w:sz w:val="17"/>
                <w:szCs w:val="17"/>
                <w:color w:val="auto"/>
              </w:rPr>
              <w:t>Net underwriting expense ratio</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38.0%</w:t>
            </w:r>
          </w:p>
        </w:tc>
        <w:tc>
          <w:tcPr>
            <w:tcW w:w="4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38.2%</w:t>
            </w: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2.3 percentage point decrease in our other underwriting expense ratio was driven by a decline of 1.5 percentage points from the impact of employment</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costs.</w:t>
      </w:r>
    </w:p>
    <w:p>
      <w:pPr>
        <w:spacing w:after="0" w:line="151" w:lineRule="exact"/>
        <w:rPr>
          <w:sz w:val="20"/>
          <w:szCs w:val="20"/>
          <w:color w:val="auto"/>
        </w:rPr>
      </w:pPr>
    </w:p>
    <w:p>
      <w:pPr>
        <w:jc w:val="both"/>
        <w:ind w:firstLine="628"/>
        <w:spacing w:after="0" w:line="265" w:lineRule="auto"/>
        <w:rPr>
          <w:sz w:val="20"/>
          <w:szCs w:val="20"/>
          <w:color w:val="auto"/>
        </w:rPr>
      </w:pPr>
      <w:r>
        <w:rPr>
          <w:rFonts w:ascii="Arial" w:cs="Arial" w:eastAsia="Arial" w:hAnsi="Arial"/>
          <w:sz w:val="17"/>
          <w:szCs w:val="17"/>
          <w:color w:val="auto"/>
        </w:rPr>
        <w:t>The overall 4.6 percentage point increase in provisional ceding commissions was driven entirely by the change in our quota share ceding rates and its impact on provisional ceding commission revenue due to the additional retention resulting from the cut-off to our quota share treaty on July 1, 2018. The components of our net underwriting expense ratio related to other underwriting expenses, other income and commissions improved in nearly all categories, resulting in an overall 0.2 percentage point decrease in the net underwriting expense ratio.</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Operating Expenses</w:t>
      </w:r>
    </w:p>
    <w:p>
      <w:pPr>
        <w:spacing w:after="0" w:line="158" w:lineRule="exact"/>
        <w:rPr>
          <w:sz w:val="20"/>
          <w:szCs w:val="20"/>
          <w:color w:val="auto"/>
        </w:rPr>
      </w:pPr>
    </w:p>
    <w:p>
      <w:pPr>
        <w:jc w:val="both"/>
        <w:ind w:firstLine="628"/>
        <w:spacing w:after="0" w:line="279" w:lineRule="auto"/>
        <w:rPr>
          <w:sz w:val="20"/>
          <w:szCs w:val="20"/>
          <w:color w:val="auto"/>
        </w:rPr>
      </w:pPr>
      <w:r>
        <w:rPr>
          <w:rFonts w:ascii="Arial" w:cs="Arial" w:eastAsia="Arial" w:hAnsi="Arial"/>
          <w:sz w:val="16"/>
          <w:szCs w:val="16"/>
          <w:color w:val="auto"/>
        </w:rPr>
        <w:t>Other operating expenses, related to the expenses of our holding company and Cosi, were $2,069,000 for Six Months 2019 compared to $1,091,000 for Six Months 2018. The increase in Six Months 2019 of $978,000, or 89.6%, was primarily due to increases in equity compensation and salaries. The increase in salary was due to the initial hiring of staff for Cosi and the increase in equity compensation was due to 2019 annual restricted stock awards to directors and executives. In addition, the increase was also due to an absence of change to accrued executive bonus compensation in Six Months 2019, compared to a decrease in Six Months 2018. Executive bonus compensation is accrued pursuant to the employment agreement effective January 1, 2017 with Barry B. Goldstein, our Executive Chairman and current Chief Executive Officer. The bonus is a one-time payment computed at the end of the three-year period ended December 31, 2019, and the amount accrued through June 30, 2019 will only be paid if the three-year computation meets the required terms of profitability.</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53" w:name="page54"/>
    <w:bookmarkEnd w:id="53"/>
    <w:p>
      <w:pPr>
        <w:spacing w:after="0"/>
        <w:rPr>
          <w:sz w:val="20"/>
          <w:szCs w:val="20"/>
          <w:color w:val="auto"/>
        </w:rPr>
      </w:pPr>
      <w:r>
        <w:rPr>
          <w:rFonts w:ascii="Arial" w:cs="Arial" w:eastAsia="Arial" w:hAnsi="Arial"/>
          <w:sz w:val="17"/>
          <w:szCs w:val="17"/>
          <w:u w:val="single" w:color="auto"/>
          <w:color w:val="auto"/>
        </w:rPr>
        <w:t>Depreciation and Amortization</w:t>
      </w:r>
    </w:p>
    <w:p>
      <w:pPr>
        <w:spacing w:after="0" w:line="158" w:lineRule="exact"/>
        <w:rPr>
          <w:sz w:val="20"/>
          <w:szCs w:val="20"/>
          <w:color w:val="auto"/>
        </w:rPr>
      </w:pPr>
    </w:p>
    <w:p>
      <w:pPr>
        <w:jc w:val="both"/>
        <w:ind w:firstLine="628"/>
        <w:spacing w:after="0" w:line="293" w:lineRule="auto"/>
        <w:rPr>
          <w:sz w:val="20"/>
          <w:szCs w:val="20"/>
          <w:color w:val="auto"/>
        </w:rPr>
      </w:pPr>
      <w:r>
        <w:rPr>
          <w:rFonts w:ascii="Arial" w:cs="Arial" w:eastAsia="Arial" w:hAnsi="Arial"/>
          <w:sz w:val="16"/>
          <w:szCs w:val="16"/>
          <w:color w:val="auto"/>
        </w:rPr>
        <w:t>Depreciation and amortization was $1,230,000 in Six Months 2019 compared to $834,000 in Six Months 2018. The increase of $396,000, or 47.5%, in depreciation and amortization was primarily due to depreciation of our new system platform for processing business being written in Expansion states and newly purchased assets used to upgrade our systems infrastructure and improvements to the Kingston, New York home office building from which we operate.</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Interest Expense</w:t>
      </w:r>
    </w:p>
    <w:p>
      <w:pPr>
        <w:spacing w:after="0" w:line="158"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Interest expense for Six Months 2019 was $913,000 compared to $909,000 in Six Months 2018. We incurred interest expense in connection with our $30.0 million issuance of long-term debt in December 2017.</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Income Tax Expense</w:t>
      </w:r>
    </w:p>
    <w:p>
      <w:pPr>
        <w:spacing w:after="0" w:line="158" w:lineRule="exact"/>
        <w:rPr>
          <w:sz w:val="20"/>
          <w:szCs w:val="20"/>
          <w:color w:val="auto"/>
        </w:rPr>
      </w:pPr>
    </w:p>
    <w:p>
      <w:pPr>
        <w:jc w:val="both"/>
        <w:ind w:firstLine="628"/>
        <w:spacing w:after="0" w:line="269" w:lineRule="auto"/>
        <w:rPr>
          <w:sz w:val="20"/>
          <w:szCs w:val="20"/>
          <w:color w:val="auto"/>
        </w:rPr>
      </w:pPr>
      <w:r>
        <w:rPr>
          <w:rFonts w:ascii="Arial" w:cs="Arial" w:eastAsia="Arial" w:hAnsi="Arial"/>
          <w:sz w:val="17"/>
          <w:szCs w:val="17"/>
          <w:color w:val="auto"/>
        </w:rPr>
        <w:t>Income tax benefit in Six Months 2019 was $1,524,000, which resulted in an effective tax rate of 21.1%. Income tax expense in Six Months 2018 was $9,000, which resulted in an effective tax rate of 18.8%. Loss before taxes was $7,220,000 in Six Months 2019 compared to income before taxes of $48,000 in Six Months 2018.</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Net Loss</w:t>
      </w:r>
    </w:p>
    <w:p>
      <w:pPr>
        <w:spacing w:after="0" w:line="158" w:lineRule="exact"/>
        <w:rPr>
          <w:sz w:val="20"/>
          <w:szCs w:val="20"/>
          <w:color w:val="auto"/>
        </w:rPr>
      </w:pPr>
    </w:p>
    <w:p>
      <w:pPr>
        <w:jc w:val="both"/>
        <w:ind w:firstLine="628"/>
        <w:spacing w:after="0" w:line="321" w:lineRule="auto"/>
        <w:rPr>
          <w:sz w:val="20"/>
          <w:szCs w:val="20"/>
          <w:color w:val="auto"/>
        </w:rPr>
      </w:pPr>
      <w:r>
        <w:rPr>
          <w:rFonts w:ascii="Arial" w:cs="Arial" w:eastAsia="Arial" w:hAnsi="Arial"/>
          <w:sz w:val="15"/>
          <w:szCs w:val="15"/>
          <w:color w:val="auto"/>
        </w:rPr>
        <w:t>Net loss was $5,696,000 in Six Months 2019 compared to net income of $39,000 in Six Months 2018. The increase in net loss of $5,735,000, was due to the circumstances described above, which caused the increase in our net loss ratio, decrease in ceding commission revenue, increases in other underwriting and operating expenses, and depreciation and amortization, partially offset by the increase in our net premiums earned, net investment income, and net gains on investments.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54" w:name="page55"/>
    <w:bookmarkEnd w:id="54"/>
    <w:p>
      <w:pPr>
        <w:spacing w:after="0"/>
        <w:rPr>
          <w:sz w:val="20"/>
          <w:szCs w:val="20"/>
          <w:color w:val="auto"/>
        </w:rPr>
      </w:pPr>
      <w:r>
        <w:rPr>
          <w:rFonts w:ascii="Arial" w:cs="Arial" w:eastAsia="Arial" w:hAnsi="Arial"/>
          <w:sz w:val="17"/>
          <w:szCs w:val="17"/>
          <w:b w:val="1"/>
          <w:bCs w:val="1"/>
          <w:i w:val="1"/>
          <w:iCs w:val="1"/>
          <w:color w:val="auto"/>
        </w:rPr>
        <w:t>Three Months Ended June 30, 2019 Compared to Three Months Ended June 30, 2018</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changes in the results of our operations (in thousands) for the periods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400" w:type="dxa"/>
            <w:vAlign w:val="bottom"/>
            <w:vMerge w:val="restart"/>
          </w:tcPr>
          <w:p>
            <w:pPr>
              <w:spacing w:after="0"/>
              <w:rPr>
                <w:sz w:val="20"/>
                <w:szCs w:val="20"/>
                <w:color w:val="auto"/>
              </w:rPr>
            </w:pPr>
            <w:r>
              <w:rPr>
                <w:rFonts w:ascii="Arial" w:cs="Arial" w:eastAsia="Arial" w:hAnsi="Arial"/>
                <w:sz w:val="17"/>
                <w:szCs w:val="17"/>
                <w:b w:val="1"/>
                <w:bCs w:val="1"/>
                <w:color w:val="auto"/>
              </w:rPr>
              <w:t>($ in thousands)</w:t>
            </w:r>
          </w:p>
        </w:tc>
        <w:tc>
          <w:tcPr>
            <w:tcW w:w="6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6"/>
          </w:tcPr>
          <w:p>
            <w:pPr>
              <w:jc w:val="right"/>
              <w:ind w:right="620"/>
              <w:spacing w:after="0"/>
              <w:rPr>
                <w:sz w:val="20"/>
                <w:szCs w:val="20"/>
                <w:color w:val="auto"/>
              </w:rPr>
            </w:pPr>
            <w:r>
              <w:rPr>
                <w:rFonts w:ascii="Arial" w:cs="Arial" w:eastAsia="Arial" w:hAnsi="Arial"/>
                <w:sz w:val="14"/>
                <w:szCs w:val="14"/>
                <w:b w:val="1"/>
                <w:bCs w:val="1"/>
                <w:color w:val="auto"/>
                <w:w w:val="96"/>
              </w:rPr>
              <w:t>Three months ended June 30,</w:t>
            </w:r>
          </w:p>
        </w:tc>
        <w:tc>
          <w:tcPr>
            <w:tcW w:w="1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540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315"/>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Change</w:t>
            </w:r>
          </w:p>
        </w:tc>
        <w:tc>
          <w:tcPr>
            <w:tcW w:w="1280" w:type="dxa"/>
            <w:vAlign w:val="bottom"/>
            <w:gridSpan w:val="4"/>
          </w:tcPr>
          <w:p>
            <w:pPr>
              <w:ind w:left="32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33"/>
        </w:trPr>
        <w:tc>
          <w:tcPr>
            <w:tcW w:w="5400" w:type="dxa"/>
            <w:vAlign w:val="bottom"/>
          </w:tcPr>
          <w:p>
            <w:pPr>
              <w:ind w:left="40"/>
              <w:spacing w:after="0"/>
              <w:rPr>
                <w:sz w:val="20"/>
                <w:szCs w:val="20"/>
                <w:color w:val="auto"/>
              </w:rPr>
            </w:pPr>
            <w:r>
              <w:rPr>
                <w:rFonts w:ascii="Arial" w:cs="Arial" w:eastAsia="Arial" w:hAnsi="Arial"/>
                <w:sz w:val="17"/>
                <w:szCs w:val="17"/>
                <w:b w:val="1"/>
                <w:bCs w:val="1"/>
                <w:color w:val="auto"/>
              </w:rPr>
              <w:t>Revenue</w:t>
            </w:r>
            <w:r>
              <w:rPr>
                <w:rFonts w:ascii="Arial" w:cs="Arial" w:eastAsia="Arial" w:hAnsi="Arial"/>
                <w:sz w:val="17"/>
                <w:szCs w:val="17"/>
                <w:color w:val="auto"/>
              </w:rPr>
              <w:t>s</w:t>
            </w:r>
          </w:p>
        </w:tc>
        <w:tc>
          <w:tcPr>
            <w:tcW w:w="6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54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Direct written premiums</w:t>
            </w:r>
          </w:p>
        </w:tc>
        <w:tc>
          <w:tcPr>
            <w:tcW w:w="920" w:type="dxa"/>
            <w:vAlign w:val="bottom"/>
            <w:gridSpan w:val="2"/>
            <w:shd w:val="clear" w:color="auto" w:fill="CCEEFF"/>
          </w:tcPr>
          <w:p>
            <w:pPr>
              <w:jc w:val="right"/>
              <w:ind w:right="86"/>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44,821</w:t>
            </w: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36,864</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7,957</w:t>
            </w:r>
          </w:p>
        </w:tc>
        <w:tc>
          <w:tcPr>
            <w:tcW w:w="2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400" w:type="dxa"/>
            <w:vAlign w:val="bottom"/>
          </w:tcPr>
          <w:p>
            <w:pPr>
              <w:ind w:left="200"/>
              <w:spacing w:after="0"/>
              <w:rPr>
                <w:sz w:val="20"/>
                <w:szCs w:val="20"/>
                <w:color w:val="auto"/>
              </w:rPr>
            </w:pPr>
            <w:r>
              <w:rPr>
                <w:rFonts w:ascii="Arial" w:cs="Arial" w:eastAsia="Arial" w:hAnsi="Arial"/>
                <w:sz w:val="17"/>
                <w:szCs w:val="17"/>
                <w:color w:val="auto"/>
              </w:rPr>
              <w:t>Assumed written premiums</w:t>
            </w:r>
          </w:p>
        </w:tc>
        <w:tc>
          <w:tcPr>
            <w:tcW w:w="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7"/>
                <w:szCs w:val="17"/>
                <w:color w:val="auto"/>
              </w:rPr>
              <w:t>na%</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4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44,821</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36,864</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7,957</w:t>
            </w: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21.6%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tcPr>
          <w:p>
            <w:pPr>
              <w:ind w:left="200"/>
              <w:spacing w:after="0"/>
              <w:rPr>
                <w:sz w:val="20"/>
                <w:szCs w:val="20"/>
                <w:color w:val="auto"/>
              </w:rPr>
            </w:pPr>
            <w:r>
              <w:rPr>
                <w:rFonts w:ascii="Arial" w:cs="Arial" w:eastAsia="Arial" w:hAnsi="Arial"/>
                <w:sz w:val="17"/>
                <w:szCs w:val="17"/>
                <w:color w:val="auto"/>
              </w:rPr>
              <w:t>Ceded written premiums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Ceded to quota share treaties</w:t>
            </w:r>
          </w:p>
        </w:tc>
        <w:tc>
          <w:tcPr>
            <w:tcW w:w="6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(1,900)</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tcPr>
          <w:p>
            <w:pPr>
              <w:ind w:left="360"/>
              <w:spacing w:after="0"/>
              <w:rPr>
                <w:sz w:val="20"/>
                <w:szCs w:val="20"/>
                <w:color w:val="auto"/>
              </w:rPr>
            </w:pPr>
            <w:r>
              <w:rPr>
                <w:rFonts w:ascii="Arial" w:cs="Arial" w:eastAsia="Arial" w:hAnsi="Arial"/>
                <w:sz w:val="17"/>
                <w:szCs w:val="17"/>
                <w:color w:val="auto"/>
              </w:rPr>
              <w:t>Ceded to excess of loss treaties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122</w:t>
            </w:r>
          </w:p>
        </w:tc>
        <w:tc>
          <w:tcPr>
            <w:tcW w:w="26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7"/>
                <w:szCs w:val="17"/>
                <w:color w:val="auto"/>
              </w:rPr>
              <w:t>39.7%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Ceded to catastrophe treaties</w:t>
            </w:r>
          </w:p>
        </w:tc>
        <w:tc>
          <w:tcPr>
            <w:tcW w:w="68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4,467</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3,388</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1,079</w:t>
            </w: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31.8%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400" w:type="dxa"/>
            <w:vAlign w:val="bottom"/>
          </w:tcPr>
          <w:p>
            <w:pPr>
              <w:ind w:left="200"/>
              <w:spacing w:after="0"/>
              <w:rPr>
                <w:sz w:val="20"/>
                <w:szCs w:val="20"/>
                <w:color w:val="auto"/>
              </w:rPr>
            </w:pPr>
            <w:r>
              <w:rPr>
                <w:rFonts w:ascii="Arial" w:cs="Arial" w:eastAsia="Arial" w:hAnsi="Arial"/>
                <w:sz w:val="17"/>
                <w:szCs w:val="17"/>
                <w:color w:val="auto"/>
              </w:rPr>
              <w:t>Total ceded written premiums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8,200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8,899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(699)</w:t>
            </w:r>
          </w:p>
        </w:tc>
        <w:tc>
          <w:tcPr>
            <w:tcW w:w="1220" w:type="dxa"/>
            <w:vAlign w:val="bottom"/>
            <w:gridSpan w:val="3"/>
          </w:tcPr>
          <w:p>
            <w:pPr>
              <w:jc w:val="right"/>
              <w:spacing w:after="0"/>
              <w:rPr>
                <w:sz w:val="20"/>
                <w:szCs w:val="20"/>
                <w:color w:val="auto"/>
              </w:rPr>
            </w:pPr>
            <w:r>
              <w:rPr>
                <w:rFonts w:ascii="Arial" w:cs="Arial" w:eastAsia="Arial" w:hAnsi="Arial"/>
                <w:sz w:val="17"/>
                <w:szCs w:val="17"/>
                <w:color w:val="auto"/>
              </w:rPr>
              <w:t>(7.9)%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400" w:type="dxa"/>
            <w:vAlign w:val="bottom"/>
          </w:tcPr>
          <w:p>
            <w:pPr>
              <w:ind w:left="200"/>
              <w:spacing w:after="0"/>
              <w:rPr>
                <w:sz w:val="20"/>
                <w:szCs w:val="20"/>
                <w:color w:val="auto"/>
              </w:rPr>
            </w:pPr>
            <w:r>
              <w:rPr>
                <w:rFonts w:ascii="Arial" w:cs="Arial" w:eastAsia="Arial" w:hAnsi="Arial"/>
                <w:sz w:val="17"/>
                <w:szCs w:val="17"/>
                <w:color w:val="auto"/>
              </w:rPr>
              <w:t>Net written premiums</w:t>
            </w:r>
          </w:p>
        </w:tc>
        <w:tc>
          <w:tcPr>
            <w:tcW w:w="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36,621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27,965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8,656</w:t>
            </w:r>
          </w:p>
        </w:tc>
        <w:tc>
          <w:tcPr>
            <w:tcW w:w="26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7"/>
                <w:szCs w:val="17"/>
                <w:color w:val="auto"/>
              </w:rPr>
              <w:t>31.0%</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tcPr>
          <w:p>
            <w:pPr>
              <w:ind w:left="200"/>
              <w:spacing w:after="0"/>
              <w:rPr>
                <w:sz w:val="20"/>
                <w:szCs w:val="20"/>
                <w:color w:val="auto"/>
              </w:rPr>
            </w:pPr>
            <w:r>
              <w:rPr>
                <w:rFonts w:ascii="Arial" w:cs="Arial" w:eastAsia="Arial" w:hAnsi="Arial"/>
                <w:sz w:val="17"/>
                <w:szCs w:val="17"/>
                <w:color w:val="auto"/>
              </w:rPr>
              <w:t>Change in unearned premiums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Direct and assumed</w:t>
            </w:r>
          </w:p>
        </w:tc>
        <w:tc>
          <w:tcPr>
            <w:tcW w:w="6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(5,828)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(4,485)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(1,343)</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tcPr>
          <w:p>
            <w:pPr>
              <w:ind w:left="360"/>
              <w:spacing w:after="0"/>
              <w:rPr>
                <w:sz w:val="20"/>
                <w:szCs w:val="20"/>
                <w:color w:val="auto"/>
              </w:rPr>
            </w:pPr>
            <w:r>
              <w:rPr>
                <w:rFonts w:ascii="Arial" w:cs="Arial" w:eastAsia="Arial" w:hAnsi="Arial"/>
                <w:sz w:val="17"/>
                <w:szCs w:val="17"/>
                <w:color w:val="auto"/>
              </w:rPr>
              <w:t>Ceded to quota share treaties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(217)</w:t>
            </w:r>
          </w:p>
        </w:tc>
        <w:tc>
          <w:tcPr>
            <w:tcW w:w="1220" w:type="dxa"/>
            <w:vAlign w:val="bottom"/>
            <w:gridSpan w:val="3"/>
          </w:tcPr>
          <w:p>
            <w:pPr>
              <w:jc w:val="right"/>
              <w:spacing w:after="0"/>
              <w:rPr>
                <w:sz w:val="20"/>
                <w:szCs w:val="20"/>
                <w:color w:val="auto"/>
              </w:rPr>
            </w:pPr>
            <w:r>
              <w:rPr>
                <w:rFonts w:ascii="Arial" w:cs="Arial" w:eastAsia="Arial" w:hAnsi="Arial"/>
                <w:sz w:val="17"/>
                <w:szCs w:val="17"/>
                <w:color w:val="auto"/>
              </w:rPr>
              <w:t>(34.7)%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54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Change in net unearned premiums</w:t>
            </w:r>
          </w:p>
        </w:tc>
        <w:tc>
          <w:tcPr>
            <w:tcW w:w="6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(5,420)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(3,860)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(1,560)</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40.4%</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Premiums earned</w:t>
            </w:r>
          </w:p>
        </w:tc>
        <w:tc>
          <w:tcPr>
            <w:tcW w:w="6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tcPr>
          <w:p>
            <w:pPr>
              <w:ind w:left="360"/>
              <w:spacing w:after="0"/>
              <w:rPr>
                <w:sz w:val="20"/>
                <w:szCs w:val="20"/>
                <w:color w:val="auto"/>
              </w:rPr>
            </w:pPr>
            <w:r>
              <w:rPr>
                <w:rFonts w:ascii="Arial" w:cs="Arial" w:eastAsia="Arial" w:hAnsi="Arial"/>
                <w:sz w:val="17"/>
                <w:szCs w:val="17"/>
                <w:color w:val="auto"/>
              </w:rPr>
              <w:t>Direct and assumed</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38,993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32,379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6,614</w:t>
            </w:r>
          </w:p>
        </w:tc>
        <w:tc>
          <w:tcPr>
            <w:tcW w:w="26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7"/>
                <w:szCs w:val="17"/>
                <w:color w:val="auto"/>
              </w:rPr>
              <w:t>20.4%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4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Ceded to reinsurance treaties</w:t>
            </w:r>
          </w:p>
        </w:tc>
        <w:tc>
          <w:tcPr>
            <w:tcW w:w="6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(7,792)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(8,274)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482</w:t>
            </w:r>
          </w:p>
        </w:tc>
        <w:tc>
          <w:tcPr>
            <w:tcW w:w="2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tcBorders>
              <w:top w:val="single" w:sz="8" w:color="CCEEFF"/>
            </w:tcBorders>
          </w:tcPr>
          <w:p>
            <w:pPr>
              <w:ind w:left="200"/>
              <w:spacing w:after="0"/>
              <w:rPr>
                <w:sz w:val="20"/>
                <w:szCs w:val="20"/>
                <w:color w:val="auto"/>
              </w:rPr>
            </w:pPr>
            <w:r>
              <w:rPr>
                <w:rFonts w:ascii="Arial" w:cs="Arial" w:eastAsia="Arial" w:hAnsi="Arial"/>
                <w:sz w:val="17"/>
                <w:szCs w:val="17"/>
                <w:color w:val="auto"/>
              </w:rPr>
              <w:t>Net premiums earned</w:t>
            </w:r>
          </w:p>
        </w:tc>
        <w:tc>
          <w:tcPr>
            <w:tcW w:w="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31,201</w:t>
            </w: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24,105</w:t>
            </w: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7,096</w:t>
            </w:r>
          </w:p>
        </w:tc>
        <w:tc>
          <w:tcPr>
            <w:tcW w:w="2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gridSpan w:val="3"/>
          </w:tcPr>
          <w:p>
            <w:pPr>
              <w:jc w:val="right"/>
              <w:spacing w:after="0"/>
              <w:rPr>
                <w:sz w:val="20"/>
                <w:szCs w:val="20"/>
                <w:color w:val="auto"/>
              </w:rPr>
            </w:pPr>
            <w:r>
              <w:rPr>
                <w:rFonts w:ascii="Arial" w:cs="Arial" w:eastAsia="Arial" w:hAnsi="Arial"/>
                <w:sz w:val="17"/>
                <w:szCs w:val="17"/>
                <w:color w:val="auto"/>
              </w:rPr>
              <w:t>29.4%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Ceding commission revenue</w:t>
            </w:r>
          </w:p>
        </w:tc>
        <w:tc>
          <w:tcPr>
            <w:tcW w:w="6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tcPr>
          <w:p>
            <w:pPr>
              <w:ind w:left="360"/>
              <w:spacing w:after="0"/>
              <w:rPr>
                <w:sz w:val="20"/>
                <w:szCs w:val="20"/>
                <w:color w:val="auto"/>
              </w:rPr>
            </w:pPr>
            <w:r>
              <w:rPr>
                <w:rFonts w:ascii="Arial" w:cs="Arial" w:eastAsia="Arial" w:hAnsi="Arial"/>
                <w:sz w:val="17"/>
                <w:szCs w:val="17"/>
                <w:color w:val="auto"/>
              </w:rPr>
              <w:t>Excluding the effect of catastrophes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1,816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(1,141)</w:t>
            </w:r>
          </w:p>
        </w:tc>
        <w:tc>
          <w:tcPr>
            <w:tcW w:w="1220" w:type="dxa"/>
            <w:vAlign w:val="bottom"/>
            <w:gridSpan w:val="3"/>
          </w:tcPr>
          <w:p>
            <w:pPr>
              <w:jc w:val="right"/>
              <w:spacing w:after="0"/>
              <w:rPr>
                <w:sz w:val="20"/>
                <w:szCs w:val="20"/>
                <w:color w:val="auto"/>
              </w:rPr>
            </w:pPr>
            <w:r>
              <w:rPr>
                <w:rFonts w:ascii="Arial" w:cs="Arial" w:eastAsia="Arial" w:hAnsi="Arial"/>
                <w:sz w:val="17"/>
                <w:szCs w:val="17"/>
                <w:color w:val="auto"/>
              </w:rPr>
              <w:t>(62.8)%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Effect of catastrophes</w:t>
            </w:r>
          </w:p>
        </w:tc>
        <w:tc>
          <w:tcPr>
            <w:tcW w:w="6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2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400" w:type="dxa"/>
            <w:vAlign w:val="bottom"/>
            <w:shd w:val="clear" w:color="auto" w:fill="CCEEFF"/>
          </w:tcPr>
          <w:p>
            <w:pPr>
              <w:spacing w:after="0"/>
              <w:rPr>
                <w:sz w:val="2"/>
                <w:szCs w:val="2"/>
                <w:color w:val="auto"/>
              </w:rPr>
            </w:pPr>
          </w:p>
        </w:tc>
        <w:tc>
          <w:tcPr>
            <w:tcW w:w="68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5400" w:type="dxa"/>
            <w:vAlign w:val="bottom"/>
          </w:tcPr>
          <w:p>
            <w:pPr>
              <w:ind w:left="200"/>
              <w:spacing w:after="0"/>
              <w:rPr>
                <w:sz w:val="20"/>
                <w:szCs w:val="20"/>
                <w:color w:val="auto"/>
              </w:rPr>
            </w:pPr>
            <w:r>
              <w:rPr>
                <w:rFonts w:ascii="Arial" w:cs="Arial" w:eastAsia="Arial" w:hAnsi="Arial"/>
                <w:sz w:val="17"/>
                <w:szCs w:val="17"/>
                <w:color w:val="auto"/>
              </w:rPr>
              <w:t>Total ceding commission revenue</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1,691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(1,016)</w:t>
            </w:r>
          </w:p>
        </w:tc>
        <w:tc>
          <w:tcPr>
            <w:tcW w:w="1220" w:type="dxa"/>
            <w:vAlign w:val="bottom"/>
            <w:gridSpan w:val="3"/>
          </w:tcPr>
          <w:p>
            <w:pPr>
              <w:jc w:val="right"/>
              <w:spacing w:after="0"/>
              <w:rPr>
                <w:sz w:val="20"/>
                <w:szCs w:val="20"/>
                <w:color w:val="auto"/>
              </w:rPr>
            </w:pPr>
            <w:r>
              <w:rPr>
                <w:rFonts w:ascii="Arial" w:cs="Arial" w:eastAsia="Arial" w:hAnsi="Arial"/>
                <w:sz w:val="17"/>
                <w:szCs w:val="17"/>
                <w:color w:val="auto"/>
              </w:rPr>
              <w:t>(60.1)%</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 investment income</w:t>
            </w:r>
          </w:p>
        </w:tc>
        <w:tc>
          <w:tcPr>
            <w:tcW w:w="6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w:t>
            </w:r>
          </w:p>
        </w:tc>
        <w:tc>
          <w:tcPr>
            <w:tcW w:w="2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tcPr>
          <w:p>
            <w:pPr>
              <w:ind w:left="200"/>
              <w:spacing w:after="0"/>
              <w:rPr>
                <w:sz w:val="20"/>
                <w:szCs w:val="20"/>
                <w:color w:val="auto"/>
              </w:rPr>
            </w:pPr>
            <w:r>
              <w:rPr>
                <w:rFonts w:ascii="Arial" w:cs="Arial" w:eastAsia="Arial" w:hAnsi="Arial"/>
                <w:sz w:val="17"/>
                <w:szCs w:val="17"/>
                <w:color w:val="auto"/>
              </w:rPr>
              <w:t>Net gains (losses) on investments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(107)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786</w:t>
            </w:r>
          </w:p>
        </w:tc>
        <w:tc>
          <w:tcPr>
            <w:tcW w:w="26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7"/>
                <w:szCs w:val="17"/>
                <w:color w:val="auto"/>
              </w:rPr>
              <w:t>(734.6)%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Other income</w:t>
            </w:r>
          </w:p>
        </w:tc>
        <w:tc>
          <w:tcPr>
            <w:tcW w:w="68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330</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400" w:type="dxa"/>
            <w:vAlign w:val="bottom"/>
          </w:tcPr>
          <w:p>
            <w:pPr>
              <w:ind w:left="360"/>
              <w:spacing w:after="0"/>
              <w:rPr>
                <w:sz w:val="20"/>
                <w:szCs w:val="20"/>
                <w:color w:val="auto"/>
              </w:rPr>
            </w:pPr>
            <w:r>
              <w:rPr>
                <w:rFonts w:ascii="Arial" w:cs="Arial" w:eastAsia="Arial" w:hAnsi="Arial"/>
                <w:sz w:val="17"/>
                <w:szCs w:val="17"/>
                <w:color w:val="auto"/>
              </w:rPr>
              <w:t>Total revenues</w:t>
            </w:r>
          </w:p>
        </w:tc>
        <w:tc>
          <w:tcPr>
            <w:tcW w:w="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34,604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7,058</w:t>
            </w:r>
          </w:p>
        </w:tc>
        <w:tc>
          <w:tcPr>
            <w:tcW w:w="26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7"/>
                <w:szCs w:val="17"/>
                <w:color w:val="auto"/>
              </w:rPr>
              <w:t>25.6%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Expense</w:t>
            </w:r>
            <w:r>
              <w:rPr>
                <w:rFonts w:ascii="Arial" w:cs="Arial" w:eastAsia="Arial" w:hAnsi="Arial"/>
                <w:sz w:val="17"/>
                <w:szCs w:val="17"/>
                <w:color w:val="auto"/>
              </w:rPr>
              <w:t>s</w:t>
            </w:r>
          </w:p>
        </w:tc>
        <w:tc>
          <w:tcPr>
            <w:tcW w:w="6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tcPr>
          <w:p>
            <w:pPr>
              <w:ind w:left="200"/>
              <w:spacing w:after="0"/>
              <w:rPr>
                <w:sz w:val="20"/>
                <w:szCs w:val="20"/>
                <w:color w:val="auto"/>
              </w:rPr>
            </w:pPr>
            <w:r>
              <w:rPr>
                <w:rFonts w:ascii="Arial" w:cs="Arial" w:eastAsia="Arial" w:hAnsi="Arial"/>
                <w:sz w:val="17"/>
                <w:szCs w:val="17"/>
                <w:color w:val="auto"/>
              </w:rPr>
              <w:t>Loss and loss adjustment expenses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Direct and assumed:</w:t>
            </w:r>
          </w:p>
        </w:tc>
        <w:tc>
          <w:tcPr>
            <w:tcW w:w="6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tcPr>
          <w:p>
            <w:pPr>
              <w:ind w:left="360"/>
              <w:spacing w:after="0"/>
              <w:rPr>
                <w:sz w:val="20"/>
                <w:szCs w:val="20"/>
                <w:color w:val="auto"/>
              </w:rPr>
            </w:pPr>
            <w:r>
              <w:rPr>
                <w:rFonts w:ascii="Arial" w:cs="Arial" w:eastAsia="Arial" w:hAnsi="Arial"/>
                <w:sz w:val="17"/>
                <w:szCs w:val="17"/>
                <w:color w:val="auto"/>
                <w:w w:val="92"/>
              </w:rPr>
              <w:t>Loss and loss adjustment expenses excluding the effect of catastrophes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19,521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13,357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6,164</w:t>
            </w:r>
          </w:p>
        </w:tc>
        <w:tc>
          <w:tcPr>
            <w:tcW w:w="26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7"/>
                <w:szCs w:val="17"/>
                <w:color w:val="auto"/>
              </w:rPr>
              <w:t>46.1%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Losses from catastrophes (1)</w:t>
            </w:r>
          </w:p>
        </w:tc>
        <w:tc>
          <w:tcPr>
            <w:tcW w:w="68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1,637</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224</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1,413</w:t>
            </w: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630.8%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400" w:type="dxa"/>
            <w:vAlign w:val="bottom"/>
          </w:tcPr>
          <w:p>
            <w:pPr>
              <w:ind w:left="360"/>
              <w:spacing w:after="0"/>
              <w:rPr>
                <w:sz w:val="20"/>
                <w:szCs w:val="20"/>
                <w:color w:val="auto"/>
              </w:rPr>
            </w:pPr>
            <w:r>
              <w:rPr>
                <w:rFonts w:ascii="Arial" w:cs="Arial" w:eastAsia="Arial" w:hAnsi="Arial"/>
                <w:sz w:val="17"/>
                <w:szCs w:val="17"/>
                <w:color w:val="auto"/>
              </w:rPr>
              <w:t>Total direct and assumed loss and loss adjustment expenses</w:t>
            </w:r>
          </w:p>
        </w:tc>
        <w:tc>
          <w:tcPr>
            <w:tcW w:w="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21,158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7,577</w:t>
            </w:r>
          </w:p>
        </w:tc>
        <w:tc>
          <w:tcPr>
            <w:tcW w:w="26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7"/>
                <w:szCs w:val="17"/>
                <w:color w:val="auto"/>
              </w:rPr>
              <w:t>55.8%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tcPr>
          <w:p>
            <w:pPr>
              <w:ind w:left="360"/>
              <w:spacing w:after="0"/>
              <w:rPr>
                <w:sz w:val="20"/>
                <w:szCs w:val="20"/>
                <w:color w:val="auto"/>
              </w:rPr>
            </w:pPr>
            <w:r>
              <w:rPr>
                <w:rFonts w:ascii="Arial" w:cs="Arial" w:eastAsia="Arial" w:hAnsi="Arial"/>
                <w:sz w:val="17"/>
                <w:szCs w:val="17"/>
                <w:color w:val="auto"/>
              </w:rPr>
              <w:t>Ceded loss and loss adjustment expenses: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ind w:left="360"/>
              <w:spacing w:after="0"/>
              <w:rPr>
                <w:sz w:val="20"/>
                <w:szCs w:val="20"/>
                <w:color w:val="auto"/>
              </w:rPr>
            </w:pPr>
            <w:r>
              <w:rPr>
                <w:rFonts w:ascii="Arial" w:cs="Arial" w:eastAsia="Arial" w:hAnsi="Arial"/>
                <w:sz w:val="17"/>
                <w:szCs w:val="17"/>
                <w:color w:val="auto"/>
                <w:w w:val="92"/>
              </w:rPr>
              <w:t>Loss and loss adjustment expenses excluding the effect of catastrophes</w:t>
            </w:r>
          </w:p>
        </w:tc>
        <w:tc>
          <w:tcPr>
            <w:tcW w:w="6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922</w:t>
            </w:r>
          </w:p>
        </w:tc>
        <w:tc>
          <w:tcPr>
            <w:tcW w:w="2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400" w:type="dxa"/>
            <w:vAlign w:val="bottom"/>
          </w:tcPr>
          <w:p>
            <w:pPr>
              <w:ind w:left="360"/>
              <w:spacing w:after="0"/>
              <w:rPr>
                <w:sz w:val="20"/>
                <w:szCs w:val="20"/>
                <w:color w:val="auto"/>
              </w:rPr>
            </w:pPr>
            <w:r>
              <w:rPr>
                <w:rFonts w:ascii="Arial" w:cs="Arial" w:eastAsia="Arial" w:hAnsi="Arial"/>
                <w:sz w:val="17"/>
                <w:szCs w:val="17"/>
                <w:color w:val="auto"/>
              </w:rPr>
              <w:t>Losses from catastrophes (1)</w:t>
            </w:r>
          </w:p>
        </w:tc>
        <w:tc>
          <w:tcPr>
            <w:tcW w:w="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w:t>
            </w:r>
          </w:p>
        </w:tc>
        <w:tc>
          <w:tcPr>
            <w:tcW w:w="26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7"/>
                <w:szCs w:val="17"/>
                <w:color w:val="auto"/>
              </w:rPr>
              <w:t>397.5%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Total ceded loss and loss adjustment expenses</w:t>
            </w:r>
          </w:p>
        </w:tc>
        <w:tc>
          <w:tcPr>
            <w:tcW w:w="68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3,486</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2,405</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1,081</w:t>
            </w: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44.9%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Net loss and loss adjustment expenses:</w:t>
            </w:r>
          </w:p>
        </w:tc>
        <w:tc>
          <w:tcPr>
            <w:tcW w:w="6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tcPr>
          <w:p>
            <w:pPr>
              <w:ind w:left="360"/>
              <w:spacing w:after="0"/>
              <w:rPr>
                <w:sz w:val="20"/>
                <w:szCs w:val="20"/>
                <w:color w:val="auto"/>
              </w:rPr>
            </w:pPr>
            <w:r>
              <w:rPr>
                <w:rFonts w:ascii="Arial" w:cs="Arial" w:eastAsia="Arial" w:hAnsi="Arial"/>
                <w:sz w:val="17"/>
                <w:szCs w:val="17"/>
                <w:color w:val="auto"/>
                <w:w w:val="92"/>
              </w:rPr>
              <w:t>Loss and loss adjustment expenses excluding the effect of catastrophes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16,234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10,992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5,242</w:t>
            </w:r>
          </w:p>
        </w:tc>
        <w:tc>
          <w:tcPr>
            <w:tcW w:w="26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7"/>
                <w:szCs w:val="17"/>
                <w:color w:val="auto"/>
              </w:rPr>
              <w:t>47.7%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Losses from catastrophes (1)</w:t>
            </w:r>
          </w:p>
        </w:tc>
        <w:tc>
          <w:tcPr>
            <w:tcW w:w="68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1,438</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184</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1,254</w:t>
            </w: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681.5%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400" w:type="dxa"/>
            <w:vAlign w:val="bottom"/>
          </w:tcPr>
          <w:p>
            <w:pPr>
              <w:ind w:left="360"/>
              <w:spacing w:after="0"/>
              <w:rPr>
                <w:sz w:val="20"/>
                <w:szCs w:val="20"/>
                <w:color w:val="auto"/>
              </w:rPr>
            </w:pPr>
            <w:r>
              <w:rPr>
                <w:rFonts w:ascii="Arial" w:cs="Arial" w:eastAsia="Arial" w:hAnsi="Arial"/>
                <w:sz w:val="17"/>
                <w:szCs w:val="17"/>
                <w:color w:val="auto"/>
              </w:rPr>
              <w:t>Net loss and loss adjustment expenses</w:t>
            </w:r>
          </w:p>
        </w:tc>
        <w:tc>
          <w:tcPr>
            <w:tcW w:w="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11,176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6,496</w:t>
            </w:r>
          </w:p>
        </w:tc>
        <w:tc>
          <w:tcPr>
            <w:tcW w:w="26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7"/>
                <w:szCs w:val="17"/>
                <w:color w:val="auto"/>
              </w:rPr>
              <w:t>58.1%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tcPr>
          <w:p>
            <w:pPr>
              <w:ind w:left="200"/>
              <w:spacing w:after="0"/>
              <w:rPr>
                <w:sz w:val="20"/>
                <w:szCs w:val="20"/>
                <w:color w:val="auto"/>
              </w:rPr>
            </w:pPr>
            <w:r>
              <w:rPr>
                <w:rFonts w:ascii="Arial" w:cs="Arial" w:eastAsia="Arial" w:hAnsi="Arial"/>
                <w:sz w:val="17"/>
                <w:szCs w:val="17"/>
                <w:color w:val="auto"/>
              </w:rPr>
              <w:t>Commission expense</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7,300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6,017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1,283</w:t>
            </w:r>
          </w:p>
        </w:tc>
        <w:tc>
          <w:tcPr>
            <w:tcW w:w="26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7"/>
                <w:szCs w:val="17"/>
                <w:color w:val="auto"/>
              </w:rPr>
              <w:t>21.3%</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Other underwriting expenses</w:t>
            </w:r>
          </w:p>
        </w:tc>
        <w:tc>
          <w:tcPr>
            <w:tcW w:w="6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5,076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w:t>
            </w:r>
          </w:p>
        </w:tc>
        <w:tc>
          <w:tcPr>
            <w:tcW w:w="2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tcPr>
          <w:p>
            <w:pPr>
              <w:ind w:left="200"/>
              <w:spacing w:after="0"/>
              <w:rPr>
                <w:sz w:val="20"/>
                <w:szCs w:val="20"/>
                <w:color w:val="auto"/>
              </w:rPr>
            </w:pPr>
            <w:r>
              <w:rPr>
                <w:rFonts w:ascii="Arial" w:cs="Arial" w:eastAsia="Arial" w:hAnsi="Arial"/>
                <w:sz w:val="17"/>
                <w:szCs w:val="17"/>
                <w:color w:val="auto"/>
              </w:rPr>
              <w:t>Other operating expenses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253</w:t>
            </w:r>
          </w:p>
        </w:tc>
        <w:tc>
          <w:tcPr>
            <w:tcW w:w="26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7"/>
                <w:szCs w:val="17"/>
                <w:color w:val="auto"/>
              </w:rPr>
              <w:t>30.0%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Depreciation and amortization</w:t>
            </w:r>
          </w:p>
        </w:tc>
        <w:tc>
          <w:tcPr>
            <w:tcW w:w="6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w:t>
            </w:r>
          </w:p>
        </w:tc>
        <w:tc>
          <w:tcPr>
            <w:tcW w:w="2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400" w:type="dxa"/>
            <w:vAlign w:val="bottom"/>
          </w:tcPr>
          <w:p>
            <w:pPr>
              <w:ind w:left="200"/>
              <w:spacing w:after="0"/>
              <w:rPr>
                <w:sz w:val="20"/>
                <w:szCs w:val="20"/>
                <w:color w:val="auto"/>
              </w:rPr>
            </w:pPr>
            <w:r>
              <w:rPr>
                <w:rFonts w:ascii="Arial" w:cs="Arial" w:eastAsia="Arial" w:hAnsi="Arial"/>
                <w:sz w:val="17"/>
                <w:szCs w:val="17"/>
                <w:color w:val="auto"/>
              </w:rPr>
              <w:t>Interest expense</w:t>
            </w:r>
          </w:p>
        </w:tc>
        <w:tc>
          <w:tcPr>
            <w:tcW w:w="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26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7"/>
                <w:szCs w:val="17"/>
                <w:color w:val="auto"/>
              </w:rPr>
              <w:t>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Total expenses</w:t>
            </w:r>
          </w:p>
        </w:tc>
        <w:tc>
          <w:tcPr>
            <w:tcW w:w="68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32,569</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23,989</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8,581</w:t>
            </w: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35.8%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Income before taxes</w:t>
            </w:r>
          </w:p>
        </w:tc>
        <w:tc>
          <w:tcPr>
            <w:tcW w:w="6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3,557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(1,522)</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(42.8)%</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tcPr>
          <w:p>
            <w:pPr>
              <w:ind w:left="200"/>
              <w:spacing w:after="0"/>
              <w:rPr>
                <w:sz w:val="20"/>
                <w:szCs w:val="20"/>
                <w:color w:val="auto"/>
              </w:rPr>
            </w:pPr>
            <w:r>
              <w:rPr>
                <w:rFonts w:ascii="Arial" w:cs="Arial" w:eastAsia="Arial" w:hAnsi="Arial"/>
                <w:sz w:val="17"/>
                <w:szCs w:val="17"/>
                <w:color w:val="auto"/>
              </w:rPr>
              <w:t>Income tax expense</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(404)</w:t>
            </w:r>
          </w:p>
        </w:tc>
        <w:tc>
          <w:tcPr>
            <w:tcW w:w="1220" w:type="dxa"/>
            <w:vAlign w:val="bottom"/>
            <w:gridSpan w:val="3"/>
          </w:tcPr>
          <w:p>
            <w:pPr>
              <w:jc w:val="right"/>
              <w:spacing w:after="0"/>
              <w:rPr>
                <w:sz w:val="20"/>
                <w:szCs w:val="20"/>
                <w:color w:val="auto"/>
              </w:rPr>
            </w:pPr>
            <w:r>
              <w:rPr>
                <w:rFonts w:ascii="Arial" w:cs="Arial" w:eastAsia="Arial" w:hAnsi="Arial"/>
                <w:sz w:val="17"/>
                <w:szCs w:val="17"/>
                <w:color w:val="auto"/>
              </w:rPr>
              <w:t>(50.5)%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540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Net income</w:t>
            </w:r>
          </w:p>
        </w:tc>
        <w:tc>
          <w:tcPr>
            <w:tcW w:w="68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1,639</w:t>
            </w:r>
          </w:p>
        </w:tc>
        <w:tc>
          <w:tcPr>
            <w:tcW w:w="16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2,757</w:t>
            </w:r>
          </w:p>
        </w:tc>
        <w:tc>
          <w:tcPr>
            <w:tcW w:w="16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(1,118)</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(40.6)%</w:t>
            </w:r>
          </w:p>
        </w:tc>
        <w:tc>
          <w:tcPr>
            <w:tcW w:w="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645"/>
        </w:trPr>
        <w:tc>
          <w:tcPr>
            <w:tcW w:w="5400" w:type="dxa"/>
            <w:vAlign w:val="bottom"/>
            <w:tcBorders>
              <w:top w:val="single" w:sz="8" w:color="CCEEFF"/>
              <w:bottom w:val="single" w:sz="8" w:color="auto"/>
            </w:tcBorders>
          </w:tcPr>
          <w:p>
            <w:pPr>
              <w:spacing w:after="0"/>
              <w:rPr>
                <w:sz w:val="24"/>
                <w:szCs w:val="24"/>
                <w:color w:val="auto"/>
              </w:rPr>
            </w:pPr>
          </w:p>
        </w:tc>
        <w:tc>
          <w:tcPr>
            <w:tcW w:w="680" w:type="dxa"/>
            <w:vAlign w:val="bottom"/>
            <w:tcBorders>
              <w:top w:val="single" w:sz="8" w:color="CCEEFF"/>
              <w:bottom w:val="single" w:sz="8" w:color="auto"/>
            </w:tcBorders>
          </w:tcPr>
          <w:p>
            <w:pPr>
              <w:jc w:val="right"/>
              <w:ind w:right="195"/>
              <w:spacing w:after="0"/>
              <w:rPr>
                <w:sz w:val="20"/>
                <w:szCs w:val="20"/>
                <w:color w:val="auto"/>
              </w:rPr>
            </w:pPr>
            <w:r>
              <w:rPr>
                <w:rFonts w:ascii="Arial" w:cs="Arial" w:eastAsia="Arial" w:hAnsi="Arial"/>
                <w:sz w:val="17"/>
                <w:szCs w:val="17"/>
                <w:color w:val="auto"/>
              </w:rPr>
              <w:t>52</w:t>
            </w:r>
          </w:p>
        </w:tc>
        <w:tc>
          <w:tcPr>
            <w:tcW w:w="24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40" w:top="497" w:right="179" w:bottom="1440" w:gutter="0" w:footer="0" w:header="0"/>
        </w:sectPr>
      </w:pPr>
    </w:p>
    <w:bookmarkStart w:id="55" w:name="page56"/>
    <w:bookmarkEnd w:id="55"/>
    <w:p>
      <w:pPr>
        <w:jc w:val="both"/>
        <w:ind w:right="60"/>
        <w:spacing w:after="0" w:line="269" w:lineRule="auto"/>
        <w:rPr>
          <w:sz w:val="20"/>
          <w:szCs w:val="20"/>
          <w:color w:val="auto"/>
        </w:rPr>
      </w:pPr>
      <w:r>
        <w:rPr>
          <w:rFonts w:ascii="Arial" w:cs="Arial" w:eastAsia="Arial" w:hAnsi="Arial"/>
          <w:sz w:val="17"/>
          <w:szCs w:val="17"/>
          <w:color w:val="auto"/>
        </w:rPr>
        <w:t>The three months ended June 30, 2019 includes catastrophe losses, which are defined as losses from an event for which a catastrophe bulletin and related serial number has been issued by the Property Claims Services (PCS) unit of the Insurance Services Office (ISO). PCS catastrophe bulletins are issued for events that cause more than $25 million in total insured losses and affect a significant number of policyholders and insurers.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08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4"/>
          </w:tcPr>
          <w:p>
            <w:pPr>
              <w:jc w:val="right"/>
              <w:ind w:right="680"/>
              <w:spacing w:after="0"/>
              <w:rPr>
                <w:sz w:val="20"/>
                <w:szCs w:val="20"/>
                <w:color w:val="auto"/>
              </w:rPr>
            </w:pPr>
            <w:r>
              <w:rPr>
                <w:rFonts w:ascii="Arial" w:cs="Arial" w:eastAsia="Arial" w:hAnsi="Arial"/>
                <w:sz w:val="14"/>
                <w:szCs w:val="14"/>
                <w:b w:val="1"/>
                <w:bCs w:val="1"/>
                <w:color w:val="auto"/>
              </w:rPr>
              <w:t>Three months ended June 30,</w:t>
            </w:r>
          </w:p>
        </w:tc>
        <w:tc>
          <w:tcPr>
            <w:tcW w:w="1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6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jc w:val="right"/>
              <w:ind w:right="300"/>
              <w:spacing w:after="0" w:line="144" w:lineRule="exact"/>
              <w:rPr>
                <w:sz w:val="20"/>
                <w:szCs w:val="20"/>
                <w:color w:val="auto"/>
              </w:rPr>
            </w:pPr>
            <w:r>
              <w:rPr>
                <w:rFonts w:ascii="Arial" w:cs="Arial" w:eastAsia="Arial" w:hAnsi="Arial"/>
                <w:sz w:val="14"/>
                <w:szCs w:val="14"/>
                <w:b w:val="1"/>
                <w:bCs w:val="1"/>
                <w:color w:val="auto"/>
                <w:w w:val="90"/>
              </w:rPr>
              <w:t>Percentage Point</w:t>
            </w: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608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5"/>
                <w:szCs w:val="15"/>
                <w:color w:val="auto"/>
              </w:rPr>
            </w:pPr>
          </w:p>
        </w:tc>
        <w:tc>
          <w:tcPr>
            <w:tcW w:w="11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5"/>
                <w:szCs w:val="15"/>
                <w:color w:val="auto"/>
              </w:rPr>
            </w:pPr>
          </w:p>
        </w:tc>
        <w:tc>
          <w:tcPr>
            <w:tcW w:w="11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3"/>
              </w:rPr>
              <w:t>Percent Change</w:t>
            </w:r>
          </w:p>
        </w:tc>
        <w:tc>
          <w:tcPr>
            <w:tcW w:w="18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469"/>
        </w:trPr>
        <w:tc>
          <w:tcPr>
            <w:tcW w:w="6820" w:type="dxa"/>
            <w:vAlign w:val="bottom"/>
            <w:gridSpan w:val="2"/>
          </w:tcPr>
          <w:p>
            <w:pPr>
              <w:ind w:left="40"/>
              <w:spacing w:after="0"/>
              <w:rPr>
                <w:sz w:val="20"/>
                <w:szCs w:val="20"/>
                <w:color w:val="auto"/>
              </w:rPr>
            </w:pPr>
            <w:r>
              <w:rPr>
                <w:rFonts w:ascii="Arial" w:cs="Arial" w:eastAsia="Arial" w:hAnsi="Arial"/>
                <w:sz w:val="17"/>
                <w:szCs w:val="17"/>
                <w:b w:val="1"/>
                <w:bCs w:val="1"/>
                <w:color w:val="auto"/>
              </w:rPr>
              <w:t>Key ratios:</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68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Net loss ratio</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56.6%</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46.4%</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2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80" w:type="dxa"/>
            <w:vAlign w:val="bottom"/>
          </w:tcPr>
          <w:p>
            <w:pPr>
              <w:ind w:left="200"/>
              <w:spacing w:after="0"/>
              <w:rPr>
                <w:sz w:val="20"/>
                <w:szCs w:val="20"/>
                <w:color w:val="auto"/>
              </w:rPr>
            </w:pPr>
            <w:r>
              <w:rPr>
                <w:rFonts w:ascii="Arial" w:cs="Arial" w:eastAsia="Arial" w:hAnsi="Arial"/>
                <w:sz w:val="17"/>
                <w:szCs w:val="17"/>
                <w:color w:val="auto"/>
              </w:rPr>
              <w:t>Net underwriting expense ratio</w:t>
            </w:r>
          </w:p>
        </w:tc>
        <w:tc>
          <w:tcPr>
            <w:tcW w:w="7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37.5%</w:t>
            </w:r>
          </w:p>
        </w:tc>
        <w:tc>
          <w:tcPr>
            <w:tcW w:w="1380" w:type="dxa"/>
            <w:vAlign w:val="bottom"/>
            <w:gridSpan w:val="2"/>
          </w:tcPr>
          <w:p>
            <w:pPr>
              <w:jc w:val="right"/>
              <w:ind w:right="140"/>
              <w:spacing w:after="0"/>
              <w:rPr>
                <w:sz w:val="20"/>
                <w:szCs w:val="20"/>
                <w:color w:val="auto"/>
              </w:rPr>
            </w:pPr>
            <w:r>
              <w:rPr>
                <w:rFonts w:ascii="Arial" w:cs="Arial" w:eastAsia="Arial" w:hAnsi="Arial"/>
                <w:sz w:val="17"/>
                <w:szCs w:val="17"/>
                <w:color w:val="auto"/>
              </w:rPr>
              <w:t>37.8%</w:t>
            </w: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(0.3)</w:t>
            </w:r>
          </w:p>
        </w:tc>
        <w:tc>
          <w:tcPr>
            <w:tcW w:w="1220" w:type="dxa"/>
            <w:vAlign w:val="bottom"/>
            <w:gridSpan w:val="3"/>
          </w:tcPr>
          <w:p>
            <w:pPr>
              <w:jc w:val="right"/>
              <w:spacing w:after="0"/>
              <w:rPr>
                <w:sz w:val="20"/>
                <w:szCs w:val="20"/>
                <w:color w:val="auto"/>
              </w:rPr>
            </w:pPr>
            <w:r>
              <w:rPr>
                <w:rFonts w:ascii="Arial" w:cs="Arial" w:eastAsia="Arial" w:hAnsi="Arial"/>
                <w:sz w:val="17"/>
                <w:szCs w:val="17"/>
                <w:color w:val="auto"/>
              </w:rPr>
              <w:t>(0.8)%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0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Net combined ratio</w:t>
            </w:r>
          </w:p>
        </w:tc>
        <w:tc>
          <w:tcPr>
            <w:tcW w:w="7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94.1%</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84.2%</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26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Direct Written Premiums</w:t>
      </w:r>
    </w:p>
    <w:p>
      <w:pPr>
        <w:spacing w:after="0" w:line="158" w:lineRule="exact"/>
        <w:rPr>
          <w:sz w:val="20"/>
          <w:szCs w:val="20"/>
          <w:color w:val="auto"/>
        </w:rPr>
      </w:pPr>
    </w:p>
    <w:p>
      <w:pPr>
        <w:jc w:val="both"/>
        <w:ind w:right="60" w:firstLine="628"/>
        <w:spacing w:after="0" w:line="265" w:lineRule="auto"/>
        <w:rPr>
          <w:sz w:val="20"/>
          <w:szCs w:val="20"/>
          <w:color w:val="auto"/>
        </w:rPr>
      </w:pPr>
      <w:r>
        <w:rPr>
          <w:rFonts w:ascii="Arial" w:cs="Arial" w:eastAsia="Arial" w:hAnsi="Arial"/>
          <w:sz w:val="17"/>
          <w:szCs w:val="17"/>
          <w:color w:val="auto"/>
        </w:rPr>
        <w:t>Direct written premiums during the three months ended June 30, 2019 (“Three Months 2019”) were $44,821,000 compared to $36,864,000 during the three months ended June 30, 2018 (“Three Months 2018”). The increase of $7,957,000, or 21.6%, was primarily due to an increase in policies in-force during 2019 as compared to 2018 driven by continued growth in new business. We wrote more new policies as a result of continued demand for our products in the markets that we serve. Policies in-force increased by 18.8% as of June 30, 2019 compared to June 30, 2018.</w:t>
      </w:r>
    </w:p>
    <w:p>
      <w:pPr>
        <w:spacing w:after="0" w:line="118" w:lineRule="exact"/>
        <w:rPr>
          <w:sz w:val="20"/>
          <w:szCs w:val="20"/>
          <w:color w:val="auto"/>
        </w:rPr>
      </w:pPr>
    </w:p>
    <w:p>
      <w:pPr>
        <w:jc w:val="both"/>
        <w:ind w:right="60" w:firstLine="628"/>
        <w:spacing w:after="0" w:line="293" w:lineRule="auto"/>
        <w:rPr>
          <w:sz w:val="20"/>
          <w:szCs w:val="20"/>
          <w:color w:val="auto"/>
        </w:rPr>
      </w:pPr>
      <w:r>
        <w:rPr>
          <w:rFonts w:ascii="Arial" w:cs="Arial" w:eastAsia="Arial" w:hAnsi="Arial"/>
          <w:sz w:val="16"/>
          <w:szCs w:val="16"/>
          <w:color w:val="auto"/>
        </w:rPr>
        <w:t>In 2017, we started writing homeowners’ policies in New Jersey and Rhode Island. We began writing homeowners policies in Massachusetts in 2018 and Connecticut in March of 2019. We refer to our New York business as our “Core” business and the business outside of New York as our “Expansion” business. Direct written premiums from our Expansion business were $6,297,000 in Three Months 2019, compared to $2,167,000 in Three Months 2018.</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Net Written Premiums and Net Premiums Earned</w:t>
      </w:r>
    </w:p>
    <w:p>
      <w:pPr>
        <w:spacing w:after="0" w:line="158" w:lineRule="exact"/>
        <w:rPr>
          <w:sz w:val="20"/>
          <w:szCs w:val="20"/>
          <w:color w:val="auto"/>
        </w:rPr>
      </w:pPr>
    </w:p>
    <w:p>
      <w:pPr>
        <w:jc w:val="both"/>
        <w:ind w:right="60" w:firstLine="628"/>
        <w:spacing w:after="0" w:line="269" w:lineRule="auto"/>
        <w:rPr>
          <w:sz w:val="20"/>
          <w:szCs w:val="20"/>
          <w:color w:val="auto"/>
        </w:rPr>
      </w:pPr>
      <w:r>
        <w:rPr>
          <w:rFonts w:ascii="Arial" w:cs="Arial" w:eastAsia="Arial" w:hAnsi="Arial"/>
          <w:sz w:val="17"/>
          <w:szCs w:val="17"/>
          <w:color w:val="auto"/>
        </w:rPr>
        <w:t>The following table describes the quota share reinsurance ceding rates in effect during Three Months 2019 and Three Months 2018, respectively. This table should be referred to in conjunction with the discussions for net written premiums, net premiums earned, ceding commission revenue and net loss and loss adjustment expenses that follow.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3240" w:type="dxa"/>
            <w:vAlign w:val="bottom"/>
            <w:gridSpan w:val="4"/>
          </w:tcPr>
          <w:p>
            <w:pPr>
              <w:ind w:left="560"/>
              <w:spacing w:after="0"/>
              <w:rPr>
                <w:sz w:val="20"/>
                <w:szCs w:val="20"/>
                <w:color w:val="auto"/>
              </w:rPr>
            </w:pPr>
            <w:r>
              <w:rPr>
                <w:rFonts w:ascii="Arial" w:cs="Arial" w:eastAsia="Arial" w:hAnsi="Arial"/>
                <w:sz w:val="14"/>
                <w:szCs w:val="14"/>
                <w:b w:val="1"/>
                <w:bCs w:val="1"/>
                <w:color w:val="auto"/>
              </w:rPr>
              <w:t>Three months ended June 30,</w:t>
            </w:r>
          </w:p>
        </w:tc>
      </w:tr>
      <w:tr>
        <w:trPr>
          <w:trHeight w:val="200"/>
        </w:trPr>
        <w:tc>
          <w:tcPr>
            <w:tcW w:w="8180" w:type="dxa"/>
            <w:vAlign w:val="bottom"/>
          </w:tcPr>
          <w:p>
            <w:pPr>
              <w:spacing w:after="0"/>
              <w:rPr>
                <w:sz w:val="17"/>
                <w:szCs w:val="17"/>
                <w:color w:val="auto"/>
              </w:rPr>
            </w:pPr>
          </w:p>
        </w:tc>
        <w:tc>
          <w:tcPr>
            <w:tcW w:w="1200" w:type="dxa"/>
            <w:vAlign w:val="bottom"/>
          </w:tcPr>
          <w:p>
            <w:pPr>
              <w:jc w:val="right"/>
              <w:ind w:right="385"/>
              <w:spacing w:after="0"/>
              <w:rPr>
                <w:sz w:val="20"/>
                <w:szCs w:val="20"/>
                <w:color w:val="auto"/>
              </w:rPr>
            </w:pPr>
            <w:r>
              <w:rPr>
                <w:rFonts w:ascii="Arial" w:cs="Arial" w:eastAsia="Arial" w:hAnsi="Arial"/>
                <w:sz w:val="14"/>
                <w:szCs w:val="14"/>
                <w:b w:val="1"/>
                <w:bCs w:val="1"/>
                <w:color w:val="auto"/>
              </w:rPr>
              <w:t>2019</w:t>
            </w:r>
          </w:p>
        </w:tc>
        <w:tc>
          <w:tcPr>
            <w:tcW w:w="1700" w:type="dxa"/>
            <w:vAlign w:val="bottom"/>
            <w:gridSpan w:val="2"/>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7"/>
                <w:szCs w:val="17"/>
                <w:color w:val="auto"/>
              </w:rPr>
            </w:pPr>
          </w:p>
        </w:tc>
      </w:tr>
      <w:tr>
        <w:trPr>
          <w:trHeight w:val="144"/>
        </w:trPr>
        <w:tc>
          <w:tcPr>
            <w:tcW w:w="8180" w:type="dxa"/>
            <w:vAlign w:val="bottom"/>
          </w:tcPr>
          <w:p>
            <w:pPr>
              <w:spacing w:after="0"/>
              <w:rPr>
                <w:sz w:val="12"/>
                <w:szCs w:val="12"/>
                <w:color w:val="auto"/>
              </w:rPr>
            </w:pPr>
          </w:p>
        </w:tc>
        <w:tc>
          <w:tcPr>
            <w:tcW w:w="1200" w:type="dxa"/>
            <w:vAlign w:val="bottom"/>
            <w:tcBorders>
              <w:top w:val="single" w:sz="8" w:color="auto"/>
            </w:tcBorders>
          </w:tcPr>
          <w:p>
            <w:pPr>
              <w:jc w:val="right"/>
              <w:ind w:right="145"/>
              <w:spacing w:after="0" w:line="144" w:lineRule="exact"/>
              <w:rPr>
                <w:sz w:val="20"/>
                <w:szCs w:val="20"/>
                <w:color w:val="auto"/>
              </w:rPr>
            </w:pPr>
            <w:r>
              <w:rPr>
                <w:rFonts w:ascii="Arial" w:cs="Arial" w:eastAsia="Arial" w:hAnsi="Arial"/>
                <w:sz w:val="14"/>
                <w:szCs w:val="14"/>
                <w:b w:val="1"/>
                <w:bCs w:val="1"/>
                <w:color w:val="auto"/>
              </w:rPr>
              <w:t>("2017/2019</w:t>
            </w:r>
          </w:p>
        </w:tc>
        <w:tc>
          <w:tcPr>
            <w:tcW w:w="520" w:type="dxa"/>
            <w:vAlign w:val="bottom"/>
          </w:tcPr>
          <w:p>
            <w:pPr>
              <w:spacing w:after="0"/>
              <w:rPr>
                <w:sz w:val="12"/>
                <w:szCs w:val="12"/>
                <w:color w:val="auto"/>
              </w:rPr>
            </w:pPr>
          </w:p>
        </w:tc>
        <w:tc>
          <w:tcPr>
            <w:tcW w:w="1180" w:type="dxa"/>
            <w:vAlign w:val="bottom"/>
            <w:tcBorders>
              <w:top w:val="single" w:sz="8" w:color="auto"/>
            </w:tcBorders>
          </w:tcPr>
          <w:p>
            <w:pPr>
              <w:jc w:val="right"/>
              <w:ind w:right="148"/>
              <w:spacing w:after="0" w:line="144" w:lineRule="exact"/>
              <w:rPr>
                <w:sz w:val="20"/>
                <w:szCs w:val="20"/>
                <w:color w:val="auto"/>
              </w:rPr>
            </w:pPr>
            <w:r>
              <w:rPr>
                <w:rFonts w:ascii="Arial" w:cs="Arial" w:eastAsia="Arial" w:hAnsi="Arial"/>
                <w:sz w:val="14"/>
                <w:szCs w:val="14"/>
                <w:b w:val="1"/>
                <w:bCs w:val="1"/>
                <w:color w:val="auto"/>
              </w:rPr>
              <w:t>("2017/2019</w:t>
            </w:r>
          </w:p>
        </w:tc>
        <w:tc>
          <w:tcPr>
            <w:tcW w:w="340" w:type="dxa"/>
            <w:vAlign w:val="bottom"/>
          </w:tcPr>
          <w:p>
            <w:pPr>
              <w:spacing w:after="0"/>
              <w:rPr>
                <w:sz w:val="12"/>
                <w:szCs w:val="12"/>
                <w:color w:val="auto"/>
              </w:rPr>
            </w:pPr>
          </w:p>
        </w:tc>
      </w:tr>
      <w:tr>
        <w:trPr>
          <w:trHeight w:val="186"/>
        </w:trPr>
        <w:tc>
          <w:tcPr>
            <w:tcW w:w="8180" w:type="dxa"/>
            <w:vAlign w:val="bottom"/>
          </w:tcPr>
          <w:p>
            <w:pPr>
              <w:spacing w:after="0"/>
              <w:rPr>
                <w:sz w:val="16"/>
                <w:szCs w:val="16"/>
                <w:color w:val="auto"/>
              </w:rPr>
            </w:pPr>
          </w:p>
        </w:tc>
        <w:tc>
          <w:tcPr>
            <w:tcW w:w="1200" w:type="dxa"/>
            <w:vAlign w:val="bottom"/>
          </w:tcPr>
          <w:p>
            <w:pPr>
              <w:jc w:val="right"/>
              <w:ind w:right="265"/>
              <w:spacing w:after="0"/>
              <w:rPr>
                <w:sz w:val="20"/>
                <w:szCs w:val="20"/>
                <w:color w:val="auto"/>
              </w:rPr>
            </w:pPr>
            <w:r>
              <w:rPr>
                <w:rFonts w:ascii="Arial" w:cs="Arial" w:eastAsia="Arial" w:hAnsi="Arial"/>
                <w:sz w:val="14"/>
                <w:szCs w:val="14"/>
                <w:b w:val="1"/>
                <w:bCs w:val="1"/>
                <w:color w:val="auto"/>
              </w:rPr>
              <w:t>Treaty")</w:t>
            </w:r>
          </w:p>
        </w:tc>
        <w:tc>
          <w:tcPr>
            <w:tcW w:w="520" w:type="dxa"/>
            <w:vAlign w:val="bottom"/>
          </w:tcPr>
          <w:p>
            <w:pPr>
              <w:spacing w:after="0"/>
              <w:rPr>
                <w:sz w:val="16"/>
                <w:szCs w:val="16"/>
                <w:color w:val="auto"/>
              </w:rPr>
            </w:pPr>
          </w:p>
        </w:tc>
        <w:tc>
          <w:tcPr>
            <w:tcW w:w="1520" w:type="dxa"/>
            <w:vAlign w:val="bottom"/>
            <w:gridSpan w:val="2"/>
          </w:tcPr>
          <w:p>
            <w:pPr>
              <w:ind w:left="320"/>
              <w:spacing w:after="0"/>
              <w:rPr>
                <w:sz w:val="20"/>
                <w:szCs w:val="20"/>
                <w:color w:val="auto"/>
              </w:rPr>
            </w:pPr>
            <w:r>
              <w:rPr>
                <w:rFonts w:ascii="Arial" w:cs="Arial" w:eastAsia="Arial" w:hAnsi="Arial"/>
                <w:sz w:val="14"/>
                <w:szCs w:val="14"/>
                <w:b w:val="1"/>
                <w:bCs w:val="1"/>
                <w:color w:val="auto"/>
              </w:rPr>
              <w:t>Treaty")</w:t>
            </w:r>
          </w:p>
        </w:tc>
      </w:tr>
      <w:tr>
        <w:trPr>
          <w:trHeight w:val="428"/>
        </w:trPr>
        <w:tc>
          <w:tcPr>
            <w:tcW w:w="8180" w:type="dxa"/>
            <w:vAlign w:val="bottom"/>
          </w:tcPr>
          <w:p>
            <w:pPr>
              <w:spacing w:after="0"/>
              <w:rPr>
                <w:sz w:val="20"/>
                <w:szCs w:val="20"/>
                <w:color w:val="auto"/>
              </w:rPr>
            </w:pPr>
            <w:r>
              <w:rPr>
                <w:rFonts w:ascii="Arial" w:cs="Arial" w:eastAsia="Arial" w:hAnsi="Arial"/>
                <w:sz w:val="17"/>
                <w:szCs w:val="17"/>
                <w:b w:val="1"/>
                <w:bCs w:val="1"/>
                <w:color w:val="auto"/>
              </w:rPr>
              <w:t>Quota share reinsurance rates</w:t>
            </w: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10"/>
        </w:trPr>
        <w:tc>
          <w:tcPr>
            <w:tcW w:w="8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Personal lines</w:t>
            </w:r>
          </w:p>
        </w:tc>
        <w:tc>
          <w:tcPr>
            <w:tcW w:w="1200" w:type="dxa"/>
            <w:vAlign w:val="bottom"/>
            <w:shd w:val="clear" w:color="auto" w:fill="CCEEFF"/>
          </w:tcPr>
          <w:p>
            <w:pPr>
              <w:jc w:val="right"/>
              <w:ind w:right="145"/>
              <w:spacing w:after="0"/>
              <w:rPr>
                <w:sz w:val="20"/>
                <w:szCs w:val="20"/>
                <w:color w:val="auto"/>
              </w:rPr>
            </w:pPr>
            <w:r>
              <w:rPr>
                <w:rFonts w:ascii="Arial" w:cs="Arial" w:eastAsia="Arial" w:hAnsi="Arial"/>
                <w:sz w:val="17"/>
                <w:szCs w:val="17"/>
                <w:color w:val="auto"/>
              </w:rPr>
              <w:t>10%(1)</w:t>
            </w:r>
          </w:p>
        </w:tc>
        <w:tc>
          <w:tcPr>
            <w:tcW w:w="1700" w:type="dxa"/>
            <w:vAlign w:val="bottom"/>
            <w:gridSpan w:val="2"/>
            <w:shd w:val="clear" w:color="auto" w:fill="CCEEFF"/>
          </w:tcPr>
          <w:p>
            <w:pPr>
              <w:jc w:val="right"/>
              <w:ind w:right="128"/>
              <w:spacing w:after="0"/>
              <w:rPr>
                <w:sz w:val="20"/>
                <w:szCs w:val="20"/>
                <w:color w:val="auto"/>
              </w:rPr>
            </w:pPr>
            <w:r>
              <w:rPr>
                <w:rFonts w:ascii="Arial" w:cs="Arial" w:eastAsia="Arial" w:hAnsi="Arial"/>
                <w:sz w:val="17"/>
                <w:szCs w:val="17"/>
                <w:color w:val="auto"/>
              </w:rPr>
              <w:t>20%(1)</w:t>
            </w:r>
          </w:p>
        </w:tc>
        <w:tc>
          <w:tcPr>
            <w:tcW w:w="340" w:type="dxa"/>
            <w:vAlign w:val="bottom"/>
            <w:shd w:val="clear" w:color="auto" w:fill="CCEEFF"/>
          </w:tcPr>
          <w:p>
            <w:pPr>
              <w:spacing w:after="0"/>
              <w:rPr>
                <w:sz w:val="18"/>
                <w:szCs w:val="18"/>
                <w:color w:val="auto"/>
              </w:rPr>
            </w:pPr>
          </w:p>
        </w:tc>
      </w:tr>
    </w:tbl>
    <w:p>
      <w:pPr>
        <w:spacing w:after="0" w:line="227" w:lineRule="exact"/>
        <w:rPr>
          <w:sz w:val="20"/>
          <w:szCs w:val="20"/>
          <w:color w:val="auto"/>
        </w:rPr>
      </w:pPr>
    </w:p>
    <w:p>
      <w:pPr>
        <w:ind w:left="640" w:right="2840" w:hanging="8"/>
        <w:spacing w:after="0" w:line="351" w:lineRule="auto"/>
        <w:tabs>
          <w:tab w:leader="none" w:pos="954" w:val="left"/>
        </w:tabs>
        <w:numPr>
          <w:ilvl w:val="0"/>
          <w:numId w:val="13"/>
        </w:numPr>
        <w:rPr>
          <w:rFonts w:ascii="Arial" w:cs="Arial" w:eastAsia="Arial" w:hAnsi="Arial"/>
          <w:sz w:val="15"/>
          <w:szCs w:val="15"/>
          <w:color w:val="auto"/>
        </w:rPr>
      </w:pPr>
      <w:r>
        <w:rPr>
          <w:rFonts w:ascii="Arial" w:cs="Arial" w:eastAsia="Arial" w:hAnsi="Arial"/>
          <w:sz w:val="15"/>
          <w:szCs w:val="15"/>
          <w:color w:val="auto"/>
        </w:rPr>
        <w:t>2017/2019 Treaty is a two-year treaty, quota share reinsurance rate was reduced to 10% effective July 1, 2018. See “Reinsurance” below for changes to our personal lines quota share treaties effective July 1, 2019, 2018 and 2017.</w:t>
      </w:r>
    </w:p>
    <w:p>
      <w:pPr>
        <w:spacing w:after="0" w:line="333"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80"/>
          </w:cols>
          <w:pgMar w:left="240" w:top="576" w:right="179" w:bottom="1440" w:gutter="0" w:footer="0" w:header="0"/>
        </w:sectPr>
      </w:pPr>
    </w:p>
    <w:bookmarkStart w:id="56" w:name="page57"/>
    <w:bookmarkEnd w:id="56"/>
    <w:p>
      <w:pPr>
        <w:jc w:val="both"/>
        <w:ind w:firstLine="628"/>
        <w:spacing w:after="0" w:line="306" w:lineRule="auto"/>
        <w:rPr>
          <w:sz w:val="20"/>
          <w:szCs w:val="20"/>
          <w:color w:val="auto"/>
        </w:rPr>
      </w:pPr>
      <w:r>
        <w:rPr>
          <w:rFonts w:ascii="Arial" w:cs="Arial" w:eastAsia="Arial" w:hAnsi="Arial"/>
          <w:sz w:val="15"/>
          <w:szCs w:val="15"/>
          <w:color w:val="auto"/>
        </w:rPr>
        <w:t>Net written premiums increased $8,656,000, or 31.0%, to $36,621,000 in Three Months 2019 from $27,965,000 in Three Months 2018. Net written premiums include direct and assumed premiums, less the amount of written premiums ceded under our reinsurance treaties (quota share, excess of loss, and catastrophe). Our personal lines business was currently subject to a quota share treaty through June 30, 2019, now in run off. A reduction to the quota share percentage or elimination of a quota share treaty will reduce our ceded written premiums, which will result in a corresponding increase to our net written premiums. The increase in net written premiums is due to growth and the reduction of our personal lines quota share reinsurance rate from 20% to 10% on July 1, 2018.</w:t>
      </w:r>
    </w:p>
    <w:p>
      <w:pPr>
        <w:spacing w:after="0" w:line="91"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Excess of loss reinsurance treaties</w:t>
      </w:r>
    </w:p>
    <w:p>
      <w:pPr>
        <w:spacing w:after="0" w:line="158" w:lineRule="exact"/>
        <w:rPr>
          <w:sz w:val="20"/>
          <w:szCs w:val="20"/>
          <w:color w:val="auto"/>
        </w:rPr>
      </w:pPr>
    </w:p>
    <w:p>
      <w:pPr>
        <w:jc w:val="both"/>
        <w:ind w:firstLine="628"/>
        <w:spacing w:after="0" w:line="269" w:lineRule="auto"/>
        <w:rPr>
          <w:sz w:val="20"/>
          <w:szCs w:val="20"/>
          <w:color w:val="auto"/>
        </w:rPr>
      </w:pPr>
      <w:r>
        <w:rPr>
          <w:rFonts w:ascii="Arial" w:cs="Arial" w:eastAsia="Arial" w:hAnsi="Arial"/>
          <w:sz w:val="17"/>
          <w:szCs w:val="17"/>
          <w:color w:val="auto"/>
        </w:rPr>
        <w:t>An increase in written premiums will, to a lesser extent, increase the premiums ceded under our excess of loss treaties. In Three Months 2019, our ceded excess of loss reinsurance premiums increased by $122,000 over the comparable ceded premiums for Three Months 2018. The increase is due to an increase in premiums subject to excess of loss reinsurance.</w:t>
      </w:r>
    </w:p>
    <w:p>
      <w:pPr>
        <w:spacing w:after="0" w:line="114"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Catastrophe reinsurance treaties</w:t>
      </w:r>
    </w:p>
    <w:p>
      <w:pPr>
        <w:spacing w:after="0" w:line="158"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6"/>
          <w:szCs w:val="16"/>
          <w:color w:val="auto"/>
        </w:rPr>
        <w:t>Most of the premiums written under our personal lines are also subject to our catastrophe treaty. An increase in our personal lines business gives rise to more property exposure, which increases our exposure to catastrophe risk; therefore, our premiums ceded under catastrophe treaties will increase. This results in an increase in premiums ceded under our catastrophe treaty provided that reinsurance rates are stable or are increasing. In Three Months 2019, our premiums ceded under catastrophe treaties increased by $1,079,000 over the comparable ceded premiums for Three Months 2018. The increase was due to an increase in our catastrophe coverage and an increase in premiums subject to catastrophe reinsurance, partially offset by more favorable reinsurance rates in Three Months 2019. Our ceded catastrophe premiums are paid based on the total direct written premiums subject to the catastrophe reinsurance treaty.</w:t>
      </w:r>
    </w:p>
    <w:p>
      <w:pPr>
        <w:spacing w:after="0" w:line="107"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Net premiums earned</w:t>
      </w:r>
    </w:p>
    <w:p>
      <w:pPr>
        <w:spacing w:after="0" w:line="158" w:lineRule="exact"/>
        <w:rPr>
          <w:sz w:val="20"/>
          <w:szCs w:val="20"/>
          <w:color w:val="auto"/>
        </w:rPr>
      </w:pPr>
    </w:p>
    <w:p>
      <w:pPr>
        <w:jc w:val="both"/>
        <w:ind w:firstLine="628"/>
        <w:spacing w:after="0" w:line="269" w:lineRule="auto"/>
        <w:rPr>
          <w:sz w:val="20"/>
          <w:szCs w:val="20"/>
          <w:color w:val="auto"/>
        </w:rPr>
      </w:pPr>
      <w:r>
        <w:rPr>
          <w:rFonts w:ascii="Arial" w:cs="Arial" w:eastAsia="Arial" w:hAnsi="Arial"/>
          <w:sz w:val="17"/>
          <w:szCs w:val="17"/>
          <w:color w:val="auto"/>
        </w:rPr>
        <w:t>Net premiums earned increased $7,096,000, or 29.4 %, to $31,201,000 in Three Months 2019 from $24,105,000 in Three Months 2018. The increase was due to the increase in written premiums discussed above and our retaining more earned premiums effective July 1, 2018, as a result of the reduction of the quota share percentage in our personal lines quota share treaty.</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Ceding Commission Revenue</w:t>
      </w:r>
    </w:p>
    <w:p>
      <w:pPr>
        <w:spacing w:after="0" w:line="158"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The following table details the quota share provisional ceding commission rates in effect during Three Months 2019 and Three Months 2018. This table should be referred to in conjunction with the discussion for ceding commission revenue that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3240" w:type="dxa"/>
            <w:vAlign w:val="bottom"/>
            <w:gridSpan w:val="5"/>
          </w:tcPr>
          <w:p>
            <w:pPr>
              <w:ind w:left="820"/>
              <w:spacing w:after="0"/>
              <w:rPr>
                <w:sz w:val="20"/>
                <w:szCs w:val="20"/>
                <w:color w:val="auto"/>
              </w:rPr>
            </w:pPr>
            <w:r>
              <w:rPr>
                <w:rFonts w:ascii="Arial" w:cs="Arial" w:eastAsia="Arial" w:hAnsi="Arial"/>
                <w:sz w:val="14"/>
                <w:szCs w:val="14"/>
                <w:b w:val="1"/>
                <w:bCs w:val="1"/>
                <w:color w:val="auto"/>
              </w:rPr>
              <w:t>Three months ended</w:t>
            </w:r>
          </w:p>
        </w:tc>
      </w:tr>
      <w:tr>
        <w:trPr>
          <w:trHeight w:val="200"/>
        </w:trPr>
        <w:tc>
          <w:tcPr>
            <w:tcW w:w="8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0" w:type="dxa"/>
            <w:vAlign w:val="bottom"/>
            <w:gridSpan w:val="4"/>
          </w:tcPr>
          <w:p>
            <w:pPr>
              <w:ind w:left="80"/>
              <w:spacing w:after="0"/>
              <w:rPr>
                <w:sz w:val="20"/>
                <w:szCs w:val="20"/>
                <w:color w:val="auto"/>
              </w:rPr>
            </w:pPr>
            <w:r>
              <w:rPr>
                <w:rFonts w:ascii="Arial" w:cs="Arial" w:eastAsia="Arial" w:hAnsi="Arial"/>
                <w:sz w:val="14"/>
                <w:szCs w:val="14"/>
                <w:b w:val="1"/>
                <w:bCs w:val="1"/>
                <w:color w:val="auto"/>
              </w:rPr>
              <w:t>June 30,</w:t>
            </w:r>
          </w:p>
        </w:tc>
      </w:tr>
      <w:tr>
        <w:trPr>
          <w:trHeight w:val="215"/>
        </w:trPr>
        <w:tc>
          <w:tcPr>
            <w:tcW w:w="8180" w:type="dxa"/>
            <w:vAlign w:val="bottom"/>
          </w:tcPr>
          <w:p>
            <w:pPr>
              <w:spacing w:after="0"/>
              <w:rPr>
                <w:sz w:val="18"/>
                <w:szCs w:val="18"/>
                <w:color w:val="auto"/>
              </w:rPr>
            </w:pPr>
          </w:p>
        </w:tc>
        <w:tc>
          <w:tcPr>
            <w:tcW w:w="1040" w:type="dxa"/>
            <w:vAlign w:val="bottom"/>
            <w:tcBorders>
              <w:top w:val="single" w:sz="8" w:color="auto"/>
            </w:tcBorders>
          </w:tcPr>
          <w:p>
            <w:pPr>
              <w:jc w:val="right"/>
              <w:ind w:right="225"/>
              <w:spacing w:after="0"/>
              <w:rPr>
                <w:sz w:val="20"/>
                <w:szCs w:val="20"/>
                <w:color w:val="auto"/>
              </w:rPr>
            </w:pPr>
            <w:r>
              <w:rPr>
                <w:rFonts w:ascii="Arial" w:cs="Arial" w:eastAsia="Arial" w:hAnsi="Arial"/>
                <w:sz w:val="14"/>
                <w:szCs w:val="14"/>
                <w:b w:val="1"/>
                <w:bCs w:val="1"/>
                <w:color w:val="auto"/>
              </w:rPr>
              <w:t>2019</w:t>
            </w:r>
          </w:p>
        </w:tc>
        <w:tc>
          <w:tcPr>
            <w:tcW w:w="1860" w:type="dxa"/>
            <w:vAlign w:val="bottom"/>
            <w:tcBorders>
              <w:top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8"/>
                <w:szCs w:val="18"/>
                <w:color w:val="auto"/>
              </w:rPr>
            </w:pPr>
          </w:p>
        </w:tc>
      </w:tr>
      <w:tr>
        <w:trPr>
          <w:trHeight w:val="144"/>
        </w:trPr>
        <w:tc>
          <w:tcPr>
            <w:tcW w:w="8180" w:type="dxa"/>
            <w:vAlign w:val="bottom"/>
          </w:tcPr>
          <w:p>
            <w:pPr>
              <w:spacing w:after="0"/>
              <w:rPr>
                <w:sz w:val="12"/>
                <w:szCs w:val="12"/>
                <w:color w:val="auto"/>
              </w:rPr>
            </w:pPr>
          </w:p>
        </w:tc>
        <w:tc>
          <w:tcPr>
            <w:tcW w:w="104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4"/>
                <w:szCs w:val="14"/>
                <w:b w:val="1"/>
                <w:bCs w:val="1"/>
                <w:color w:val="auto"/>
              </w:rPr>
              <w:t>("2017/2019</w:t>
            </w:r>
          </w:p>
        </w:tc>
        <w:tc>
          <w:tcPr>
            <w:tcW w:w="16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180" w:type="dxa"/>
            <w:vAlign w:val="bottom"/>
            <w:tcBorders>
              <w:top w:val="single" w:sz="8" w:color="auto"/>
            </w:tcBorders>
          </w:tcPr>
          <w:p>
            <w:pPr>
              <w:jc w:val="right"/>
              <w:ind w:right="148"/>
              <w:spacing w:after="0" w:line="144" w:lineRule="exact"/>
              <w:rPr>
                <w:sz w:val="20"/>
                <w:szCs w:val="20"/>
                <w:color w:val="auto"/>
              </w:rPr>
            </w:pPr>
            <w:r>
              <w:rPr>
                <w:rFonts w:ascii="Arial" w:cs="Arial" w:eastAsia="Arial" w:hAnsi="Arial"/>
                <w:sz w:val="14"/>
                <w:szCs w:val="14"/>
                <w:b w:val="1"/>
                <w:bCs w:val="1"/>
                <w:color w:val="auto"/>
              </w:rPr>
              <w:t>("2017/2019</w:t>
            </w:r>
          </w:p>
        </w:tc>
        <w:tc>
          <w:tcPr>
            <w:tcW w:w="340" w:type="dxa"/>
            <w:vAlign w:val="bottom"/>
          </w:tcPr>
          <w:p>
            <w:pPr>
              <w:spacing w:after="0"/>
              <w:rPr>
                <w:sz w:val="12"/>
                <w:szCs w:val="12"/>
                <w:color w:val="auto"/>
              </w:rPr>
            </w:pPr>
          </w:p>
        </w:tc>
      </w:tr>
      <w:tr>
        <w:trPr>
          <w:trHeight w:val="186"/>
        </w:trPr>
        <w:tc>
          <w:tcPr>
            <w:tcW w:w="8180" w:type="dxa"/>
            <w:vAlign w:val="bottom"/>
          </w:tcPr>
          <w:p>
            <w:pPr>
              <w:spacing w:after="0"/>
              <w:rPr>
                <w:sz w:val="16"/>
                <w:szCs w:val="16"/>
                <w:color w:val="auto"/>
              </w:rPr>
            </w:pPr>
          </w:p>
        </w:tc>
        <w:tc>
          <w:tcPr>
            <w:tcW w:w="1040" w:type="dxa"/>
            <w:vAlign w:val="bottom"/>
          </w:tcPr>
          <w:p>
            <w:pPr>
              <w:jc w:val="right"/>
              <w:ind w:right="105"/>
              <w:spacing w:after="0"/>
              <w:rPr>
                <w:sz w:val="20"/>
                <w:szCs w:val="20"/>
                <w:color w:val="auto"/>
              </w:rPr>
            </w:pPr>
            <w:r>
              <w:rPr>
                <w:rFonts w:ascii="Arial" w:cs="Arial" w:eastAsia="Arial" w:hAnsi="Arial"/>
                <w:sz w:val="14"/>
                <w:szCs w:val="14"/>
                <w:b w:val="1"/>
                <w:bCs w:val="1"/>
                <w:color w:val="auto"/>
              </w:rPr>
              <w:t>Treaty")</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20" w:type="dxa"/>
            <w:vAlign w:val="bottom"/>
            <w:gridSpan w:val="2"/>
          </w:tcPr>
          <w:p>
            <w:pPr>
              <w:ind w:left="320"/>
              <w:spacing w:after="0"/>
              <w:rPr>
                <w:sz w:val="20"/>
                <w:szCs w:val="20"/>
                <w:color w:val="auto"/>
              </w:rPr>
            </w:pPr>
            <w:r>
              <w:rPr>
                <w:rFonts w:ascii="Arial" w:cs="Arial" w:eastAsia="Arial" w:hAnsi="Arial"/>
                <w:sz w:val="14"/>
                <w:szCs w:val="14"/>
                <w:b w:val="1"/>
                <w:bCs w:val="1"/>
                <w:color w:val="auto"/>
              </w:rPr>
              <w:t>Treaty")</w:t>
            </w:r>
          </w:p>
        </w:tc>
      </w:tr>
      <w:tr>
        <w:trPr>
          <w:trHeight w:val="428"/>
        </w:trPr>
        <w:tc>
          <w:tcPr>
            <w:tcW w:w="8180" w:type="dxa"/>
            <w:vAlign w:val="bottom"/>
          </w:tcPr>
          <w:p>
            <w:pPr>
              <w:ind w:left="40"/>
              <w:spacing w:after="0"/>
              <w:rPr>
                <w:sz w:val="20"/>
                <w:szCs w:val="20"/>
                <w:color w:val="auto"/>
              </w:rPr>
            </w:pPr>
            <w:r>
              <w:rPr>
                <w:rFonts w:ascii="Arial" w:cs="Arial" w:eastAsia="Arial" w:hAnsi="Arial"/>
                <w:sz w:val="17"/>
                <w:szCs w:val="17"/>
                <w:b w:val="1"/>
                <w:bCs w:val="1"/>
                <w:color w:val="auto"/>
              </w:rPr>
              <w:t>Provisional ceding commission rate on quota share treaty</w:t>
            </w: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10"/>
        </w:trPr>
        <w:tc>
          <w:tcPr>
            <w:tcW w:w="8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Personal lines</w:t>
            </w:r>
          </w:p>
        </w:tc>
        <w:tc>
          <w:tcPr>
            <w:tcW w:w="1040" w:type="dxa"/>
            <w:vAlign w:val="bottom"/>
            <w:shd w:val="clear" w:color="auto" w:fill="CCEEFF"/>
          </w:tcPr>
          <w:p>
            <w:pPr>
              <w:jc w:val="right"/>
              <w:ind w:right="85"/>
              <w:spacing w:after="0"/>
              <w:rPr>
                <w:sz w:val="20"/>
                <w:szCs w:val="20"/>
                <w:color w:val="auto"/>
              </w:rPr>
            </w:pPr>
            <w:r>
              <w:rPr>
                <w:rFonts w:ascii="Arial" w:cs="Arial" w:eastAsia="Arial" w:hAnsi="Arial"/>
                <w:sz w:val="17"/>
                <w:szCs w:val="17"/>
                <w:color w:val="auto"/>
              </w:rPr>
              <w:t>53%</w:t>
            </w:r>
          </w:p>
        </w:tc>
        <w:tc>
          <w:tcPr>
            <w:tcW w:w="1860" w:type="dxa"/>
            <w:vAlign w:val="bottom"/>
            <w:gridSpan w:val="3"/>
            <w:shd w:val="clear" w:color="auto" w:fill="CCEEFF"/>
          </w:tcPr>
          <w:p>
            <w:pPr>
              <w:jc w:val="right"/>
              <w:ind w:right="228"/>
              <w:spacing w:after="0"/>
              <w:rPr>
                <w:sz w:val="20"/>
                <w:szCs w:val="20"/>
                <w:color w:val="auto"/>
              </w:rPr>
            </w:pPr>
            <w:r>
              <w:rPr>
                <w:rFonts w:ascii="Arial" w:cs="Arial" w:eastAsia="Arial" w:hAnsi="Arial"/>
                <w:sz w:val="17"/>
                <w:szCs w:val="17"/>
                <w:color w:val="auto"/>
              </w:rPr>
              <w:t>53%</w:t>
            </w:r>
          </w:p>
        </w:tc>
        <w:tc>
          <w:tcPr>
            <w:tcW w:w="34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57" w:name="page58"/>
    <w:bookmarkEnd w:id="57"/>
    <w:p>
      <w:pPr>
        <w:ind w:left="640"/>
        <w:spacing w:after="0"/>
        <w:rPr>
          <w:sz w:val="20"/>
          <w:szCs w:val="20"/>
          <w:color w:val="auto"/>
        </w:rPr>
      </w:pPr>
      <w:r>
        <w:rPr>
          <w:rFonts w:ascii="Arial" w:cs="Arial" w:eastAsia="Arial" w:hAnsi="Arial"/>
          <w:sz w:val="17"/>
          <w:szCs w:val="17"/>
          <w:color w:val="auto"/>
        </w:rPr>
        <w:t>The following table summarizes the changes in the components of ceding commission revenue (in thousands) for the periods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080" w:type="dxa"/>
            <w:vAlign w:val="bottom"/>
            <w:vMerge w:val="restart"/>
          </w:tcPr>
          <w:p>
            <w:pPr>
              <w:spacing w:after="0"/>
              <w:rPr>
                <w:sz w:val="20"/>
                <w:szCs w:val="20"/>
                <w:color w:val="auto"/>
              </w:rPr>
            </w:pPr>
            <w:r>
              <w:rPr>
                <w:rFonts w:ascii="Arial" w:cs="Arial" w:eastAsia="Arial" w:hAnsi="Arial"/>
                <w:sz w:val="17"/>
                <w:szCs w:val="17"/>
                <w:b w:val="1"/>
                <w:bCs w:val="1"/>
                <w:color w:val="auto"/>
              </w:rPr>
              <w:t>($ in thousands)</w:t>
            </w: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6"/>
          </w:tcPr>
          <w:p>
            <w:pPr>
              <w:jc w:val="right"/>
              <w:ind w:right="620"/>
              <w:spacing w:after="0"/>
              <w:rPr>
                <w:sz w:val="20"/>
                <w:szCs w:val="20"/>
                <w:color w:val="auto"/>
              </w:rPr>
            </w:pPr>
            <w:r>
              <w:rPr>
                <w:rFonts w:ascii="Arial" w:cs="Arial" w:eastAsia="Arial" w:hAnsi="Arial"/>
                <w:sz w:val="14"/>
                <w:szCs w:val="14"/>
                <w:b w:val="1"/>
                <w:bCs w:val="1"/>
                <w:color w:val="auto"/>
                <w:w w:val="96"/>
              </w:rPr>
              <w:t>Three months ended June 30,</w:t>
            </w:r>
          </w:p>
        </w:tc>
        <w:tc>
          <w:tcPr>
            <w:tcW w:w="1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0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317"/>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Change</w:t>
            </w:r>
          </w:p>
        </w:tc>
        <w:tc>
          <w:tcPr>
            <w:tcW w:w="1280" w:type="dxa"/>
            <w:vAlign w:val="bottom"/>
            <w:gridSpan w:val="4"/>
          </w:tcPr>
          <w:p>
            <w:pPr>
              <w:ind w:left="32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35"/>
        </w:trPr>
        <w:tc>
          <w:tcPr>
            <w:tcW w:w="60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08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Provisional ceding commissions earned</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1,363</w:t>
            </w: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2,146</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(783)</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(36.5)%</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8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Contingent ceding commissions earned</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80" w:type="dxa"/>
            <w:vAlign w:val="bottom"/>
          </w:tcPr>
          <w:p>
            <w:pPr>
              <w:ind w:left="200"/>
              <w:spacing w:after="0"/>
              <w:rPr>
                <w:sz w:val="20"/>
                <w:szCs w:val="20"/>
                <w:color w:val="auto"/>
              </w:rPr>
            </w:pPr>
            <w:r>
              <w:rPr>
                <w:rFonts w:ascii="Arial" w:cs="Arial" w:eastAsia="Arial" w:hAnsi="Arial"/>
                <w:sz w:val="17"/>
                <w:szCs w:val="17"/>
                <w:color w:val="auto"/>
              </w:rPr>
              <w:t>Contingent ceding commissions earned excluding</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8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the effect of catastrophes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(688)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(330)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(358)</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80" w:type="dxa"/>
            <w:vAlign w:val="bottom"/>
          </w:tcPr>
          <w:p>
            <w:pPr>
              <w:ind w:left="200"/>
              <w:spacing w:after="0"/>
              <w:rPr>
                <w:sz w:val="20"/>
                <w:szCs w:val="20"/>
                <w:color w:val="auto"/>
              </w:rPr>
            </w:pPr>
            <w:r>
              <w:rPr>
                <w:rFonts w:ascii="Arial" w:cs="Arial" w:eastAsia="Arial" w:hAnsi="Arial"/>
                <w:sz w:val="17"/>
                <w:szCs w:val="17"/>
                <w:color w:val="auto"/>
              </w:rPr>
              <w:t>Effect of catastrophes on ceding commissions earned</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(125)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125</w:t>
            </w:r>
          </w:p>
        </w:tc>
        <w:tc>
          <w:tcPr>
            <w:tcW w:w="260" w:type="dxa"/>
            <w:vAlign w:val="bottom"/>
          </w:tcPr>
          <w:p>
            <w:pPr>
              <w:spacing w:after="0"/>
              <w:rPr>
                <w:sz w:val="18"/>
                <w:szCs w:val="18"/>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7"/>
                <w:szCs w:val="17"/>
                <w:color w:val="auto"/>
              </w:rPr>
              <w:t>n/a</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0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60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Contingent ceding commissions earned</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(688)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(455)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(233)</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51.2%</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8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ceding commission revenue</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675</w:t>
            </w:r>
          </w:p>
        </w:tc>
        <w:tc>
          <w:tcPr>
            <w:tcW w:w="16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1,691</w:t>
            </w:r>
          </w:p>
        </w:tc>
        <w:tc>
          <w:tcPr>
            <w:tcW w:w="16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(1,016)</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(60.1)%</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jc w:val="both"/>
        <w:ind w:right="60" w:firstLine="628"/>
        <w:spacing w:after="0" w:line="265" w:lineRule="auto"/>
        <w:rPr>
          <w:sz w:val="20"/>
          <w:szCs w:val="20"/>
          <w:color w:val="auto"/>
        </w:rPr>
      </w:pPr>
      <w:r>
        <w:rPr>
          <w:rFonts w:ascii="Arial" w:cs="Arial" w:eastAsia="Arial" w:hAnsi="Arial"/>
          <w:sz w:val="17"/>
          <w:szCs w:val="17"/>
          <w:color w:val="auto"/>
        </w:rPr>
        <w:t>Ceding commission revenue was $675,000 in Three Months 2019 compared to $1,691,000 in Three Months 2018. The decrease of $1,016,000, or 60.1%, was due to a decrease in provisional ceding commissions earned as well as a decrease in contingent ceding commissions earned. The reduction in provisional ceding commissions occurred due to us making the decision to retain more of our profitable business (see below for discussion of provisional ceding commissions earned and contingent ceding commissions earned).</w:t>
      </w:r>
    </w:p>
    <w:p>
      <w:pPr>
        <w:spacing w:after="0" w:line="118" w:lineRule="exact"/>
        <w:rPr>
          <w:sz w:val="20"/>
          <w:szCs w:val="20"/>
          <w:color w:val="auto"/>
        </w:rPr>
      </w:pPr>
    </w:p>
    <w:p>
      <w:pPr>
        <w:ind w:left="680"/>
        <w:spacing w:after="0"/>
        <w:rPr>
          <w:sz w:val="20"/>
          <w:szCs w:val="20"/>
          <w:color w:val="auto"/>
        </w:rPr>
      </w:pPr>
      <w:r>
        <w:rPr>
          <w:rFonts w:ascii="Arial" w:cs="Arial" w:eastAsia="Arial" w:hAnsi="Arial"/>
          <w:sz w:val="17"/>
          <w:szCs w:val="17"/>
          <w:i w:val="1"/>
          <w:iCs w:val="1"/>
          <w:color w:val="auto"/>
        </w:rPr>
        <w:t>Provisional Ceding Commissions Earned</w:t>
      </w:r>
    </w:p>
    <w:p>
      <w:pPr>
        <w:spacing w:after="0" w:line="158" w:lineRule="exact"/>
        <w:rPr>
          <w:sz w:val="20"/>
          <w:szCs w:val="20"/>
          <w:color w:val="auto"/>
        </w:rPr>
      </w:pPr>
    </w:p>
    <w:p>
      <w:pPr>
        <w:jc w:val="both"/>
        <w:ind w:right="60" w:firstLine="628"/>
        <w:spacing w:after="0" w:line="265" w:lineRule="auto"/>
        <w:rPr>
          <w:sz w:val="20"/>
          <w:szCs w:val="20"/>
          <w:color w:val="auto"/>
        </w:rPr>
      </w:pPr>
      <w:r>
        <w:rPr>
          <w:rFonts w:ascii="Arial" w:cs="Arial" w:eastAsia="Arial" w:hAnsi="Arial"/>
          <w:sz w:val="17"/>
          <w:szCs w:val="17"/>
          <w:color w:val="auto"/>
        </w:rPr>
        <w:t>We receive a provisional ceding commission based on ceded written premiums. The $783,000 decrease in provisional ceding commissions earned is primarily due to the decrease in the quota share ceding rate effective July 1, 2018 to 10%, from the 20% rate in effect from July 1, 2017 through June 30, 2018. Thus there were fewer ceded premiums in Three Months 2019 available to earn ceding commissions than there were in Three Months 2018. The decrease was partially offset by an increase in personal lines direct written premiums subject to the quota.</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Contingent Ceding Commissions Earned</w:t>
      </w:r>
    </w:p>
    <w:p>
      <w:pPr>
        <w:spacing w:after="0" w:line="158" w:lineRule="exact"/>
        <w:rPr>
          <w:sz w:val="20"/>
          <w:szCs w:val="20"/>
          <w:color w:val="auto"/>
        </w:rPr>
      </w:pPr>
    </w:p>
    <w:p>
      <w:pPr>
        <w:jc w:val="both"/>
        <w:ind w:right="60" w:firstLine="628"/>
        <w:spacing w:after="0" w:line="311" w:lineRule="auto"/>
        <w:rPr>
          <w:sz w:val="20"/>
          <w:szCs w:val="20"/>
          <w:color w:val="auto"/>
        </w:rPr>
      </w:pPr>
      <w:r>
        <w:rPr>
          <w:rFonts w:ascii="Arial" w:cs="Arial" w:eastAsia="Arial" w:hAnsi="Arial"/>
          <w:sz w:val="15"/>
          <w:szCs w:val="15"/>
          <w:color w:val="auto"/>
        </w:rPr>
        <w:t>We receive a contingent ceding commission based on a sliding scale in relation to the losses incurred under our quota share treaties. The lower the ceded loss ratio, the more contingent commission we receive. The amount of contingent ceding commissions we are eligible to receive under the 2017/2019 Treaty is subject to change based on losses incurred from claims with accident dates beginning July 1, 2017. The amount of contingent ceding commissions we are eligible to receive under our prior years’ quota share treaties is subject to change based on losses incurred related to claims with accident dates before July 1, 2017.</w:t>
      </w:r>
    </w:p>
    <w:p>
      <w:pPr>
        <w:spacing w:after="0" w:line="87" w:lineRule="exact"/>
        <w:rPr>
          <w:sz w:val="20"/>
          <w:szCs w:val="20"/>
          <w:color w:val="auto"/>
        </w:rPr>
      </w:pPr>
    </w:p>
    <w:p>
      <w:pPr>
        <w:jc w:val="both"/>
        <w:ind w:right="60" w:firstLine="628"/>
        <w:spacing w:after="0" w:line="277" w:lineRule="auto"/>
        <w:rPr>
          <w:sz w:val="20"/>
          <w:szCs w:val="20"/>
          <w:color w:val="auto"/>
        </w:rPr>
      </w:pPr>
      <w:r>
        <w:rPr>
          <w:rFonts w:ascii="Arial" w:cs="Arial" w:eastAsia="Arial" w:hAnsi="Arial"/>
          <w:sz w:val="16"/>
          <w:szCs w:val="16"/>
          <w:color w:val="auto"/>
        </w:rPr>
        <w:t>The 2017/2019 Treaty structure limits the amount of contingent ceding commissions that we can receive by setting a higher provisional commission rate than the rates received in prior years. As a result of the higher upfront provisional ceding commissions that we receive under the 2017/2019 Treaty, there is not an opportunity to earn additional contingent ceding commissions under this treaty. Under our current “net” treaty structure, catastrophe losses in excess of the $5,000,000 retention will fall outside of the quota share treaty and such losses will not have an impact on contingent ceding commissions. In 2018, catastrophe losses of $1,433,000 were ceded under our personal lines quota share treaty. These catastrophe losses resulted in the Loss Ratios for the period July 1, 2017 through June 30, 2018 (attributable to the 2017/2019 Treaty) being higher than the contractual Loss Ratio at which provisional ceding commissions were being earned. As a result, we incurred a negative adjustment or reduction to the contingent ceding commissions of $125,000 relative to what would have been earned had the catastrophe losses not occurred. Effective July 1, 2018, the provisional ceding commission rate was a fixed rate with no downward adjustment required related to Loss Ratio, accordingly, in 2019, catastrophe losses of $763,000 that were ceded under our personal lines quota share treaty did not have an effect on contingent ceding commissions. See “Reinsurance” below for changes to our personal lines quota share treaty effective July 1, 2019, 2018 and 2017.</w:t>
      </w:r>
    </w:p>
    <w:p>
      <w:pPr>
        <w:spacing w:after="0" w:line="200" w:lineRule="exact"/>
        <w:rPr>
          <w:sz w:val="20"/>
          <w:szCs w:val="20"/>
          <w:color w:val="auto"/>
        </w:rPr>
      </w:pPr>
    </w:p>
    <w:p>
      <w:pPr>
        <w:spacing w:after="0" w:line="214"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80"/>
          </w:cols>
          <w:pgMar w:left="240" w:top="576" w:right="179" w:bottom="1440" w:gutter="0" w:footer="0" w:header="0"/>
        </w:sectPr>
      </w:pPr>
    </w:p>
    <w:bookmarkStart w:id="58" w:name="page59"/>
    <w:bookmarkEnd w:id="58"/>
    <w:p>
      <w:pPr>
        <w:spacing w:after="0"/>
        <w:rPr>
          <w:sz w:val="20"/>
          <w:szCs w:val="20"/>
          <w:color w:val="auto"/>
        </w:rPr>
      </w:pPr>
      <w:r>
        <w:rPr>
          <w:rFonts w:ascii="Arial" w:cs="Arial" w:eastAsia="Arial" w:hAnsi="Arial"/>
          <w:sz w:val="17"/>
          <w:szCs w:val="17"/>
          <w:u w:val="single" w:color="auto"/>
          <w:color w:val="auto"/>
        </w:rPr>
        <w:t>Net Investment Income</w:t>
      </w:r>
    </w:p>
    <w:p>
      <w:pPr>
        <w:spacing w:after="0" w:line="158" w:lineRule="exact"/>
        <w:rPr>
          <w:sz w:val="20"/>
          <w:szCs w:val="20"/>
          <w:color w:val="auto"/>
        </w:rPr>
      </w:pPr>
    </w:p>
    <w:p>
      <w:pPr>
        <w:jc w:val="both"/>
        <w:ind w:firstLine="628"/>
        <w:spacing w:after="0" w:line="293" w:lineRule="auto"/>
        <w:rPr>
          <w:sz w:val="20"/>
          <w:szCs w:val="20"/>
          <w:color w:val="auto"/>
        </w:rPr>
      </w:pPr>
      <w:r>
        <w:rPr>
          <w:rFonts w:ascii="Arial" w:cs="Arial" w:eastAsia="Arial" w:hAnsi="Arial"/>
          <w:sz w:val="16"/>
          <w:szCs w:val="16"/>
          <w:color w:val="auto"/>
        </w:rPr>
        <w:t>Net investment income was $1,719,000 in Three Months 2019 compared to $1,557,000 in Three Months 2018. The increase of $162,000, or 10.4%, was due to an increase in average invested assets in Three Months 2019. The average yield on invested assets was 3.64% as of June 30, 2019 compared to 3.74% as of June 30, 2018. The pre-tax equivalent yield on invested assets was 3.43% and 3.41% as of June 30, 2019 and 2018, respectively.</w:t>
      </w:r>
    </w:p>
    <w:p>
      <w:pPr>
        <w:spacing w:after="0" w:line="98"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Cash and invested assets were $212,130,000 as of June 30, 2019, compared to $186,310,000 as of June 30, 2018. The $25,820,000 increase in cash and invested assets resulted primarily from increased operating cash flows for the period after June 30, 2018.</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Net Gains and Losses on Investments</w:t>
      </w:r>
    </w:p>
    <w:p>
      <w:pPr>
        <w:spacing w:after="0" w:line="158" w:lineRule="exact"/>
        <w:rPr>
          <w:sz w:val="20"/>
          <w:szCs w:val="20"/>
          <w:color w:val="auto"/>
        </w:rPr>
      </w:pPr>
    </w:p>
    <w:p>
      <w:pPr>
        <w:jc w:val="both"/>
        <w:ind w:firstLine="628"/>
        <w:spacing w:after="0" w:line="269" w:lineRule="auto"/>
        <w:rPr>
          <w:sz w:val="20"/>
          <w:szCs w:val="20"/>
          <w:color w:val="auto"/>
        </w:rPr>
      </w:pPr>
      <w:r>
        <w:rPr>
          <w:rFonts w:ascii="Arial" w:cs="Arial" w:eastAsia="Arial" w:hAnsi="Arial"/>
          <w:sz w:val="17"/>
          <w:szCs w:val="17"/>
          <w:color w:val="auto"/>
        </w:rPr>
        <w:t>Net gains on investments were $679,000 in Three Months 2019 compared to a net loss of $107,000 in Three Months 2018. Unrealized gains on our equity securities and other investments in Three Months 2019 were $628,000, compared to an unrealized loss of $30,000 in Three Months 2018. Realized gains on sales of investments was $50,000 in Three Months 2019 compared to realized losses of $76,000 in Three Months 2018.</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Income</w:t>
      </w:r>
    </w:p>
    <w:p>
      <w:pPr>
        <w:spacing w:after="0" w:line="158"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Other income was $330,000 in Three Months 2019 compared to $300,000 in Three Months 2018. The increase of $30,000, or 10.0%, was primarily due to an increase in installment and other fees earned in our insurance underwriting business.</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Net Loss and LAE</w:t>
      </w:r>
    </w:p>
    <w:p>
      <w:pPr>
        <w:spacing w:after="0" w:line="158"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Net loss and LAE was $17,672,000 in Three Months 2019 compared to $11,176,000 in Three Months 2018. The net loss ratio was 56.6% in Three Months 2019 compared to 46.4% in Three Months 2018, an increase of 10.2 percentage points.</w:t>
      </w:r>
    </w:p>
    <w:p>
      <w:pPr>
        <w:spacing w:after="0" w:line="170"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The following graph summarizes the changes in the components of net loss ratio for the periods indicated, along with the comparable components excluding commercial lines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113665</wp:posOffset>
            </wp:positionV>
            <wp:extent cx="4194175" cy="32639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194175" cy="3263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19"/>
        <w:spacing w:after="0"/>
        <w:rPr>
          <w:sz w:val="20"/>
          <w:szCs w:val="20"/>
          <w:color w:val="auto"/>
        </w:rPr>
      </w:pPr>
      <w:r>
        <w:rPr>
          <w:rFonts w:ascii="Arial" w:cs="Arial" w:eastAsia="Arial" w:hAnsi="Arial"/>
          <w:sz w:val="17"/>
          <w:szCs w:val="17"/>
          <w:i w:val="1"/>
          <w:iCs w:val="1"/>
          <w:color w:val="auto"/>
        </w:rPr>
        <w:t>(Components may not sum to totals due to rounding)</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59" w:name="page60"/>
    <w:bookmarkEnd w:id="59"/>
    <w:p>
      <w:pPr>
        <w:jc w:val="both"/>
        <w:ind w:firstLine="628"/>
        <w:spacing w:after="0" w:line="295" w:lineRule="auto"/>
        <w:rPr>
          <w:sz w:val="20"/>
          <w:szCs w:val="20"/>
          <w:color w:val="auto"/>
        </w:rPr>
      </w:pPr>
      <w:r>
        <w:rPr>
          <w:rFonts w:ascii="Arial" w:cs="Arial" w:eastAsia="Arial" w:hAnsi="Arial"/>
          <w:sz w:val="15"/>
          <w:szCs w:val="15"/>
          <w:color w:val="auto"/>
        </w:rPr>
        <w:t>During Three Months 2019, the net loss ratio increased compared to Three Months 2018 for several reasons. First, a continued evaluation of reserve levels resulted in an additional $1.6 million of prior year development in the quarter, impacting the quarterly loss ratio by 5.0 points. This compared to 1.4 points of unfavorable prior year loss development in Three Months 2018, or an increase in the impact of prior year development of 3.6 points. Prior year loss development for the quarter was primarily related to additional case reserve strengthening on older commercial lines liability claims, impacting our assessment of ultimate loss ratios for that line. Excluding commercial lines, the impact of prior year development in Three Months 2019 was 1.8 points, compared to 2.5 points of prior year development in Three months 2018, or a decrease in the impact of prior year development of 0.7 points. In addition to the impact from prior year development, there was a 4.6 point impact from catastrophes recorded during Three Months 2019, compared to a 0.8 point impact for Three Months 2018, or a 3.8 point increase in the impact of catastrophes. The catastrophe impact for Three Months 2019 was unusually high for a Second Quarter, and was mostly driven by a strong wind event on the last day of June affecting a small area across central Long Island where we have significant personal lines market share. This event resulted in over 150 reported claims and estimated net ultimate losses of $836,000. Finally, the underlying loss ratio excluding the impact of catastrophes and prior year development was 47.1% in Three Months 2019, compared to 44.2% in Three Months 2018, an increase of 2.9 points. The underlying loss ratio increased primarily due to the significantly higher commercial lines loss ratio expectation for the current accident year resulting from prior year reserve strengthening noted above. Excluding commercial lines, the underlying loss ratio excluding the impact of catastrophes and prior year development was 43.5% in Three Months 2019, compared to 46.8% in Three Months 2018, or an improvement of 3.3 points. See table below under “Additional Financial Information” summarizing net loss ratios by line of business.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Commission Expense</w:t>
      </w:r>
    </w:p>
    <w:p>
      <w:pPr>
        <w:spacing w:after="0" w:line="158" w:lineRule="exact"/>
        <w:rPr>
          <w:sz w:val="20"/>
          <w:szCs w:val="20"/>
          <w:color w:val="auto"/>
        </w:rPr>
      </w:pPr>
    </w:p>
    <w:p>
      <w:pPr>
        <w:jc w:val="both"/>
        <w:ind w:firstLine="628"/>
        <w:spacing w:after="0" w:line="269" w:lineRule="auto"/>
        <w:rPr>
          <w:sz w:val="20"/>
          <w:szCs w:val="20"/>
          <w:color w:val="auto"/>
        </w:rPr>
      </w:pPr>
      <w:r>
        <w:rPr>
          <w:rFonts w:ascii="Arial" w:cs="Arial" w:eastAsia="Arial" w:hAnsi="Arial"/>
          <w:sz w:val="17"/>
          <w:szCs w:val="17"/>
          <w:color w:val="auto"/>
        </w:rPr>
        <w:t>Commission expense was $7,300,000 in Three Months 2019 or 18.7% of direct earned premiums. Commission expense was $6,017,000 in Three Months 2018 or 18.6% of direct earned premiums. The increase of $1,283,000 is due to the increase in direct earned premiums in Three Months 2019 as compared to Three Months 2018.</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Underwriting Expenses</w:t>
      </w:r>
    </w:p>
    <w:p>
      <w:pPr>
        <w:spacing w:after="0" w:line="158" w:lineRule="exact"/>
        <w:rPr>
          <w:sz w:val="20"/>
          <w:szCs w:val="20"/>
          <w:color w:val="auto"/>
        </w:rPr>
      </w:pPr>
    </w:p>
    <w:p>
      <w:pPr>
        <w:jc w:val="both"/>
        <w:ind w:firstLine="628"/>
        <w:spacing w:after="0" w:line="263" w:lineRule="auto"/>
        <w:rPr>
          <w:sz w:val="20"/>
          <w:szCs w:val="20"/>
          <w:color w:val="auto"/>
        </w:rPr>
      </w:pPr>
      <w:r>
        <w:rPr>
          <w:rFonts w:ascii="Arial" w:cs="Arial" w:eastAsia="Arial" w:hAnsi="Arial"/>
          <w:sz w:val="17"/>
          <w:szCs w:val="17"/>
          <w:color w:val="auto"/>
        </w:rPr>
        <w:t>Other underwriting expenses were $5,416,000 in Three Months 2019 compared to $5,076,000 in Three Months 2018. The increase of $340,000, or 6.7%, was primarily due to expenses related to growth in direct written premiums. Expenses directly related to the increase in direct written premiums primarily consist of underwriting expenses, software usage fees, and state premium taxes. Expenses indirectly related to the increase in direct written premiums primarily consist of salaries along with related other employment costs. The 6.7 percentage point increase of other underwriting expenses was less than the 21.6% increase in total direct written premiums.</w:t>
      </w:r>
    </w:p>
    <w:p>
      <w:pPr>
        <w:spacing w:after="0" w:line="119"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Our net underwriting expense ratio in Three Months 2019 was 37.5% compared to 37.8% in Three Months 2018. The following table shows the individual components of our net underwriting expense ratio for the periods indicated: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2120" w:type="dxa"/>
            <w:vAlign w:val="bottom"/>
            <w:gridSpan w:val="4"/>
          </w:tcPr>
          <w:p>
            <w:pPr>
              <w:jc w:val="center"/>
              <w:ind w:left="308"/>
              <w:spacing w:after="0"/>
              <w:rPr>
                <w:sz w:val="20"/>
                <w:szCs w:val="20"/>
                <w:color w:val="auto"/>
              </w:rPr>
            </w:pPr>
            <w:r>
              <w:rPr>
                <w:rFonts w:ascii="Arial" w:cs="Arial" w:eastAsia="Arial" w:hAnsi="Arial"/>
                <w:sz w:val="14"/>
                <w:szCs w:val="14"/>
                <w:b w:val="1"/>
                <w:bCs w:val="1"/>
                <w:color w:val="auto"/>
                <w:w w:val="91"/>
              </w:rPr>
              <w:t>Three months ended</w:t>
            </w: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44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center"/>
              <w:ind w:right="328"/>
              <w:spacing w:after="0"/>
              <w:rPr>
                <w:sz w:val="20"/>
                <w:szCs w:val="20"/>
                <w:color w:val="auto"/>
              </w:rPr>
            </w:pPr>
            <w:r>
              <w:rPr>
                <w:rFonts w:ascii="Arial" w:cs="Arial" w:eastAsia="Arial" w:hAnsi="Arial"/>
                <w:sz w:val="14"/>
                <w:szCs w:val="14"/>
                <w:b w:val="1"/>
                <w:bCs w:val="1"/>
                <w:color w:val="auto"/>
                <w:w w:val="89"/>
              </w:rPr>
              <w:t>June 30,</w:t>
            </w:r>
          </w:p>
        </w:tc>
        <w:tc>
          <w:tcPr>
            <w:tcW w:w="3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15"/>
        </w:trPr>
        <w:tc>
          <w:tcPr>
            <w:tcW w:w="7460" w:type="dxa"/>
            <w:vAlign w:val="bottom"/>
            <w:gridSpan w:val="2"/>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Point Change</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0"/>
        </w:trPr>
        <w:tc>
          <w:tcPr>
            <w:tcW w:w="8200" w:type="dxa"/>
            <w:vAlign w:val="bottom"/>
            <w:gridSpan w:val="3"/>
          </w:tcPr>
          <w:p>
            <w:pPr>
              <w:spacing w:after="0"/>
              <w:rPr>
                <w:sz w:val="20"/>
                <w:szCs w:val="20"/>
                <w:color w:val="auto"/>
              </w:rPr>
            </w:pPr>
            <w:r>
              <w:rPr>
                <w:rFonts w:ascii="Arial" w:cs="Arial" w:eastAsia="Arial" w:hAnsi="Arial"/>
                <w:sz w:val="17"/>
                <w:szCs w:val="17"/>
                <w:color w:val="auto"/>
              </w:rPr>
              <w:t>Other underwriting expenses</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Employment costs</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7.5%</w:t>
            </w:r>
          </w:p>
        </w:tc>
        <w:tc>
          <w:tcPr>
            <w:tcW w:w="7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9.7%</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80" w:type="dxa"/>
            <w:vAlign w:val="bottom"/>
            <w:gridSpan w:val="2"/>
          </w:tcPr>
          <w:p>
            <w:pPr>
              <w:ind w:left="300"/>
              <w:spacing w:after="0"/>
              <w:rPr>
                <w:sz w:val="20"/>
                <w:szCs w:val="20"/>
                <w:color w:val="auto"/>
              </w:rPr>
            </w:pPr>
            <w:r>
              <w:rPr>
                <w:rFonts w:ascii="Arial" w:cs="Arial" w:eastAsia="Arial" w:hAnsi="Arial"/>
                <w:sz w:val="17"/>
                <w:szCs w:val="17"/>
                <w:color w:val="auto"/>
              </w:rPr>
              <w:t>Underwriting fees (inspections/data services)</w:t>
            </w:r>
          </w:p>
        </w:tc>
        <w:tc>
          <w:tcPr>
            <w:tcW w:w="360" w:type="dxa"/>
            <w:vAlign w:val="bottom"/>
          </w:tcPr>
          <w:p>
            <w:pPr>
              <w:jc w:val="right"/>
              <w:spacing w:after="0"/>
              <w:rPr>
                <w:sz w:val="20"/>
                <w:szCs w:val="20"/>
                <w:color w:val="auto"/>
              </w:rPr>
            </w:pPr>
            <w:r>
              <w:rPr>
                <w:rFonts w:ascii="Arial" w:cs="Arial" w:eastAsia="Arial" w:hAnsi="Arial"/>
                <w:sz w:val="17"/>
                <w:szCs w:val="17"/>
                <w:color w:val="auto"/>
              </w:rPr>
              <w:t>4.8</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4.8</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Other expenses</w:t>
            </w: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44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7440" w:type="dxa"/>
            <w:vAlign w:val="bottom"/>
          </w:tcPr>
          <w:p>
            <w:pPr>
              <w:ind w:left="140"/>
              <w:spacing w:after="0"/>
              <w:rPr>
                <w:sz w:val="20"/>
                <w:szCs w:val="20"/>
                <w:color w:val="auto"/>
              </w:rPr>
            </w:pPr>
            <w:r>
              <w:rPr>
                <w:rFonts w:ascii="Arial" w:cs="Arial" w:eastAsia="Arial" w:hAnsi="Arial"/>
                <w:sz w:val="17"/>
                <w:szCs w:val="17"/>
                <w:color w:val="auto"/>
              </w:rPr>
              <w:t>Total other underwriting expenses</w:t>
            </w:r>
          </w:p>
        </w:tc>
        <w:tc>
          <w:tcPr>
            <w:tcW w:w="7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17.4</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w w:val="96"/>
              </w:rPr>
              <w:t>21.0</w:t>
            </w:r>
          </w:p>
        </w:tc>
        <w:tc>
          <w:tcPr>
            <w:tcW w:w="2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44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180" w:type="dxa"/>
            <w:vAlign w:val="bottom"/>
            <w:gridSpan w:val="2"/>
          </w:tcPr>
          <w:p>
            <w:pPr>
              <w:spacing w:after="0"/>
              <w:rPr>
                <w:sz w:val="20"/>
                <w:szCs w:val="20"/>
                <w:color w:val="auto"/>
              </w:rPr>
            </w:pPr>
            <w:r>
              <w:rPr>
                <w:rFonts w:ascii="Arial" w:cs="Arial" w:eastAsia="Arial" w:hAnsi="Arial"/>
                <w:sz w:val="17"/>
                <w:szCs w:val="17"/>
                <w:color w:val="auto"/>
              </w:rPr>
              <w:t>Ceding commission revenue</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8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Provisional</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(4.4)</w:t>
            </w:r>
          </w:p>
        </w:tc>
        <w:tc>
          <w:tcPr>
            <w:tcW w:w="7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(8.9)</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40" w:type="dxa"/>
            <w:vAlign w:val="bottom"/>
          </w:tcPr>
          <w:p>
            <w:pPr>
              <w:ind w:left="300"/>
              <w:spacing w:after="0"/>
              <w:rPr>
                <w:sz w:val="20"/>
                <w:szCs w:val="20"/>
                <w:color w:val="auto"/>
              </w:rPr>
            </w:pPr>
            <w:r>
              <w:rPr>
                <w:rFonts w:ascii="Arial" w:cs="Arial" w:eastAsia="Arial" w:hAnsi="Arial"/>
                <w:sz w:val="17"/>
                <w:szCs w:val="17"/>
                <w:color w:val="auto"/>
              </w:rPr>
              <w:t>Contingent</w:t>
            </w:r>
          </w:p>
        </w:tc>
        <w:tc>
          <w:tcPr>
            <w:tcW w:w="7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2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26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Total ceding commission revenue</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(2.2)</w:t>
            </w:r>
          </w:p>
        </w:tc>
        <w:tc>
          <w:tcPr>
            <w:tcW w:w="7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(7.0)</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440" w:type="dxa"/>
            <w:vAlign w:val="bottom"/>
            <w:tcBorders>
              <w:top w:val="single" w:sz="8" w:color="CCEEFF"/>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income</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(1.1)</w:t>
            </w:r>
          </w:p>
        </w:tc>
        <w:tc>
          <w:tcPr>
            <w:tcW w:w="7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(1.2)</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80" w:type="dxa"/>
            <w:vAlign w:val="bottom"/>
            <w:gridSpan w:val="2"/>
          </w:tcPr>
          <w:p>
            <w:pPr>
              <w:spacing w:after="0"/>
              <w:rPr>
                <w:sz w:val="20"/>
                <w:szCs w:val="20"/>
                <w:color w:val="auto"/>
              </w:rPr>
            </w:pPr>
            <w:r>
              <w:rPr>
                <w:rFonts w:ascii="Arial" w:cs="Arial" w:eastAsia="Arial" w:hAnsi="Arial"/>
                <w:sz w:val="17"/>
                <w:szCs w:val="17"/>
                <w:color w:val="auto"/>
              </w:rPr>
              <w:t>Commission expense</w:t>
            </w:r>
          </w:p>
        </w:tc>
        <w:tc>
          <w:tcPr>
            <w:tcW w:w="360" w:type="dxa"/>
            <w:vAlign w:val="bottom"/>
          </w:tcPr>
          <w:p>
            <w:pPr>
              <w:jc w:val="right"/>
              <w:spacing w:after="0"/>
              <w:rPr>
                <w:sz w:val="20"/>
                <w:szCs w:val="20"/>
                <w:color w:val="auto"/>
              </w:rPr>
            </w:pPr>
            <w:r>
              <w:rPr>
                <w:rFonts w:ascii="Arial" w:cs="Arial" w:eastAsia="Arial" w:hAnsi="Arial"/>
                <w:sz w:val="17"/>
                <w:szCs w:val="17"/>
                <w:color w:val="auto"/>
              </w:rPr>
              <w:t>23.4</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w w:val="96"/>
              </w:rPr>
              <w:t>25.0</w:t>
            </w:r>
          </w:p>
        </w:tc>
        <w:tc>
          <w:tcPr>
            <w:tcW w:w="2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44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180" w:type="dxa"/>
            <w:vAlign w:val="bottom"/>
            <w:gridSpan w:val="2"/>
          </w:tcPr>
          <w:p>
            <w:pPr>
              <w:spacing w:after="0"/>
              <w:rPr>
                <w:sz w:val="20"/>
                <w:szCs w:val="20"/>
                <w:color w:val="auto"/>
              </w:rPr>
            </w:pPr>
            <w:r>
              <w:rPr>
                <w:rFonts w:ascii="Arial" w:cs="Arial" w:eastAsia="Arial" w:hAnsi="Arial"/>
                <w:sz w:val="17"/>
                <w:szCs w:val="17"/>
                <w:color w:val="auto"/>
              </w:rPr>
              <w:t>Net underwriting expense ratio</w:t>
            </w: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37.5%</w:t>
            </w:r>
          </w:p>
        </w:tc>
        <w:tc>
          <w:tcPr>
            <w:tcW w:w="7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w w:val="95"/>
              </w:rPr>
              <w:t>37.8%</w:t>
            </w: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40" w:type="dxa"/>
            <w:vAlign w:val="bottom"/>
            <w:vMerge w:val="restart"/>
          </w:tcPr>
          <w:p>
            <w:pPr>
              <w:ind w:left="5600"/>
              <w:spacing w:after="0"/>
              <w:rPr>
                <w:sz w:val="20"/>
                <w:szCs w:val="20"/>
                <w:color w:val="auto"/>
              </w:rPr>
            </w:pPr>
            <w:r>
              <w:rPr>
                <w:rFonts w:ascii="Arial" w:cs="Arial" w:eastAsia="Arial" w:hAnsi="Arial"/>
                <w:sz w:val="17"/>
                <w:szCs w:val="17"/>
                <w:color w:val="auto"/>
              </w:rPr>
              <w:t>57</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5"/>
        </w:trPr>
        <w:tc>
          <w:tcPr>
            <w:tcW w:w="20" w:type="dxa"/>
            <w:vAlign w:val="bottom"/>
            <w:vMerge w:val="continue"/>
          </w:tcPr>
          <w:p>
            <w:pPr>
              <w:spacing w:after="0"/>
              <w:rPr>
                <w:sz w:val="24"/>
                <w:szCs w:val="24"/>
                <w:color w:val="auto"/>
              </w:rPr>
            </w:pPr>
          </w:p>
        </w:tc>
        <w:tc>
          <w:tcPr>
            <w:tcW w:w="7440" w:type="dxa"/>
            <w:vAlign w:val="bottom"/>
            <w:tcBorders>
              <w:bottom w:val="single" w:sz="8" w:color="auto"/>
            </w:tcBorders>
            <w:vMerge w:val="continue"/>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0" w:right="239" w:bottom="1440" w:gutter="0" w:footer="0" w:header="0"/>
        </w:sectPr>
      </w:pPr>
    </w:p>
    <w:bookmarkStart w:id="60" w:name="page61"/>
    <w:bookmarkEnd w:id="60"/>
    <w:p>
      <w:pPr>
        <w:ind w:left="640"/>
        <w:spacing w:after="0"/>
        <w:rPr>
          <w:sz w:val="20"/>
          <w:szCs w:val="20"/>
          <w:color w:val="auto"/>
        </w:rPr>
      </w:pPr>
      <w:r>
        <w:rPr>
          <w:rFonts w:ascii="Arial" w:cs="Arial" w:eastAsia="Arial" w:hAnsi="Arial"/>
          <w:sz w:val="15"/>
          <w:szCs w:val="15"/>
          <w:color w:val="auto"/>
        </w:rPr>
        <w:t>The 3.6 percentage point decrease in our other underwriting expense ratio was driven by a decline of 2.2 percentage points from the impact of employment</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costs.</w:t>
      </w:r>
    </w:p>
    <w:p>
      <w:pPr>
        <w:spacing w:after="0" w:line="151" w:lineRule="exact"/>
        <w:rPr>
          <w:sz w:val="20"/>
          <w:szCs w:val="20"/>
          <w:color w:val="auto"/>
        </w:rPr>
      </w:pPr>
    </w:p>
    <w:p>
      <w:pPr>
        <w:jc w:val="both"/>
        <w:ind w:firstLine="628"/>
        <w:spacing w:after="0" w:line="265" w:lineRule="auto"/>
        <w:rPr>
          <w:sz w:val="20"/>
          <w:szCs w:val="20"/>
          <w:color w:val="auto"/>
        </w:rPr>
      </w:pPr>
      <w:r>
        <w:rPr>
          <w:rFonts w:ascii="Arial" w:cs="Arial" w:eastAsia="Arial" w:hAnsi="Arial"/>
          <w:sz w:val="17"/>
          <w:szCs w:val="17"/>
          <w:color w:val="auto"/>
        </w:rPr>
        <w:t>The overall 4.5 percentage point increase in provisional ceding commissions was driven entirely by the change in our quota share ceding rates and its impact on provisional ceding commission revenue due to the additional retention resulting from the cut-off to our quota share treaty on July 1, 2018. The components of our net underwriting expense ratio related to other underwriting expenses, other income and commissions improved in nearly all categories, resulting in an overall 0.3 percentage point decrease in the net underwriting expense ratio.</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Operating Expenses</w:t>
      </w:r>
    </w:p>
    <w:p>
      <w:pPr>
        <w:spacing w:after="0" w:line="158" w:lineRule="exact"/>
        <w:rPr>
          <w:sz w:val="20"/>
          <w:szCs w:val="20"/>
          <w:color w:val="auto"/>
        </w:rPr>
      </w:pPr>
    </w:p>
    <w:p>
      <w:pPr>
        <w:jc w:val="both"/>
        <w:ind w:firstLine="628"/>
        <w:spacing w:after="0" w:line="279" w:lineRule="auto"/>
        <w:rPr>
          <w:sz w:val="20"/>
          <w:szCs w:val="20"/>
          <w:color w:val="auto"/>
        </w:rPr>
      </w:pPr>
      <w:r>
        <w:rPr>
          <w:rFonts w:ascii="Arial" w:cs="Arial" w:eastAsia="Arial" w:hAnsi="Arial"/>
          <w:sz w:val="16"/>
          <w:szCs w:val="16"/>
          <w:color w:val="auto"/>
        </w:rPr>
        <w:t>Other operating expenses, related to the expenses of our holding company and Cosi, were $1,097,000 for Three Months 2019 compared to $844,000 for Three Months 2018. The increase in Three Months 2019 of 253,000, or 30.0%, was primarily due to increases in equity compensation and salaries. The increase in salary was due to the initial hiring of staff for Cosi and the increase in equity compensation was due to 2019 annual restricted stock awards to directors and executives. The increase in salaries and equity compensation was partially offset by a decrease in accrued executive bonus compensation. Executive bonus compensation is accrued pursuant to the employment agreement effective January 1, 2017 with Barry B. Goldstein, our Executive Chairman and current Chief Executive Officer. The bonus is a one-time payment computed at the end of the three-year period ended December 31, 2019, and the amount accrued through June 30, 2019 will only be paid if the three-year computation meets the required terms of profitability.</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Depreciation and Amortization</w:t>
      </w:r>
    </w:p>
    <w:p>
      <w:pPr>
        <w:spacing w:after="0" w:line="158" w:lineRule="exact"/>
        <w:rPr>
          <w:sz w:val="20"/>
          <w:szCs w:val="20"/>
          <w:color w:val="auto"/>
        </w:rPr>
      </w:pPr>
    </w:p>
    <w:p>
      <w:pPr>
        <w:jc w:val="both"/>
        <w:ind w:firstLine="628"/>
        <w:spacing w:after="0" w:line="265" w:lineRule="auto"/>
        <w:rPr>
          <w:sz w:val="20"/>
          <w:szCs w:val="20"/>
          <w:color w:val="auto"/>
        </w:rPr>
      </w:pPr>
      <w:r>
        <w:rPr>
          <w:rFonts w:ascii="Arial" w:cs="Arial" w:eastAsia="Arial" w:hAnsi="Arial"/>
          <w:sz w:val="17"/>
          <w:szCs w:val="17"/>
          <w:color w:val="auto"/>
        </w:rPr>
        <w:t>Depreciation and amortization was $628,000 in Three Months 2019 compared to $424,000 in Three Months 2018. The increase of $204,000, or 48.1%, in depreciation and amortization was primarily due to depreciation of our new system platform for processing business being written in Expansion states. The increase was also impacted by newly purchased assets used to upgrade our systems infrastructure and improvements to the Kingston, New York home office building from which we operate.</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Interest Expense</w:t>
      </w:r>
    </w:p>
    <w:p>
      <w:pPr>
        <w:spacing w:after="0" w:line="158"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Interest expense in Three Months 2019 was $456,000 and $452,000 in Three Months 2018. We incurred interest expense in connection with our $30.0 million issuance of long-term debt in December 2017.</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Income Tax Expense</w:t>
      </w:r>
    </w:p>
    <w:p>
      <w:pPr>
        <w:spacing w:after="0" w:line="158" w:lineRule="exact"/>
        <w:rPr>
          <w:sz w:val="20"/>
          <w:szCs w:val="20"/>
          <w:color w:val="auto"/>
        </w:rPr>
      </w:pPr>
    </w:p>
    <w:p>
      <w:pPr>
        <w:jc w:val="both"/>
        <w:ind w:firstLine="628"/>
        <w:spacing w:after="0" w:line="269" w:lineRule="auto"/>
        <w:rPr>
          <w:sz w:val="20"/>
          <w:szCs w:val="20"/>
          <w:color w:val="auto"/>
        </w:rPr>
      </w:pPr>
      <w:r>
        <w:rPr>
          <w:rFonts w:ascii="Arial" w:cs="Arial" w:eastAsia="Arial" w:hAnsi="Arial"/>
          <w:sz w:val="17"/>
          <w:szCs w:val="17"/>
          <w:color w:val="auto"/>
        </w:rPr>
        <w:t>Income tax expense in Three Months 2019 was $396,000, which resulted in an effective tax rate of 19.5%. Income tax expense in Three Months 2018 was $800,000, which resulted in an effective tax rate of 22.5%. Income before taxes was $2,035,000 in Three Months 2019 compared to income before taxes of $3,557,000 in Three Months 2018.</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Net Income</w:t>
      </w:r>
    </w:p>
    <w:p>
      <w:pPr>
        <w:spacing w:after="0" w:line="158" w:lineRule="exact"/>
        <w:rPr>
          <w:sz w:val="20"/>
          <w:szCs w:val="20"/>
          <w:color w:val="auto"/>
        </w:rPr>
      </w:pPr>
    </w:p>
    <w:p>
      <w:pPr>
        <w:jc w:val="both"/>
        <w:ind w:firstLine="628"/>
        <w:spacing w:after="0" w:line="265" w:lineRule="auto"/>
        <w:rPr>
          <w:sz w:val="20"/>
          <w:szCs w:val="20"/>
          <w:color w:val="auto"/>
        </w:rPr>
      </w:pPr>
      <w:r>
        <w:rPr>
          <w:rFonts w:ascii="Arial" w:cs="Arial" w:eastAsia="Arial" w:hAnsi="Arial"/>
          <w:sz w:val="17"/>
          <w:szCs w:val="17"/>
          <w:color w:val="auto"/>
        </w:rPr>
        <w:t>Net income was $1,639,000 in Three Months 2019 compared to net income of $2,757,000 in Three Months 2018. The decrease in net income of $1,118,000, or 40.6%, was due to the circumstances described above, which caused the increase in our net loss ratio, decrease in ceding commission revenue, increases in other underwriting expenses, depreciation and amortization and interest expense, partially offset by the increase in our net premiums earned, net investment income and gains on investments.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61" w:name="page62"/>
    <w:bookmarkEnd w:id="61"/>
    <w:p>
      <w:pPr>
        <w:spacing w:after="0"/>
        <w:rPr>
          <w:sz w:val="20"/>
          <w:szCs w:val="20"/>
          <w:color w:val="auto"/>
        </w:rPr>
      </w:pPr>
      <w:r>
        <w:rPr>
          <w:rFonts w:ascii="Arial" w:cs="Arial" w:eastAsia="Arial" w:hAnsi="Arial"/>
          <w:sz w:val="17"/>
          <w:szCs w:val="17"/>
          <w:b w:val="1"/>
          <w:bCs w:val="1"/>
          <w:color w:val="auto"/>
        </w:rPr>
        <w:t>Additional Financial Information</w:t>
      </w:r>
    </w:p>
    <w:p>
      <w:pPr>
        <w:spacing w:after="0" w:line="162" w:lineRule="exact"/>
        <w:rPr>
          <w:sz w:val="20"/>
          <w:szCs w:val="20"/>
          <w:color w:val="auto"/>
        </w:rPr>
      </w:pPr>
    </w:p>
    <w:p>
      <w:pPr>
        <w:jc w:val="both"/>
        <w:ind w:firstLine="628"/>
        <w:spacing w:after="0" w:line="269" w:lineRule="auto"/>
        <w:rPr>
          <w:sz w:val="20"/>
          <w:szCs w:val="20"/>
          <w:color w:val="auto"/>
        </w:rPr>
      </w:pPr>
      <w:r>
        <w:rPr>
          <w:rFonts w:ascii="Arial" w:cs="Arial" w:eastAsia="Arial" w:hAnsi="Arial"/>
          <w:sz w:val="17"/>
          <w:szCs w:val="17"/>
          <w:color w:val="auto"/>
        </w:rPr>
        <w:t>We operate our business as one segment, property and casualty insurance. Within this segment, we offer an array of property and casualty policies to our producers. The following table summarizes gross and net written premiums, net premiums earned, and net loss and loss adjustment expenses by major product type, which were determined based primarily on similar economic characteristics and risks of loss.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80" w:type="dxa"/>
            <w:vAlign w:val="bottom"/>
            <w:gridSpan w:val="4"/>
          </w:tcPr>
          <w:p>
            <w:pPr>
              <w:jc w:val="right"/>
              <w:ind w:right="235"/>
              <w:spacing w:after="0"/>
              <w:rPr>
                <w:sz w:val="20"/>
                <w:szCs w:val="20"/>
                <w:color w:val="auto"/>
              </w:rPr>
            </w:pPr>
            <w:r>
              <w:rPr>
                <w:rFonts w:ascii="Arial" w:cs="Arial" w:eastAsia="Arial" w:hAnsi="Arial"/>
                <w:sz w:val="14"/>
                <w:szCs w:val="14"/>
                <w:b w:val="1"/>
                <w:bCs w:val="1"/>
                <w:color w:val="auto"/>
              </w:rPr>
              <w:t>For the Three Months Ended</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80" w:type="dxa"/>
            <w:vAlign w:val="bottom"/>
            <w:gridSpan w:val="5"/>
          </w:tcPr>
          <w:p>
            <w:pPr>
              <w:ind w:left="220"/>
              <w:spacing w:after="0"/>
              <w:rPr>
                <w:sz w:val="20"/>
                <w:szCs w:val="20"/>
                <w:color w:val="auto"/>
              </w:rPr>
            </w:pPr>
            <w:r>
              <w:rPr>
                <w:rFonts w:ascii="Arial" w:cs="Arial" w:eastAsia="Arial" w:hAnsi="Arial"/>
                <w:sz w:val="14"/>
                <w:szCs w:val="14"/>
                <w:b w:val="1"/>
                <w:bCs w:val="1"/>
                <w:color w:val="auto"/>
              </w:rPr>
              <w:t>For the Six Months Ended</w:t>
            </w:r>
          </w:p>
        </w:tc>
      </w:tr>
      <w:tr>
        <w:trPr>
          <w:trHeight w:val="200"/>
        </w:trPr>
        <w:tc>
          <w:tcPr>
            <w:tcW w:w="48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15"/>
        </w:trPr>
        <w:tc>
          <w:tcPr>
            <w:tcW w:w="4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8"/>
                <w:szCs w:val="18"/>
                <w:color w:val="auto"/>
              </w:rPr>
            </w:pPr>
          </w:p>
        </w:tc>
      </w:tr>
      <w:tr>
        <w:trPr>
          <w:trHeight w:val="234"/>
        </w:trPr>
        <w:tc>
          <w:tcPr>
            <w:tcW w:w="4840" w:type="dxa"/>
            <w:vAlign w:val="bottom"/>
          </w:tcPr>
          <w:p>
            <w:pPr>
              <w:ind w:left="40"/>
              <w:spacing w:after="0"/>
              <w:rPr>
                <w:sz w:val="20"/>
                <w:szCs w:val="20"/>
                <w:color w:val="auto"/>
              </w:rPr>
            </w:pPr>
            <w:r>
              <w:rPr>
                <w:rFonts w:ascii="Arial" w:cs="Arial" w:eastAsia="Arial" w:hAnsi="Arial"/>
                <w:sz w:val="17"/>
                <w:szCs w:val="17"/>
                <w:b w:val="1"/>
                <w:bCs w:val="1"/>
                <w:color w:val="auto"/>
              </w:rPr>
              <w:t>Gross premiums written:</w:t>
            </w: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4840" w:type="dxa"/>
            <w:vAlign w:val="bottom"/>
            <w:shd w:val="clear" w:color="auto" w:fill="CCEEFF"/>
          </w:tcPr>
          <w:p>
            <w:pPr>
              <w:ind w:left="40"/>
              <w:spacing w:after="0"/>
              <w:rPr>
                <w:sz w:val="20"/>
                <w:szCs w:val="20"/>
                <w:color w:val="auto"/>
              </w:rPr>
            </w:pPr>
            <w:r>
              <w:rPr>
                <w:rFonts w:ascii="Arial" w:cs="Arial" w:eastAsia="Arial" w:hAnsi="Arial"/>
                <w:sz w:val="17"/>
                <w:szCs w:val="17"/>
                <w:color w:val="auto"/>
              </w:rPr>
              <w:t>Personal lines</w:t>
            </w:r>
          </w:p>
        </w:tc>
        <w:tc>
          <w:tcPr>
            <w:tcW w:w="1440" w:type="dxa"/>
            <w:vAlign w:val="bottom"/>
            <w:gridSpan w:val="2"/>
            <w:shd w:val="clear" w:color="auto" w:fill="CCEEFF"/>
          </w:tcPr>
          <w:p>
            <w:pPr>
              <w:jc w:val="right"/>
              <w:ind w:right="46"/>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38,047,987</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29,652,128</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68,146,956</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54,477,580</w:t>
            </w:r>
          </w:p>
        </w:tc>
        <w:tc>
          <w:tcPr>
            <w:tcW w:w="120" w:type="dxa"/>
            <w:vAlign w:val="bottom"/>
            <w:shd w:val="clear" w:color="auto" w:fill="CCEEFF"/>
          </w:tcPr>
          <w:p>
            <w:pPr>
              <w:spacing w:after="0"/>
              <w:rPr>
                <w:sz w:val="18"/>
                <w:szCs w:val="18"/>
                <w:color w:val="auto"/>
              </w:rPr>
            </w:pPr>
          </w:p>
        </w:tc>
      </w:tr>
      <w:tr>
        <w:trPr>
          <w:trHeight w:val="209"/>
        </w:trPr>
        <w:tc>
          <w:tcPr>
            <w:tcW w:w="4840" w:type="dxa"/>
            <w:vAlign w:val="bottom"/>
          </w:tcPr>
          <w:p>
            <w:pPr>
              <w:ind w:left="40"/>
              <w:spacing w:after="0"/>
              <w:rPr>
                <w:sz w:val="20"/>
                <w:szCs w:val="20"/>
                <w:color w:val="auto"/>
              </w:rPr>
            </w:pPr>
            <w:r>
              <w:rPr>
                <w:rFonts w:ascii="Arial" w:cs="Arial" w:eastAsia="Arial" w:hAnsi="Arial"/>
                <w:sz w:val="17"/>
                <w:szCs w:val="17"/>
                <w:color w:val="auto"/>
              </w:rPr>
              <w:t>Livery physical damage</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2,878,749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2,424,499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5,608,835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4,778,569</w:t>
            </w:r>
          </w:p>
        </w:tc>
        <w:tc>
          <w:tcPr>
            <w:tcW w:w="120" w:type="dxa"/>
            <w:vAlign w:val="bottom"/>
          </w:tcPr>
          <w:p>
            <w:pPr>
              <w:spacing w:after="0"/>
              <w:rPr>
                <w:sz w:val="18"/>
                <w:szCs w:val="18"/>
                <w:color w:val="auto"/>
              </w:rPr>
            </w:pPr>
          </w:p>
        </w:tc>
      </w:tr>
      <w:tr>
        <w:trPr>
          <w:trHeight w:val="215"/>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Other(1)</w:t>
            </w:r>
          </w:p>
        </w:tc>
        <w:tc>
          <w:tcPr>
            <w:tcW w:w="1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61,806</w:t>
            </w:r>
          </w:p>
        </w:tc>
        <w:tc>
          <w:tcPr>
            <w:tcW w:w="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56,093</w:t>
            </w:r>
          </w:p>
        </w:tc>
        <w:tc>
          <w:tcPr>
            <w:tcW w:w="280" w:type="dxa"/>
            <w:vAlign w:val="bottom"/>
            <w:tcBorders>
              <w:bottom w:val="single" w:sz="8" w:color="CCEEFF"/>
              <w:right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134,877</w:t>
            </w: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116,799</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4840" w:type="dxa"/>
            <w:vAlign w:val="bottom"/>
          </w:tcPr>
          <w:p>
            <w:pPr>
              <w:ind w:left="200"/>
              <w:spacing w:after="0"/>
              <w:rPr>
                <w:sz w:val="20"/>
                <w:szCs w:val="20"/>
                <w:color w:val="auto"/>
              </w:rPr>
            </w:pPr>
            <w:r>
              <w:rPr>
                <w:rFonts w:ascii="Arial" w:cs="Arial" w:eastAsia="Arial" w:hAnsi="Arial"/>
                <w:sz w:val="17"/>
                <w:szCs w:val="17"/>
                <w:color w:val="auto"/>
              </w:rPr>
              <w:t>Total without commercial lines</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40,988,542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32,132,720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73,890,668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59,372,948</w:t>
            </w:r>
          </w:p>
        </w:tc>
        <w:tc>
          <w:tcPr>
            <w:tcW w:w="120" w:type="dxa"/>
            <w:vAlign w:val="bottom"/>
          </w:tcPr>
          <w:p>
            <w:pPr>
              <w:spacing w:after="0"/>
              <w:rPr>
                <w:sz w:val="18"/>
                <w:szCs w:val="18"/>
                <w:color w:val="auto"/>
              </w:rPr>
            </w:pPr>
          </w:p>
        </w:tc>
      </w:tr>
      <w:tr>
        <w:trPr>
          <w:trHeight w:val="215"/>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Commercial lines (in run-off effective July 2019)(2)</w:t>
            </w:r>
          </w:p>
        </w:tc>
        <w:tc>
          <w:tcPr>
            <w:tcW w:w="1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3,832,848</w:t>
            </w:r>
          </w:p>
        </w:tc>
        <w:tc>
          <w:tcPr>
            <w:tcW w:w="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4,731,445</w:t>
            </w:r>
          </w:p>
        </w:tc>
        <w:tc>
          <w:tcPr>
            <w:tcW w:w="280" w:type="dxa"/>
            <w:vAlign w:val="bottom"/>
            <w:tcBorders>
              <w:bottom w:val="single" w:sz="8" w:color="CCEEFF"/>
              <w:right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8,419,236</w:t>
            </w: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9,017,836</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4840" w:type="dxa"/>
            <w:vAlign w:val="bottom"/>
          </w:tcPr>
          <w:p>
            <w:pPr>
              <w:ind w:left="200"/>
              <w:spacing w:after="0"/>
              <w:rPr>
                <w:sz w:val="20"/>
                <w:szCs w:val="20"/>
                <w:color w:val="auto"/>
              </w:rPr>
            </w:pPr>
            <w:r>
              <w:rPr>
                <w:rFonts w:ascii="Arial" w:cs="Arial" w:eastAsia="Arial" w:hAnsi="Arial"/>
                <w:sz w:val="17"/>
                <w:szCs w:val="17"/>
                <w:color w:val="auto"/>
              </w:rPr>
              <w:t>Total gross premiums written</w:t>
            </w:r>
          </w:p>
        </w:tc>
        <w:tc>
          <w:tcPr>
            <w:tcW w:w="1440" w:type="dxa"/>
            <w:vAlign w:val="bottom"/>
            <w:gridSpan w:val="2"/>
          </w:tcPr>
          <w:p>
            <w:pPr>
              <w:jc w:val="right"/>
              <w:ind w:right="46"/>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44,821,390</w:t>
            </w:r>
          </w:p>
        </w:tc>
        <w:tc>
          <w:tcPr>
            <w:tcW w:w="4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36,864,165</w:t>
            </w:r>
          </w:p>
        </w:tc>
        <w:tc>
          <w:tcPr>
            <w:tcW w:w="4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82,309,904</w:t>
            </w:r>
          </w:p>
        </w:tc>
        <w:tc>
          <w:tcPr>
            <w:tcW w:w="4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68,390,784</w:t>
            </w:r>
          </w:p>
        </w:tc>
        <w:tc>
          <w:tcPr>
            <w:tcW w:w="120" w:type="dxa"/>
            <w:vAlign w:val="bottom"/>
          </w:tcPr>
          <w:p>
            <w:pPr>
              <w:spacing w:after="0"/>
              <w:rPr>
                <w:sz w:val="18"/>
                <w:szCs w:val="18"/>
                <w:color w:val="auto"/>
              </w:rPr>
            </w:pPr>
          </w:p>
        </w:tc>
      </w:tr>
      <w:tr>
        <w:trPr>
          <w:trHeight w:val="20"/>
        </w:trPr>
        <w:tc>
          <w:tcPr>
            <w:tcW w:w="48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2"/>
        </w:trPr>
        <w:tc>
          <w:tcPr>
            <w:tcW w:w="48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9"/>
        </w:trPr>
        <w:tc>
          <w:tcPr>
            <w:tcW w:w="4840" w:type="dxa"/>
            <w:vAlign w:val="bottom"/>
          </w:tcPr>
          <w:p>
            <w:pPr>
              <w:ind w:left="40"/>
              <w:spacing w:after="0"/>
              <w:rPr>
                <w:sz w:val="20"/>
                <w:szCs w:val="20"/>
                <w:color w:val="auto"/>
              </w:rPr>
            </w:pPr>
            <w:r>
              <w:rPr>
                <w:rFonts w:ascii="Arial" w:cs="Arial" w:eastAsia="Arial" w:hAnsi="Arial"/>
                <w:sz w:val="17"/>
                <w:szCs w:val="17"/>
                <w:b w:val="1"/>
                <w:bCs w:val="1"/>
                <w:color w:val="auto"/>
              </w:rPr>
              <w:t>Net premiums written:</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4840" w:type="dxa"/>
            <w:vAlign w:val="bottom"/>
            <w:shd w:val="clear" w:color="auto" w:fill="CCEEFF"/>
          </w:tcPr>
          <w:p>
            <w:pPr>
              <w:ind w:left="40"/>
              <w:spacing w:after="0"/>
              <w:rPr>
                <w:sz w:val="20"/>
                <w:szCs w:val="20"/>
                <w:color w:val="auto"/>
              </w:rPr>
            </w:pPr>
            <w:r>
              <w:rPr>
                <w:rFonts w:ascii="Arial" w:cs="Arial" w:eastAsia="Arial" w:hAnsi="Arial"/>
                <w:sz w:val="17"/>
                <w:szCs w:val="17"/>
                <w:color w:val="auto"/>
              </w:rPr>
              <w:t>Personal lines(3)</w:t>
            </w:r>
          </w:p>
        </w:tc>
        <w:tc>
          <w:tcPr>
            <w:tcW w:w="1440" w:type="dxa"/>
            <w:vAlign w:val="bottom"/>
            <w:gridSpan w:val="2"/>
            <w:shd w:val="clear" w:color="auto" w:fill="CCEEFF"/>
          </w:tcPr>
          <w:p>
            <w:pPr>
              <w:jc w:val="right"/>
              <w:ind w:right="46"/>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30,340,230</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21,219,892</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53,844,093</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38,663,803</w:t>
            </w:r>
          </w:p>
        </w:tc>
        <w:tc>
          <w:tcPr>
            <w:tcW w:w="120" w:type="dxa"/>
            <w:vAlign w:val="bottom"/>
            <w:shd w:val="clear" w:color="auto" w:fill="CCEEFF"/>
          </w:tcPr>
          <w:p>
            <w:pPr>
              <w:spacing w:after="0"/>
              <w:rPr>
                <w:sz w:val="18"/>
                <w:szCs w:val="18"/>
                <w:color w:val="auto"/>
              </w:rPr>
            </w:pPr>
          </w:p>
        </w:tc>
      </w:tr>
      <w:tr>
        <w:trPr>
          <w:trHeight w:val="209"/>
        </w:trPr>
        <w:tc>
          <w:tcPr>
            <w:tcW w:w="4840" w:type="dxa"/>
            <w:vAlign w:val="bottom"/>
          </w:tcPr>
          <w:p>
            <w:pPr>
              <w:ind w:left="40"/>
              <w:spacing w:after="0"/>
              <w:rPr>
                <w:sz w:val="20"/>
                <w:szCs w:val="20"/>
                <w:color w:val="auto"/>
              </w:rPr>
            </w:pPr>
            <w:r>
              <w:rPr>
                <w:rFonts w:ascii="Arial" w:cs="Arial" w:eastAsia="Arial" w:hAnsi="Arial"/>
                <w:sz w:val="17"/>
                <w:szCs w:val="17"/>
                <w:color w:val="auto"/>
              </w:rPr>
              <w:t>Livery physical damage</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2,878,749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2,422,499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5,608,835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4,778,569</w:t>
            </w:r>
          </w:p>
        </w:tc>
        <w:tc>
          <w:tcPr>
            <w:tcW w:w="120" w:type="dxa"/>
            <w:vAlign w:val="bottom"/>
          </w:tcPr>
          <w:p>
            <w:pPr>
              <w:spacing w:after="0"/>
              <w:rPr>
                <w:sz w:val="18"/>
                <w:szCs w:val="18"/>
                <w:color w:val="auto"/>
              </w:rPr>
            </w:pPr>
          </w:p>
        </w:tc>
      </w:tr>
      <w:tr>
        <w:trPr>
          <w:trHeight w:val="215"/>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Other(1)</w:t>
            </w:r>
          </w:p>
        </w:tc>
        <w:tc>
          <w:tcPr>
            <w:tcW w:w="1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55,984</w:t>
            </w:r>
          </w:p>
        </w:tc>
        <w:tc>
          <w:tcPr>
            <w:tcW w:w="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48,228</w:t>
            </w:r>
          </w:p>
        </w:tc>
        <w:tc>
          <w:tcPr>
            <w:tcW w:w="280" w:type="dxa"/>
            <w:vAlign w:val="bottom"/>
            <w:tcBorders>
              <w:bottom w:val="single" w:sz="8" w:color="CCEEFF"/>
              <w:right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122,280</w:t>
            </w: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96,260</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4840" w:type="dxa"/>
            <w:vAlign w:val="bottom"/>
          </w:tcPr>
          <w:p>
            <w:pPr>
              <w:ind w:left="200"/>
              <w:spacing w:after="0"/>
              <w:rPr>
                <w:sz w:val="20"/>
                <w:szCs w:val="20"/>
                <w:color w:val="auto"/>
              </w:rPr>
            </w:pPr>
            <w:r>
              <w:rPr>
                <w:rFonts w:ascii="Arial" w:cs="Arial" w:eastAsia="Arial" w:hAnsi="Arial"/>
                <w:sz w:val="17"/>
                <w:szCs w:val="17"/>
                <w:color w:val="auto"/>
              </w:rPr>
              <w:t>Total without commercial lines</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33,274,963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23,690,619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59,575,208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43,538,632</w:t>
            </w:r>
          </w:p>
        </w:tc>
        <w:tc>
          <w:tcPr>
            <w:tcW w:w="120" w:type="dxa"/>
            <w:vAlign w:val="bottom"/>
          </w:tcPr>
          <w:p>
            <w:pPr>
              <w:spacing w:after="0"/>
              <w:rPr>
                <w:sz w:val="18"/>
                <w:szCs w:val="18"/>
                <w:color w:val="auto"/>
              </w:rPr>
            </w:pPr>
          </w:p>
        </w:tc>
      </w:tr>
      <w:tr>
        <w:trPr>
          <w:trHeight w:val="215"/>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Commercial lines (in run-off effective July 2019)(2)</w:t>
            </w:r>
          </w:p>
        </w:tc>
        <w:tc>
          <w:tcPr>
            <w:tcW w:w="1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3,346,540</w:t>
            </w:r>
          </w:p>
        </w:tc>
        <w:tc>
          <w:tcPr>
            <w:tcW w:w="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4,274,058</w:t>
            </w:r>
          </w:p>
        </w:tc>
        <w:tc>
          <w:tcPr>
            <w:tcW w:w="280" w:type="dxa"/>
            <w:vAlign w:val="bottom"/>
            <w:tcBorders>
              <w:bottom w:val="single" w:sz="8" w:color="CCEEFF"/>
              <w:right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7,406,901</w:t>
            </w: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8,126,429</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4840" w:type="dxa"/>
            <w:vAlign w:val="bottom"/>
          </w:tcPr>
          <w:p>
            <w:pPr>
              <w:ind w:left="200"/>
              <w:spacing w:after="0"/>
              <w:rPr>
                <w:sz w:val="20"/>
                <w:szCs w:val="20"/>
                <w:color w:val="auto"/>
              </w:rPr>
            </w:pPr>
            <w:r>
              <w:rPr>
                <w:rFonts w:ascii="Arial" w:cs="Arial" w:eastAsia="Arial" w:hAnsi="Arial"/>
                <w:sz w:val="17"/>
                <w:szCs w:val="17"/>
                <w:color w:val="auto"/>
              </w:rPr>
              <w:t>Total net premiums written</w:t>
            </w:r>
          </w:p>
        </w:tc>
        <w:tc>
          <w:tcPr>
            <w:tcW w:w="1440" w:type="dxa"/>
            <w:vAlign w:val="bottom"/>
            <w:gridSpan w:val="2"/>
          </w:tcPr>
          <w:p>
            <w:pPr>
              <w:jc w:val="right"/>
              <w:ind w:right="46"/>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36,621,503</w:t>
            </w:r>
          </w:p>
        </w:tc>
        <w:tc>
          <w:tcPr>
            <w:tcW w:w="4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27,964,676</w:t>
            </w:r>
          </w:p>
        </w:tc>
        <w:tc>
          <w:tcPr>
            <w:tcW w:w="4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66,982,109</w:t>
            </w:r>
          </w:p>
        </w:tc>
        <w:tc>
          <w:tcPr>
            <w:tcW w:w="4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51,665,060</w:t>
            </w:r>
          </w:p>
        </w:tc>
        <w:tc>
          <w:tcPr>
            <w:tcW w:w="120" w:type="dxa"/>
            <w:vAlign w:val="bottom"/>
          </w:tcPr>
          <w:p>
            <w:pPr>
              <w:spacing w:after="0"/>
              <w:rPr>
                <w:sz w:val="18"/>
                <w:szCs w:val="18"/>
                <w:color w:val="auto"/>
              </w:rPr>
            </w:pPr>
          </w:p>
        </w:tc>
      </w:tr>
      <w:tr>
        <w:trPr>
          <w:trHeight w:val="20"/>
        </w:trPr>
        <w:tc>
          <w:tcPr>
            <w:tcW w:w="48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2"/>
        </w:trPr>
        <w:tc>
          <w:tcPr>
            <w:tcW w:w="48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9"/>
        </w:trPr>
        <w:tc>
          <w:tcPr>
            <w:tcW w:w="4840" w:type="dxa"/>
            <w:vAlign w:val="bottom"/>
          </w:tcPr>
          <w:p>
            <w:pPr>
              <w:ind w:left="40"/>
              <w:spacing w:after="0"/>
              <w:rPr>
                <w:sz w:val="20"/>
                <w:szCs w:val="20"/>
                <w:color w:val="auto"/>
              </w:rPr>
            </w:pPr>
            <w:r>
              <w:rPr>
                <w:rFonts w:ascii="Arial" w:cs="Arial" w:eastAsia="Arial" w:hAnsi="Arial"/>
                <w:sz w:val="17"/>
                <w:szCs w:val="17"/>
                <w:b w:val="1"/>
                <w:bCs w:val="1"/>
                <w:color w:val="auto"/>
              </w:rPr>
              <w:t>Net premiums earned:</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4840" w:type="dxa"/>
            <w:vAlign w:val="bottom"/>
            <w:shd w:val="clear" w:color="auto" w:fill="CCEEFF"/>
          </w:tcPr>
          <w:p>
            <w:pPr>
              <w:ind w:left="40"/>
              <w:spacing w:after="0"/>
              <w:rPr>
                <w:sz w:val="20"/>
                <w:szCs w:val="20"/>
                <w:color w:val="auto"/>
              </w:rPr>
            </w:pPr>
            <w:r>
              <w:rPr>
                <w:rFonts w:ascii="Arial" w:cs="Arial" w:eastAsia="Arial" w:hAnsi="Arial"/>
                <w:sz w:val="17"/>
                <w:szCs w:val="17"/>
                <w:color w:val="auto"/>
              </w:rPr>
              <w:t>Personal lines(3)</w:t>
            </w:r>
          </w:p>
        </w:tc>
        <w:tc>
          <w:tcPr>
            <w:tcW w:w="1440" w:type="dxa"/>
            <w:vAlign w:val="bottom"/>
            <w:gridSpan w:val="2"/>
            <w:shd w:val="clear" w:color="auto" w:fill="CCEEFF"/>
          </w:tcPr>
          <w:p>
            <w:pPr>
              <w:jc w:val="right"/>
              <w:ind w:right="46"/>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24,828,974</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18,231,382</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48,249,848</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35,271,638</w:t>
            </w:r>
          </w:p>
        </w:tc>
        <w:tc>
          <w:tcPr>
            <w:tcW w:w="120" w:type="dxa"/>
            <w:vAlign w:val="bottom"/>
            <w:shd w:val="clear" w:color="auto" w:fill="CCEEFF"/>
          </w:tcPr>
          <w:p>
            <w:pPr>
              <w:spacing w:after="0"/>
              <w:rPr>
                <w:sz w:val="18"/>
                <w:szCs w:val="18"/>
                <w:color w:val="auto"/>
              </w:rPr>
            </w:pPr>
          </w:p>
        </w:tc>
      </w:tr>
      <w:tr>
        <w:trPr>
          <w:trHeight w:val="209"/>
        </w:trPr>
        <w:tc>
          <w:tcPr>
            <w:tcW w:w="4840" w:type="dxa"/>
            <w:vAlign w:val="bottom"/>
          </w:tcPr>
          <w:p>
            <w:pPr>
              <w:ind w:left="40"/>
              <w:spacing w:after="0"/>
              <w:rPr>
                <w:sz w:val="20"/>
                <w:szCs w:val="20"/>
                <w:color w:val="auto"/>
              </w:rPr>
            </w:pPr>
            <w:r>
              <w:rPr>
                <w:rFonts w:ascii="Arial" w:cs="Arial" w:eastAsia="Arial" w:hAnsi="Arial"/>
                <w:sz w:val="17"/>
                <w:szCs w:val="17"/>
                <w:color w:val="auto"/>
              </w:rPr>
              <w:t>Livery physical damage</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2,620,857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2,401,376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5,138,539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4,922,060</w:t>
            </w:r>
          </w:p>
        </w:tc>
        <w:tc>
          <w:tcPr>
            <w:tcW w:w="120" w:type="dxa"/>
            <w:vAlign w:val="bottom"/>
          </w:tcPr>
          <w:p>
            <w:pPr>
              <w:spacing w:after="0"/>
              <w:rPr>
                <w:sz w:val="18"/>
                <w:szCs w:val="18"/>
                <w:color w:val="auto"/>
              </w:rPr>
            </w:pPr>
          </w:p>
        </w:tc>
      </w:tr>
      <w:tr>
        <w:trPr>
          <w:trHeight w:val="215"/>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Other(1)</w:t>
            </w:r>
          </w:p>
        </w:tc>
        <w:tc>
          <w:tcPr>
            <w:tcW w:w="1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59,404</w:t>
            </w:r>
          </w:p>
        </w:tc>
        <w:tc>
          <w:tcPr>
            <w:tcW w:w="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48,144</w:t>
            </w:r>
          </w:p>
        </w:tc>
        <w:tc>
          <w:tcPr>
            <w:tcW w:w="280" w:type="dxa"/>
            <w:vAlign w:val="bottom"/>
            <w:tcBorders>
              <w:bottom w:val="single" w:sz="8" w:color="CCEEFF"/>
              <w:right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117,421</w:t>
            </w: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94,851</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4840" w:type="dxa"/>
            <w:vAlign w:val="bottom"/>
          </w:tcPr>
          <w:p>
            <w:pPr>
              <w:ind w:left="200"/>
              <w:spacing w:after="0"/>
              <w:rPr>
                <w:sz w:val="20"/>
                <w:szCs w:val="20"/>
                <w:color w:val="auto"/>
              </w:rPr>
            </w:pPr>
            <w:r>
              <w:rPr>
                <w:rFonts w:ascii="Arial" w:cs="Arial" w:eastAsia="Arial" w:hAnsi="Arial"/>
                <w:sz w:val="17"/>
                <w:szCs w:val="17"/>
                <w:color w:val="auto"/>
              </w:rPr>
              <w:t>Total without commercial lines</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27,509,235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20,680,902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53,505,808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40,288,549</w:t>
            </w:r>
          </w:p>
        </w:tc>
        <w:tc>
          <w:tcPr>
            <w:tcW w:w="120" w:type="dxa"/>
            <w:vAlign w:val="bottom"/>
          </w:tcPr>
          <w:p>
            <w:pPr>
              <w:spacing w:after="0"/>
              <w:rPr>
                <w:sz w:val="18"/>
                <w:szCs w:val="18"/>
                <w:color w:val="auto"/>
              </w:rPr>
            </w:pPr>
          </w:p>
        </w:tc>
      </w:tr>
      <w:tr>
        <w:trPr>
          <w:trHeight w:val="215"/>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Commercial lines (in run-off effective July 2019)(2)</w:t>
            </w:r>
          </w:p>
        </w:tc>
        <w:tc>
          <w:tcPr>
            <w:tcW w:w="1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3,692,044</w:t>
            </w:r>
          </w:p>
        </w:tc>
        <w:tc>
          <w:tcPr>
            <w:tcW w:w="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3,423,712</w:t>
            </w:r>
          </w:p>
        </w:tc>
        <w:tc>
          <w:tcPr>
            <w:tcW w:w="280" w:type="dxa"/>
            <w:vAlign w:val="bottom"/>
            <w:tcBorders>
              <w:bottom w:val="single" w:sz="8" w:color="CCEEFF"/>
              <w:right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7,291,360</w:t>
            </w: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6,653,682</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4840" w:type="dxa"/>
            <w:vAlign w:val="bottom"/>
          </w:tcPr>
          <w:p>
            <w:pPr>
              <w:ind w:left="200"/>
              <w:spacing w:after="0"/>
              <w:rPr>
                <w:sz w:val="20"/>
                <w:szCs w:val="20"/>
                <w:color w:val="auto"/>
              </w:rPr>
            </w:pPr>
            <w:r>
              <w:rPr>
                <w:rFonts w:ascii="Arial" w:cs="Arial" w:eastAsia="Arial" w:hAnsi="Arial"/>
                <w:sz w:val="17"/>
                <w:szCs w:val="17"/>
                <w:color w:val="auto"/>
              </w:rPr>
              <w:t>Total net premiums earned</w:t>
            </w:r>
          </w:p>
        </w:tc>
        <w:tc>
          <w:tcPr>
            <w:tcW w:w="1440" w:type="dxa"/>
            <w:vAlign w:val="bottom"/>
            <w:gridSpan w:val="2"/>
          </w:tcPr>
          <w:p>
            <w:pPr>
              <w:jc w:val="right"/>
              <w:ind w:right="46"/>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31,201,279</w:t>
            </w:r>
          </w:p>
        </w:tc>
        <w:tc>
          <w:tcPr>
            <w:tcW w:w="4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24,104,614</w:t>
            </w:r>
          </w:p>
        </w:tc>
        <w:tc>
          <w:tcPr>
            <w:tcW w:w="4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60,797,168</w:t>
            </w:r>
          </w:p>
        </w:tc>
        <w:tc>
          <w:tcPr>
            <w:tcW w:w="4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46,942,231</w:t>
            </w:r>
          </w:p>
        </w:tc>
        <w:tc>
          <w:tcPr>
            <w:tcW w:w="120" w:type="dxa"/>
            <w:vAlign w:val="bottom"/>
          </w:tcPr>
          <w:p>
            <w:pPr>
              <w:spacing w:after="0"/>
              <w:rPr>
                <w:sz w:val="18"/>
                <w:szCs w:val="18"/>
                <w:color w:val="auto"/>
              </w:rPr>
            </w:pPr>
          </w:p>
        </w:tc>
      </w:tr>
      <w:tr>
        <w:trPr>
          <w:trHeight w:val="20"/>
        </w:trPr>
        <w:tc>
          <w:tcPr>
            <w:tcW w:w="48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2"/>
        </w:trPr>
        <w:tc>
          <w:tcPr>
            <w:tcW w:w="48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9"/>
        </w:trPr>
        <w:tc>
          <w:tcPr>
            <w:tcW w:w="4840" w:type="dxa"/>
            <w:vAlign w:val="bottom"/>
          </w:tcPr>
          <w:p>
            <w:pPr>
              <w:ind w:left="40"/>
              <w:spacing w:after="0"/>
              <w:rPr>
                <w:sz w:val="20"/>
                <w:szCs w:val="20"/>
                <w:color w:val="auto"/>
              </w:rPr>
            </w:pPr>
            <w:r>
              <w:rPr>
                <w:rFonts w:ascii="Arial" w:cs="Arial" w:eastAsia="Arial" w:hAnsi="Arial"/>
                <w:sz w:val="17"/>
                <w:szCs w:val="17"/>
                <w:b w:val="1"/>
                <w:bCs w:val="1"/>
                <w:color w:val="auto"/>
              </w:rPr>
              <w:t>Net loss and loss adjustment expenses(4):</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4840" w:type="dxa"/>
            <w:vAlign w:val="bottom"/>
            <w:shd w:val="clear" w:color="auto" w:fill="CCEEFF"/>
          </w:tcPr>
          <w:p>
            <w:pPr>
              <w:ind w:left="40"/>
              <w:spacing w:after="0"/>
              <w:rPr>
                <w:sz w:val="20"/>
                <w:szCs w:val="20"/>
                <w:color w:val="auto"/>
              </w:rPr>
            </w:pPr>
            <w:r>
              <w:rPr>
                <w:rFonts w:ascii="Arial" w:cs="Arial" w:eastAsia="Arial" w:hAnsi="Arial"/>
                <w:sz w:val="17"/>
                <w:szCs w:val="17"/>
                <w:color w:val="auto"/>
              </w:rPr>
              <w:t>Personal lines</w:t>
            </w:r>
          </w:p>
        </w:tc>
        <w:tc>
          <w:tcPr>
            <w:tcW w:w="1440" w:type="dxa"/>
            <w:vAlign w:val="bottom"/>
            <w:gridSpan w:val="2"/>
            <w:shd w:val="clear" w:color="auto" w:fill="CCEEFF"/>
          </w:tcPr>
          <w:p>
            <w:pPr>
              <w:jc w:val="right"/>
              <w:ind w:right="46"/>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11,874,563</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8,482,526</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32,277,107</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21,443,732</w:t>
            </w:r>
          </w:p>
        </w:tc>
        <w:tc>
          <w:tcPr>
            <w:tcW w:w="120" w:type="dxa"/>
            <w:vAlign w:val="bottom"/>
            <w:shd w:val="clear" w:color="auto" w:fill="CCEEFF"/>
          </w:tcPr>
          <w:p>
            <w:pPr>
              <w:spacing w:after="0"/>
              <w:rPr>
                <w:sz w:val="18"/>
                <w:szCs w:val="18"/>
                <w:color w:val="auto"/>
              </w:rPr>
            </w:pPr>
          </w:p>
        </w:tc>
      </w:tr>
      <w:tr>
        <w:trPr>
          <w:trHeight w:val="209"/>
        </w:trPr>
        <w:tc>
          <w:tcPr>
            <w:tcW w:w="4840" w:type="dxa"/>
            <w:vAlign w:val="bottom"/>
          </w:tcPr>
          <w:p>
            <w:pPr>
              <w:ind w:left="40"/>
              <w:spacing w:after="0"/>
              <w:rPr>
                <w:sz w:val="20"/>
                <w:szCs w:val="20"/>
                <w:color w:val="auto"/>
              </w:rPr>
            </w:pPr>
            <w:r>
              <w:rPr>
                <w:rFonts w:ascii="Arial" w:cs="Arial" w:eastAsia="Arial" w:hAnsi="Arial"/>
                <w:sz w:val="17"/>
                <w:szCs w:val="17"/>
                <w:color w:val="auto"/>
              </w:rPr>
              <w:t>Livery physical damage</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1,203,457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1,101,715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2,420,760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2,265,796</w:t>
            </w:r>
          </w:p>
        </w:tc>
        <w:tc>
          <w:tcPr>
            <w:tcW w:w="120" w:type="dxa"/>
            <w:vAlign w:val="bottom"/>
          </w:tcPr>
          <w:p>
            <w:pPr>
              <w:spacing w:after="0"/>
              <w:rPr>
                <w:sz w:val="18"/>
                <w:szCs w:val="18"/>
                <w:color w:val="auto"/>
              </w:rPr>
            </w:pPr>
          </w:p>
        </w:tc>
      </w:tr>
      <w:tr>
        <w:trPr>
          <w:trHeight w:val="209"/>
        </w:trPr>
        <w:tc>
          <w:tcPr>
            <w:tcW w:w="4840" w:type="dxa"/>
            <w:vAlign w:val="bottom"/>
            <w:shd w:val="clear" w:color="auto" w:fill="CCEEFF"/>
          </w:tcPr>
          <w:p>
            <w:pPr>
              <w:ind w:left="40"/>
              <w:spacing w:after="0"/>
              <w:rPr>
                <w:sz w:val="20"/>
                <w:szCs w:val="20"/>
                <w:color w:val="auto"/>
              </w:rPr>
            </w:pPr>
            <w:r>
              <w:rPr>
                <w:rFonts w:ascii="Arial" w:cs="Arial" w:eastAsia="Arial" w:hAnsi="Arial"/>
                <w:sz w:val="17"/>
                <w:szCs w:val="17"/>
                <w:color w:val="auto"/>
              </w:rPr>
              <w:t>Other(1)</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176,061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318,304</w:t>
            </w: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326,565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376,978</w:t>
            </w:r>
          </w:p>
        </w:tc>
        <w:tc>
          <w:tcPr>
            <w:tcW w:w="120" w:type="dxa"/>
            <w:vAlign w:val="bottom"/>
            <w:shd w:val="clear" w:color="auto" w:fill="CCEEFF"/>
          </w:tcPr>
          <w:p>
            <w:pPr>
              <w:spacing w:after="0"/>
              <w:rPr>
                <w:sz w:val="18"/>
                <w:szCs w:val="18"/>
                <w:color w:val="auto"/>
              </w:rPr>
            </w:pPr>
          </w:p>
        </w:tc>
      </w:tr>
      <w:tr>
        <w:trPr>
          <w:trHeight w:val="215"/>
        </w:trPr>
        <w:tc>
          <w:tcPr>
            <w:tcW w:w="4840" w:type="dxa"/>
            <w:vAlign w:val="bottom"/>
          </w:tcPr>
          <w:p>
            <w:pPr>
              <w:ind w:left="40"/>
              <w:spacing w:after="0"/>
              <w:rPr>
                <w:sz w:val="20"/>
                <w:szCs w:val="20"/>
                <w:color w:val="auto"/>
              </w:rPr>
            </w:pPr>
            <w:r>
              <w:rPr>
                <w:rFonts w:ascii="Arial" w:cs="Arial" w:eastAsia="Arial" w:hAnsi="Arial"/>
                <w:sz w:val="17"/>
                <w:szCs w:val="17"/>
                <w:color w:val="auto"/>
              </w:rPr>
              <w:t>Unallocated loss adjustment expenses</w:t>
            </w:r>
          </w:p>
        </w:tc>
        <w:tc>
          <w:tcPr>
            <w:tcW w:w="1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651,142</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472,876</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1,345,792</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1,105,647</w:t>
            </w:r>
          </w:p>
        </w:tc>
        <w:tc>
          <w:tcPr>
            <w:tcW w:w="120" w:type="dxa"/>
            <w:vAlign w:val="bottom"/>
          </w:tcPr>
          <w:p>
            <w:pPr>
              <w:spacing w:after="0"/>
              <w:rPr>
                <w:sz w:val="18"/>
                <w:szCs w:val="18"/>
                <w:color w:val="auto"/>
              </w:rPr>
            </w:pPr>
          </w:p>
        </w:tc>
      </w:tr>
      <w:tr>
        <w:trPr>
          <w:trHeight w:val="209"/>
        </w:trPr>
        <w:tc>
          <w:tcPr>
            <w:tcW w:w="48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 without commercial lines</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13,905,223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10,375,421</w:t>
            </w: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36,370,224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25,192,153</w:t>
            </w:r>
          </w:p>
        </w:tc>
        <w:tc>
          <w:tcPr>
            <w:tcW w:w="120" w:type="dxa"/>
            <w:vAlign w:val="bottom"/>
            <w:shd w:val="clear" w:color="auto" w:fill="CCEEFF"/>
          </w:tcPr>
          <w:p>
            <w:pPr>
              <w:spacing w:after="0"/>
              <w:rPr>
                <w:sz w:val="18"/>
                <w:szCs w:val="18"/>
                <w:color w:val="auto"/>
              </w:rPr>
            </w:pPr>
          </w:p>
        </w:tc>
      </w:tr>
      <w:tr>
        <w:trPr>
          <w:trHeight w:val="215"/>
        </w:trPr>
        <w:tc>
          <w:tcPr>
            <w:tcW w:w="4840" w:type="dxa"/>
            <w:vAlign w:val="bottom"/>
          </w:tcPr>
          <w:p>
            <w:pPr>
              <w:ind w:left="40"/>
              <w:spacing w:after="0"/>
              <w:rPr>
                <w:sz w:val="20"/>
                <w:szCs w:val="20"/>
                <w:color w:val="auto"/>
              </w:rPr>
            </w:pPr>
            <w:r>
              <w:rPr>
                <w:rFonts w:ascii="Arial" w:cs="Arial" w:eastAsia="Arial" w:hAnsi="Arial"/>
                <w:sz w:val="17"/>
                <w:szCs w:val="17"/>
                <w:color w:val="auto"/>
              </w:rPr>
              <w:t>Commercial lines (in run-off effective July 2019)(2)</w:t>
            </w:r>
          </w:p>
        </w:tc>
        <w:tc>
          <w:tcPr>
            <w:tcW w:w="1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3,767,085</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800,664</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10,436,308</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3,250,262</w:t>
            </w:r>
          </w:p>
        </w:tc>
        <w:tc>
          <w:tcPr>
            <w:tcW w:w="120" w:type="dxa"/>
            <w:vAlign w:val="bottom"/>
          </w:tcPr>
          <w:p>
            <w:pPr>
              <w:spacing w:after="0"/>
              <w:rPr>
                <w:sz w:val="18"/>
                <w:szCs w:val="18"/>
                <w:color w:val="auto"/>
              </w:rPr>
            </w:pPr>
          </w:p>
        </w:tc>
      </w:tr>
      <w:tr>
        <w:trPr>
          <w:trHeight w:val="229"/>
        </w:trPr>
        <w:tc>
          <w:tcPr>
            <w:tcW w:w="48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 net loss and loss adjustment expenses</w:t>
            </w: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17,672,308</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11,176,085</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46,806,532</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28,442,415</w:t>
            </w:r>
          </w:p>
        </w:tc>
        <w:tc>
          <w:tcPr>
            <w:tcW w:w="120" w:type="dxa"/>
            <w:vAlign w:val="bottom"/>
            <w:shd w:val="clear" w:color="auto" w:fill="CCEEFF"/>
          </w:tcPr>
          <w:p>
            <w:pPr>
              <w:spacing w:after="0"/>
              <w:rPr>
                <w:sz w:val="19"/>
                <w:szCs w:val="19"/>
                <w:color w:val="auto"/>
              </w:rPr>
            </w:pPr>
          </w:p>
        </w:tc>
      </w:tr>
      <w:tr>
        <w:trPr>
          <w:trHeight w:val="20"/>
        </w:trPr>
        <w:tc>
          <w:tcPr>
            <w:tcW w:w="48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2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loss ratio(4):</w:t>
            </w:r>
          </w:p>
        </w:tc>
        <w:tc>
          <w:tcPr>
            <w:tcW w:w="25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tcPr>
          <w:p>
            <w:pPr>
              <w:spacing w:after="0"/>
              <w:rPr>
                <w:sz w:val="20"/>
                <w:szCs w:val="20"/>
                <w:color w:val="auto"/>
              </w:rPr>
            </w:pPr>
            <w:r>
              <w:rPr>
                <w:rFonts w:ascii="Arial" w:cs="Arial" w:eastAsia="Arial" w:hAnsi="Arial"/>
                <w:sz w:val="17"/>
                <w:szCs w:val="17"/>
                <w:color w:val="auto"/>
              </w:rPr>
              <w:t>Personal lines</w:t>
            </w:r>
          </w:p>
        </w:tc>
        <w:tc>
          <w:tcPr>
            <w:tcW w:w="2540" w:type="dxa"/>
            <w:vAlign w:val="bottom"/>
          </w:tcPr>
          <w:p>
            <w:pPr>
              <w:jc w:val="right"/>
              <w:ind w:right="335"/>
              <w:spacing w:after="0"/>
              <w:rPr>
                <w:sz w:val="20"/>
                <w:szCs w:val="20"/>
                <w:color w:val="auto"/>
              </w:rPr>
            </w:pPr>
            <w:r>
              <w:rPr>
                <w:rFonts w:ascii="Arial" w:cs="Arial" w:eastAsia="Arial" w:hAnsi="Arial"/>
                <w:sz w:val="17"/>
                <w:szCs w:val="17"/>
                <w:color w:val="auto"/>
              </w:rPr>
              <w:t>47.8%</w:t>
            </w:r>
          </w:p>
        </w:tc>
        <w:tc>
          <w:tcPr>
            <w:tcW w:w="1380" w:type="dxa"/>
            <w:vAlign w:val="bottom"/>
          </w:tcPr>
          <w:p>
            <w:pPr>
              <w:jc w:val="right"/>
              <w:ind w:right="335"/>
              <w:spacing w:after="0"/>
              <w:rPr>
                <w:sz w:val="20"/>
                <w:szCs w:val="20"/>
                <w:color w:val="auto"/>
              </w:rPr>
            </w:pPr>
            <w:r>
              <w:rPr>
                <w:rFonts w:ascii="Arial" w:cs="Arial" w:eastAsia="Arial" w:hAnsi="Arial"/>
                <w:sz w:val="17"/>
                <w:szCs w:val="17"/>
                <w:color w:val="auto"/>
              </w:rPr>
              <w:t>46.5%</w:t>
            </w:r>
          </w:p>
        </w:tc>
        <w:tc>
          <w:tcPr>
            <w:tcW w:w="1360" w:type="dxa"/>
            <w:vAlign w:val="bottom"/>
          </w:tcPr>
          <w:p>
            <w:pPr>
              <w:jc w:val="right"/>
              <w:ind w:right="335"/>
              <w:spacing w:after="0"/>
              <w:rPr>
                <w:sz w:val="20"/>
                <w:szCs w:val="20"/>
                <w:color w:val="auto"/>
              </w:rPr>
            </w:pPr>
            <w:r>
              <w:rPr>
                <w:rFonts w:ascii="Arial" w:cs="Arial" w:eastAsia="Arial" w:hAnsi="Arial"/>
                <w:sz w:val="17"/>
                <w:szCs w:val="17"/>
                <w:color w:val="auto"/>
              </w:rPr>
              <w:t>66.9%</w:t>
            </w:r>
          </w:p>
        </w:tc>
        <w:tc>
          <w:tcPr>
            <w:tcW w:w="940" w:type="dxa"/>
            <w:vAlign w:val="bottom"/>
          </w:tcPr>
          <w:p>
            <w:pPr>
              <w:jc w:val="right"/>
              <w:spacing w:after="0"/>
              <w:rPr>
                <w:sz w:val="20"/>
                <w:szCs w:val="20"/>
                <w:color w:val="auto"/>
              </w:rPr>
            </w:pPr>
            <w:r>
              <w:rPr>
                <w:rFonts w:ascii="Arial" w:cs="Arial" w:eastAsia="Arial" w:hAnsi="Arial"/>
                <w:sz w:val="17"/>
                <w:szCs w:val="17"/>
                <w:color w:val="auto"/>
              </w:rPr>
              <w:t>60.8%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shd w:val="clear" w:color="auto" w:fill="CCEEFF"/>
          </w:tcPr>
          <w:p>
            <w:pPr>
              <w:spacing w:after="0"/>
              <w:rPr>
                <w:sz w:val="20"/>
                <w:szCs w:val="20"/>
                <w:color w:val="auto"/>
              </w:rPr>
            </w:pPr>
            <w:r>
              <w:rPr>
                <w:rFonts w:ascii="Arial" w:cs="Arial" w:eastAsia="Arial" w:hAnsi="Arial"/>
                <w:sz w:val="17"/>
                <w:szCs w:val="17"/>
                <w:color w:val="auto"/>
              </w:rPr>
              <w:t>Livery physical damage</w:t>
            </w:r>
          </w:p>
        </w:tc>
        <w:tc>
          <w:tcPr>
            <w:tcW w:w="2540" w:type="dxa"/>
            <w:vAlign w:val="bottom"/>
            <w:shd w:val="clear" w:color="auto" w:fill="CCEEFF"/>
          </w:tcPr>
          <w:p>
            <w:pPr>
              <w:jc w:val="right"/>
              <w:ind w:right="335"/>
              <w:spacing w:after="0"/>
              <w:rPr>
                <w:sz w:val="20"/>
                <w:szCs w:val="20"/>
                <w:color w:val="auto"/>
              </w:rPr>
            </w:pPr>
            <w:r>
              <w:rPr>
                <w:rFonts w:ascii="Arial" w:cs="Arial" w:eastAsia="Arial" w:hAnsi="Arial"/>
                <w:sz w:val="17"/>
                <w:szCs w:val="17"/>
                <w:color w:val="auto"/>
              </w:rPr>
              <w:t>45.9%</w:t>
            </w:r>
          </w:p>
        </w:tc>
        <w:tc>
          <w:tcPr>
            <w:tcW w:w="1380" w:type="dxa"/>
            <w:vAlign w:val="bottom"/>
            <w:shd w:val="clear" w:color="auto" w:fill="CCEEFF"/>
          </w:tcPr>
          <w:p>
            <w:pPr>
              <w:jc w:val="right"/>
              <w:ind w:right="335"/>
              <w:spacing w:after="0"/>
              <w:rPr>
                <w:sz w:val="20"/>
                <w:szCs w:val="20"/>
                <w:color w:val="auto"/>
              </w:rPr>
            </w:pPr>
            <w:r>
              <w:rPr>
                <w:rFonts w:ascii="Arial" w:cs="Arial" w:eastAsia="Arial" w:hAnsi="Arial"/>
                <w:sz w:val="17"/>
                <w:szCs w:val="17"/>
                <w:color w:val="auto"/>
              </w:rPr>
              <w:t>45.9%</w:t>
            </w:r>
          </w:p>
        </w:tc>
        <w:tc>
          <w:tcPr>
            <w:tcW w:w="1360" w:type="dxa"/>
            <w:vAlign w:val="bottom"/>
            <w:shd w:val="clear" w:color="auto" w:fill="CCEEFF"/>
          </w:tcPr>
          <w:p>
            <w:pPr>
              <w:jc w:val="right"/>
              <w:ind w:right="335"/>
              <w:spacing w:after="0"/>
              <w:rPr>
                <w:sz w:val="20"/>
                <w:szCs w:val="20"/>
                <w:color w:val="auto"/>
              </w:rPr>
            </w:pPr>
            <w:r>
              <w:rPr>
                <w:rFonts w:ascii="Arial" w:cs="Arial" w:eastAsia="Arial" w:hAnsi="Arial"/>
                <w:sz w:val="17"/>
                <w:szCs w:val="17"/>
                <w:color w:val="auto"/>
              </w:rPr>
              <w:t>47.1%</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tcPr>
          <w:p>
            <w:pPr>
              <w:spacing w:after="0"/>
              <w:rPr>
                <w:sz w:val="20"/>
                <w:szCs w:val="20"/>
                <w:color w:val="auto"/>
              </w:rPr>
            </w:pPr>
            <w:r>
              <w:rPr>
                <w:rFonts w:ascii="Arial" w:cs="Arial" w:eastAsia="Arial" w:hAnsi="Arial"/>
                <w:sz w:val="17"/>
                <w:szCs w:val="17"/>
                <w:color w:val="auto"/>
              </w:rPr>
              <w:t>Other(1)</w:t>
            </w:r>
          </w:p>
        </w:tc>
        <w:tc>
          <w:tcPr>
            <w:tcW w:w="2540" w:type="dxa"/>
            <w:vAlign w:val="bottom"/>
          </w:tcPr>
          <w:p>
            <w:pPr>
              <w:jc w:val="right"/>
              <w:ind w:right="335"/>
              <w:spacing w:after="0"/>
              <w:rPr>
                <w:sz w:val="20"/>
                <w:szCs w:val="20"/>
                <w:color w:val="auto"/>
              </w:rPr>
            </w:pPr>
            <w:r>
              <w:rPr>
                <w:rFonts w:ascii="Arial" w:cs="Arial" w:eastAsia="Arial" w:hAnsi="Arial"/>
                <w:sz w:val="17"/>
                <w:szCs w:val="17"/>
                <w:color w:val="auto"/>
              </w:rPr>
              <w:t>296.4%</w:t>
            </w:r>
          </w:p>
        </w:tc>
        <w:tc>
          <w:tcPr>
            <w:tcW w:w="1380" w:type="dxa"/>
            <w:vAlign w:val="bottom"/>
          </w:tcPr>
          <w:p>
            <w:pPr>
              <w:jc w:val="right"/>
              <w:ind w:right="335"/>
              <w:spacing w:after="0"/>
              <w:rPr>
                <w:sz w:val="20"/>
                <w:szCs w:val="20"/>
                <w:color w:val="auto"/>
              </w:rPr>
            </w:pPr>
            <w:r>
              <w:rPr>
                <w:rFonts w:ascii="Arial" w:cs="Arial" w:eastAsia="Arial" w:hAnsi="Arial"/>
                <w:sz w:val="17"/>
                <w:szCs w:val="17"/>
                <w:color w:val="auto"/>
              </w:rPr>
              <w:t>661.2%</w:t>
            </w:r>
          </w:p>
        </w:tc>
        <w:tc>
          <w:tcPr>
            <w:tcW w:w="1360" w:type="dxa"/>
            <w:vAlign w:val="bottom"/>
          </w:tcPr>
          <w:p>
            <w:pPr>
              <w:jc w:val="right"/>
              <w:ind w:right="335"/>
              <w:spacing w:after="0"/>
              <w:rPr>
                <w:sz w:val="20"/>
                <w:szCs w:val="20"/>
                <w:color w:val="auto"/>
              </w:rPr>
            </w:pPr>
            <w:r>
              <w:rPr>
                <w:rFonts w:ascii="Arial" w:cs="Arial" w:eastAsia="Arial" w:hAnsi="Arial"/>
                <w:sz w:val="17"/>
                <w:szCs w:val="17"/>
                <w:color w:val="auto"/>
              </w:rPr>
              <w:t>278.1%</w:t>
            </w:r>
          </w:p>
        </w:tc>
        <w:tc>
          <w:tcPr>
            <w:tcW w:w="940" w:type="dxa"/>
            <w:vAlign w:val="bottom"/>
          </w:tcPr>
          <w:p>
            <w:pPr>
              <w:jc w:val="right"/>
              <w:spacing w:after="0"/>
              <w:rPr>
                <w:sz w:val="20"/>
                <w:szCs w:val="20"/>
                <w:color w:val="auto"/>
              </w:rPr>
            </w:pPr>
            <w:r>
              <w:rPr>
                <w:rFonts w:ascii="Arial" w:cs="Arial" w:eastAsia="Arial" w:hAnsi="Arial"/>
                <w:sz w:val="17"/>
                <w:szCs w:val="17"/>
                <w:color w:val="auto"/>
              </w:rPr>
              <w:t>397.4%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Total without commercial lines</w:t>
            </w:r>
          </w:p>
        </w:tc>
        <w:tc>
          <w:tcPr>
            <w:tcW w:w="2540" w:type="dxa"/>
            <w:vAlign w:val="bottom"/>
            <w:shd w:val="clear" w:color="auto" w:fill="CCEEFF"/>
          </w:tcPr>
          <w:p>
            <w:pPr>
              <w:jc w:val="right"/>
              <w:ind w:right="335"/>
              <w:spacing w:after="0"/>
              <w:rPr>
                <w:sz w:val="20"/>
                <w:szCs w:val="20"/>
                <w:color w:val="auto"/>
              </w:rPr>
            </w:pPr>
            <w:r>
              <w:rPr>
                <w:rFonts w:ascii="Arial" w:cs="Arial" w:eastAsia="Arial" w:hAnsi="Arial"/>
                <w:sz w:val="17"/>
                <w:szCs w:val="17"/>
                <w:color w:val="auto"/>
              </w:rPr>
              <w:t>50.5%</w:t>
            </w:r>
          </w:p>
        </w:tc>
        <w:tc>
          <w:tcPr>
            <w:tcW w:w="1380" w:type="dxa"/>
            <w:vAlign w:val="bottom"/>
            <w:shd w:val="clear" w:color="auto" w:fill="CCEEFF"/>
          </w:tcPr>
          <w:p>
            <w:pPr>
              <w:jc w:val="right"/>
              <w:ind w:right="335"/>
              <w:spacing w:after="0"/>
              <w:rPr>
                <w:sz w:val="20"/>
                <w:szCs w:val="20"/>
                <w:color w:val="auto"/>
              </w:rPr>
            </w:pPr>
            <w:r>
              <w:rPr>
                <w:rFonts w:ascii="Arial" w:cs="Arial" w:eastAsia="Arial" w:hAnsi="Arial"/>
                <w:sz w:val="17"/>
                <w:szCs w:val="17"/>
                <w:color w:val="auto"/>
              </w:rPr>
              <w:t>50.2%</w:t>
            </w:r>
          </w:p>
        </w:tc>
        <w:tc>
          <w:tcPr>
            <w:tcW w:w="1360" w:type="dxa"/>
            <w:vAlign w:val="bottom"/>
            <w:shd w:val="clear" w:color="auto" w:fill="CCEEFF"/>
          </w:tcPr>
          <w:p>
            <w:pPr>
              <w:jc w:val="right"/>
              <w:ind w:right="335"/>
              <w:spacing w:after="0"/>
              <w:rPr>
                <w:sz w:val="20"/>
                <w:szCs w:val="20"/>
                <w:color w:val="auto"/>
              </w:rPr>
            </w:pPr>
            <w:r>
              <w:rPr>
                <w:rFonts w:ascii="Arial" w:cs="Arial" w:eastAsia="Arial" w:hAnsi="Arial"/>
                <w:sz w:val="17"/>
                <w:szCs w:val="17"/>
                <w:color w:val="auto"/>
              </w:rPr>
              <w:t>68.0%</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Commercial lines (in run-off effective July 2019)(2)</w:t>
            </w:r>
          </w:p>
        </w:tc>
        <w:tc>
          <w:tcPr>
            <w:tcW w:w="2540" w:type="dxa"/>
            <w:vAlign w:val="bottom"/>
            <w:shd w:val="clear" w:color="auto" w:fill="CCEEFF"/>
          </w:tcPr>
          <w:p>
            <w:pPr>
              <w:jc w:val="right"/>
              <w:ind w:right="335"/>
              <w:spacing w:after="0"/>
              <w:rPr>
                <w:sz w:val="20"/>
                <w:szCs w:val="20"/>
                <w:color w:val="auto"/>
              </w:rPr>
            </w:pPr>
            <w:r>
              <w:rPr>
                <w:rFonts w:ascii="Arial" w:cs="Arial" w:eastAsia="Arial" w:hAnsi="Arial"/>
                <w:sz w:val="17"/>
                <w:szCs w:val="17"/>
                <w:color w:val="auto"/>
              </w:rPr>
              <w:t>102.0%</w:t>
            </w:r>
          </w:p>
        </w:tc>
        <w:tc>
          <w:tcPr>
            <w:tcW w:w="1380" w:type="dxa"/>
            <w:vAlign w:val="bottom"/>
            <w:shd w:val="clear" w:color="auto" w:fill="CCEEFF"/>
          </w:tcPr>
          <w:p>
            <w:pPr>
              <w:jc w:val="right"/>
              <w:ind w:right="335"/>
              <w:spacing w:after="0"/>
              <w:rPr>
                <w:sz w:val="20"/>
                <w:szCs w:val="20"/>
                <w:color w:val="auto"/>
              </w:rPr>
            </w:pPr>
            <w:r>
              <w:rPr>
                <w:rFonts w:ascii="Arial" w:cs="Arial" w:eastAsia="Arial" w:hAnsi="Arial"/>
                <w:sz w:val="17"/>
                <w:szCs w:val="17"/>
                <w:color w:val="auto"/>
              </w:rPr>
              <w:t>23.4%</w:t>
            </w:r>
          </w:p>
        </w:tc>
        <w:tc>
          <w:tcPr>
            <w:tcW w:w="1360" w:type="dxa"/>
            <w:vAlign w:val="bottom"/>
            <w:shd w:val="clear" w:color="auto" w:fill="CCEEFF"/>
          </w:tcPr>
          <w:p>
            <w:pPr>
              <w:jc w:val="right"/>
              <w:ind w:right="335"/>
              <w:spacing w:after="0"/>
              <w:rPr>
                <w:sz w:val="20"/>
                <w:szCs w:val="20"/>
                <w:color w:val="auto"/>
              </w:rPr>
            </w:pPr>
            <w:r>
              <w:rPr>
                <w:rFonts w:ascii="Arial" w:cs="Arial" w:eastAsia="Arial" w:hAnsi="Arial"/>
                <w:sz w:val="17"/>
                <w:szCs w:val="17"/>
                <w:color w:val="auto"/>
              </w:rPr>
              <w:t>143.1%</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200"/>
              <w:spacing w:after="0"/>
              <w:rPr>
                <w:sz w:val="20"/>
                <w:szCs w:val="20"/>
                <w:color w:val="auto"/>
              </w:rPr>
            </w:pPr>
            <w:r>
              <w:rPr>
                <w:rFonts w:ascii="Arial" w:cs="Arial" w:eastAsia="Arial" w:hAnsi="Arial"/>
                <w:sz w:val="17"/>
                <w:szCs w:val="17"/>
                <w:color w:val="auto"/>
              </w:rPr>
              <w:t>Total</w:t>
            </w:r>
          </w:p>
        </w:tc>
        <w:tc>
          <w:tcPr>
            <w:tcW w:w="2540" w:type="dxa"/>
            <w:vAlign w:val="bottom"/>
          </w:tcPr>
          <w:p>
            <w:pPr>
              <w:jc w:val="right"/>
              <w:ind w:right="335"/>
              <w:spacing w:after="0"/>
              <w:rPr>
                <w:sz w:val="20"/>
                <w:szCs w:val="20"/>
                <w:color w:val="auto"/>
              </w:rPr>
            </w:pPr>
            <w:r>
              <w:rPr>
                <w:rFonts w:ascii="Arial" w:cs="Arial" w:eastAsia="Arial" w:hAnsi="Arial"/>
                <w:sz w:val="17"/>
                <w:szCs w:val="17"/>
                <w:color w:val="auto"/>
              </w:rPr>
              <w:t>56.6%</w:t>
            </w:r>
          </w:p>
        </w:tc>
        <w:tc>
          <w:tcPr>
            <w:tcW w:w="1380" w:type="dxa"/>
            <w:vAlign w:val="bottom"/>
          </w:tcPr>
          <w:p>
            <w:pPr>
              <w:jc w:val="right"/>
              <w:ind w:right="335"/>
              <w:spacing w:after="0"/>
              <w:rPr>
                <w:sz w:val="20"/>
                <w:szCs w:val="20"/>
                <w:color w:val="auto"/>
              </w:rPr>
            </w:pPr>
            <w:r>
              <w:rPr>
                <w:rFonts w:ascii="Arial" w:cs="Arial" w:eastAsia="Arial" w:hAnsi="Arial"/>
                <w:sz w:val="17"/>
                <w:szCs w:val="17"/>
                <w:color w:val="auto"/>
              </w:rPr>
              <w:t>46.4%</w:t>
            </w:r>
          </w:p>
        </w:tc>
        <w:tc>
          <w:tcPr>
            <w:tcW w:w="1360" w:type="dxa"/>
            <w:vAlign w:val="bottom"/>
          </w:tcPr>
          <w:p>
            <w:pPr>
              <w:jc w:val="right"/>
              <w:ind w:right="335"/>
              <w:spacing w:after="0"/>
              <w:rPr>
                <w:sz w:val="20"/>
                <w:szCs w:val="20"/>
                <w:color w:val="auto"/>
              </w:rPr>
            </w:pPr>
            <w:r>
              <w:rPr>
                <w:rFonts w:ascii="Arial" w:cs="Arial" w:eastAsia="Arial" w:hAnsi="Arial"/>
                <w:sz w:val="17"/>
                <w:szCs w:val="17"/>
                <w:color w:val="auto"/>
              </w:rPr>
              <w:t>77.0%</w:t>
            </w:r>
          </w:p>
        </w:tc>
        <w:tc>
          <w:tcPr>
            <w:tcW w:w="940" w:type="dxa"/>
            <w:vAlign w:val="bottom"/>
          </w:tcPr>
          <w:p>
            <w:pPr>
              <w:jc w:val="right"/>
              <w:spacing w:after="0"/>
              <w:rPr>
                <w:sz w:val="20"/>
                <w:szCs w:val="20"/>
                <w:color w:val="auto"/>
              </w:rPr>
            </w:pPr>
            <w:r>
              <w:rPr>
                <w:rFonts w:ascii="Arial" w:cs="Arial" w:eastAsia="Arial" w:hAnsi="Arial"/>
                <w:sz w:val="17"/>
                <w:szCs w:val="17"/>
                <w:color w:val="auto"/>
              </w:rPr>
              <w:t>60.6%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480" w:hanging="318"/>
        <w:spacing w:after="0" w:line="260" w:lineRule="auto"/>
        <w:tabs>
          <w:tab w:leader="none" w:pos="4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“Other” includes, among other things, premiums and loss and loss adjustment expenses from our participation in a mandatory state joint underwriting association and loss and loss adjustment expenses from commercial auto.</w:t>
      </w:r>
    </w:p>
    <w:p>
      <w:pPr>
        <w:spacing w:after="0" w:line="1" w:lineRule="exact"/>
        <w:rPr>
          <w:rFonts w:ascii="Arial" w:cs="Arial" w:eastAsia="Arial" w:hAnsi="Arial"/>
          <w:sz w:val="17"/>
          <w:szCs w:val="17"/>
          <w:color w:val="auto"/>
        </w:rPr>
      </w:pPr>
    </w:p>
    <w:p>
      <w:pPr>
        <w:ind w:left="480" w:hanging="318"/>
        <w:spacing w:after="0" w:line="256" w:lineRule="auto"/>
        <w:tabs>
          <w:tab w:leader="none" w:pos="4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 July 2019, the Company decided that it will no longer underwrite Commercial Liability risks. See discussions above regarding the discontinuation of this line of business.</w:t>
      </w:r>
    </w:p>
    <w:p>
      <w:pPr>
        <w:spacing w:after="0" w:line="1" w:lineRule="exact"/>
        <w:rPr>
          <w:rFonts w:ascii="Arial" w:cs="Arial" w:eastAsia="Arial" w:hAnsi="Arial"/>
          <w:sz w:val="17"/>
          <w:szCs w:val="17"/>
          <w:color w:val="auto"/>
        </w:rPr>
      </w:pPr>
    </w:p>
    <w:p>
      <w:pPr>
        <w:ind w:left="480" w:hanging="318"/>
        <w:spacing w:after="0" w:line="256" w:lineRule="auto"/>
        <w:tabs>
          <w:tab w:leader="none" w:pos="4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See discussions above with regard to “Net Written Premiums and Net Premiums Earned”, as to changes in quota share ceding rates, effective July 1, 2018 and 2017.</w:t>
      </w:r>
    </w:p>
    <w:p>
      <w:pPr>
        <w:spacing w:after="0" w:line="1" w:lineRule="exact"/>
        <w:rPr>
          <w:rFonts w:ascii="Arial" w:cs="Arial" w:eastAsia="Arial" w:hAnsi="Arial"/>
          <w:sz w:val="17"/>
          <w:szCs w:val="17"/>
          <w:color w:val="auto"/>
        </w:rPr>
      </w:pPr>
    </w:p>
    <w:p>
      <w:pPr>
        <w:ind w:left="480" w:hanging="318"/>
        <w:spacing w:after="0"/>
        <w:tabs>
          <w:tab w:leader="none" w:pos="4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See discussions above with regard to “Net Loss and LAE”, as to catastrophe losses in 2019 and 2018.</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62" w:name="page63"/>
    <w:bookmarkEnd w:id="62"/>
    <w:p>
      <w:pPr>
        <w:spacing w:after="0"/>
        <w:rPr>
          <w:sz w:val="20"/>
          <w:szCs w:val="20"/>
          <w:color w:val="auto"/>
        </w:rPr>
      </w:pPr>
      <w:r>
        <w:rPr>
          <w:rFonts w:ascii="Arial" w:cs="Arial" w:eastAsia="Arial" w:hAnsi="Arial"/>
          <w:sz w:val="17"/>
          <w:szCs w:val="17"/>
          <w:b w:val="1"/>
          <w:bCs w:val="1"/>
          <w:color w:val="auto"/>
        </w:rPr>
        <w:t>Insurance Underwriting Business on a Standalone Basis</w:t>
      </w:r>
    </w:p>
    <w:p>
      <w:pPr>
        <w:spacing w:after="0" w:line="22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insurance underwriting business reported on a standalone basis for the periods indicated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6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400" w:type="dxa"/>
            <w:vAlign w:val="bottom"/>
            <w:gridSpan w:val="6"/>
          </w:tcPr>
          <w:p>
            <w:pPr>
              <w:ind w:left="4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00"/>
        </w:trPr>
        <w:tc>
          <w:tcPr>
            <w:tcW w:w="49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86"/>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0"/>
        </w:trPr>
        <w:tc>
          <w:tcPr>
            <w:tcW w:w="4980" w:type="dxa"/>
            <w:vAlign w:val="bottom"/>
          </w:tcPr>
          <w:p>
            <w:pPr>
              <w:ind w:left="40"/>
              <w:spacing w:after="0"/>
              <w:rPr>
                <w:sz w:val="20"/>
                <w:szCs w:val="20"/>
                <w:color w:val="auto"/>
              </w:rPr>
            </w:pPr>
            <w:r>
              <w:rPr>
                <w:rFonts w:ascii="Arial" w:cs="Arial" w:eastAsia="Arial" w:hAnsi="Arial"/>
                <w:sz w:val="17"/>
                <w:szCs w:val="17"/>
                <w:b w:val="1"/>
                <w:bCs w:val="1"/>
                <w:color w:val="auto"/>
              </w:rPr>
              <w:t>Revenue</w:t>
            </w:r>
            <w:r>
              <w:rPr>
                <w:rFonts w:ascii="Arial" w:cs="Arial" w:eastAsia="Arial" w:hAnsi="Arial"/>
                <w:sz w:val="17"/>
                <w:szCs w:val="17"/>
                <w:color w:val="auto"/>
              </w:rPr>
              <w:t>s</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 premiums earned</w:t>
            </w:r>
          </w:p>
        </w:tc>
        <w:tc>
          <w:tcPr>
            <w:tcW w:w="1300" w:type="dxa"/>
            <w:vAlign w:val="bottom"/>
            <w:gridSpan w:val="2"/>
            <w:shd w:val="clear" w:color="auto" w:fill="CCEEFF"/>
          </w:tcPr>
          <w:p>
            <w:pPr>
              <w:jc w:val="right"/>
              <w:ind w:right="46"/>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31,201,279</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24,104,614</w:t>
            </w: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60,797,168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46,942,231</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tcPr>
          <w:p>
            <w:pPr>
              <w:ind w:left="200"/>
              <w:spacing w:after="0"/>
              <w:rPr>
                <w:sz w:val="20"/>
                <w:szCs w:val="20"/>
                <w:color w:val="auto"/>
              </w:rPr>
            </w:pPr>
            <w:r>
              <w:rPr>
                <w:rFonts w:ascii="Arial" w:cs="Arial" w:eastAsia="Arial" w:hAnsi="Arial"/>
                <w:sz w:val="17"/>
                <w:szCs w:val="17"/>
                <w:color w:val="auto"/>
              </w:rPr>
              <w:t>Ceding commission revenue</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675,695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1,691,168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1,953,378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3,386,326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 investment income</w:t>
            </w: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1,697,492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1,531,163</w:t>
            </w: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3,297,424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2,915,152</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tcPr>
          <w:p>
            <w:pPr>
              <w:ind w:left="200"/>
              <w:spacing w:after="0"/>
              <w:rPr>
                <w:sz w:val="20"/>
                <w:szCs w:val="20"/>
                <w:color w:val="auto"/>
              </w:rPr>
            </w:pPr>
            <w:r>
              <w:rPr>
                <w:rFonts w:ascii="Arial" w:cs="Arial" w:eastAsia="Arial" w:hAnsi="Arial"/>
                <w:sz w:val="17"/>
                <w:szCs w:val="17"/>
                <w:color w:val="auto"/>
              </w:rPr>
              <w:t>Net gains (losses) on investments</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663,586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(106,234)</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2,657,149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(629,361)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Other income</w:t>
            </w:r>
          </w:p>
        </w:tc>
        <w:tc>
          <w:tcPr>
            <w:tcW w:w="1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336,854</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292,566</w:t>
            </w:r>
          </w:p>
        </w:tc>
        <w:tc>
          <w:tcPr>
            <w:tcW w:w="280" w:type="dxa"/>
            <w:vAlign w:val="bottom"/>
            <w:tcBorders>
              <w:bottom w:val="single" w:sz="8" w:color="CCEEFF"/>
              <w:right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651,592</w:t>
            </w: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584,788</w:t>
            </w: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80" w:type="dxa"/>
            <w:vAlign w:val="bottom"/>
          </w:tcPr>
          <w:p>
            <w:pPr>
              <w:ind w:left="360"/>
              <w:spacing w:after="0"/>
              <w:rPr>
                <w:sz w:val="20"/>
                <w:szCs w:val="20"/>
                <w:color w:val="auto"/>
              </w:rPr>
            </w:pPr>
            <w:r>
              <w:rPr>
                <w:rFonts w:ascii="Arial" w:cs="Arial" w:eastAsia="Arial" w:hAnsi="Arial"/>
                <w:sz w:val="17"/>
                <w:szCs w:val="17"/>
                <w:color w:val="auto"/>
              </w:rPr>
              <w:t>Total revenues</w:t>
            </w:r>
          </w:p>
        </w:tc>
        <w:tc>
          <w:tcPr>
            <w:tcW w:w="1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34,574,906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27,513,277</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69,356,711</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53,199,136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tcPr>
          <w:p>
            <w:pPr>
              <w:ind w:left="40"/>
              <w:spacing w:after="0"/>
              <w:rPr>
                <w:sz w:val="20"/>
                <w:szCs w:val="20"/>
                <w:color w:val="auto"/>
              </w:rPr>
            </w:pPr>
            <w:r>
              <w:rPr>
                <w:rFonts w:ascii="Arial" w:cs="Arial" w:eastAsia="Arial" w:hAnsi="Arial"/>
                <w:sz w:val="17"/>
                <w:szCs w:val="17"/>
                <w:b w:val="1"/>
                <w:bCs w:val="1"/>
                <w:color w:val="auto"/>
              </w:rPr>
              <w:t>Expense</w:t>
            </w:r>
            <w:r>
              <w:rPr>
                <w:rFonts w:ascii="Arial" w:cs="Arial" w:eastAsia="Arial" w:hAnsi="Arial"/>
                <w:sz w:val="17"/>
                <w:szCs w:val="17"/>
                <w:color w:val="auto"/>
              </w:rPr>
              <w:t>s</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Loss and loss adjustment expenses</w:t>
            </w: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17,672,308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11,176,085</w:t>
            </w: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46,806,532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28,442,415</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tcPr>
          <w:p>
            <w:pPr>
              <w:ind w:left="200"/>
              <w:spacing w:after="0"/>
              <w:rPr>
                <w:sz w:val="20"/>
                <w:szCs w:val="20"/>
                <w:color w:val="auto"/>
              </w:rPr>
            </w:pPr>
            <w:r>
              <w:rPr>
                <w:rFonts w:ascii="Arial" w:cs="Arial" w:eastAsia="Arial" w:hAnsi="Arial"/>
                <w:sz w:val="17"/>
                <w:szCs w:val="17"/>
                <w:color w:val="auto"/>
              </w:rPr>
              <w:t>Commission expense</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7,299,173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6,017,189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14,152,589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11,817,137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Other underwriting expenses</w:t>
            </w: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5,416,449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5,075,986</w:t>
            </w: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11,552,440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10,107,489</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80" w:type="dxa"/>
            <w:vAlign w:val="bottom"/>
          </w:tcPr>
          <w:p>
            <w:pPr>
              <w:ind w:left="200"/>
              <w:spacing w:after="0"/>
              <w:rPr>
                <w:sz w:val="20"/>
                <w:szCs w:val="20"/>
                <w:color w:val="auto"/>
              </w:rPr>
            </w:pPr>
            <w:r>
              <w:rPr>
                <w:rFonts w:ascii="Arial" w:cs="Arial" w:eastAsia="Arial" w:hAnsi="Arial"/>
                <w:sz w:val="17"/>
                <w:szCs w:val="17"/>
                <w:color w:val="auto"/>
              </w:rPr>
              <w:t>Depreciation and amortization</w:t>
            </w:r>
          </w:p>
        </w:tc>
        <w:tc>
          <w:tcPr>
            <w:tcW w:w="1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603,690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424,161</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1,182,043</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833,592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Total expenses</w:t>
            </w:r>
          </w:p>
        </w:tc>
        <w:tc>
          <w:tcPr>
            <w:tcW w:w="1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30,991,620</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22,693,421</w:t>
            </w:r>
          </w:p>
        </w:tc>
        <w:tc>
          <w:tcPr>
            <w:tcW w:w="280" w:type="dxa"/>
            <w:vAlign w:val="bottom"/>
            <w:tcBorders>
              <w:bottom w:val="single" w:sz="8" w:color="CCEEFF"/>
              <w:right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73,693,604</w:t>
            </w: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51,200,633</w:t>
            </w: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Income from operations</w:t>
            </w: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3,583,286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4,819,856</w:t>
            </w: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(4,336,893)</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1,998,503</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tcPr>
          <w:p>
            <w:pPr>
              <w:ind w:left="200"/>
              <w:spacing w:after="0"/>
              <w:rPr>
                <w:sz w:val="20"/>
                <w:szCs w:val="20"/>
                <w:color w:val="auto"/>
              </w:rPr>
            </w:pPr>
            <w:r>
              <w:rPr>
                <w:rFonts w:ascii="Arial" w:cs="Arial" w:eastAsia="Arial" w:hAnsi="Arial"/>
                <w:sz w:val="17"/>
                <w:szCs w:val="17"/>
                <w:color w:val="auto"/>
              </w:rPr>
              <w:t>Income tax expense (benefit)</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745,041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987,926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(957,930)</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377,646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498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Net income (loss)</w:t>
            </w:r>
          </w:p>
        </w:tc>
        <w:tc>
          <w:tcPr>
            <w:tcW w:w="1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2,838,245</w:t>
            </w:r>
          </w:p>
        </w:tc>
        <w:tc>
          <w:tcPr>
            <w:tcW w:w="20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3,831,930</w:t>
            </w:r>
          </w:p>
        </w:tc>
        <w:tc>
          <w:tcPr>
            <w:tcW w:w="28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(3,378,963)</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1,620,857</w:t>
            </w:r>
          </w:p>
        </w:tc>
        <w:tc>
          <w:tcPr>
            <w:tcW w:w="1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498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9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tcPr>
          <w:p>
            <w:pPr>
              <w:ind w:left="40"/>
              <w:spacing w:after="0"/>
              <w:rPr>
                <w:sz w:val="20"/>
                <w:szCs w:val="20"/>
                <w:color w:val="auto"/>
              </w:rPr>
            </w:pPr>
            <w:r>
              <w:rPr>
                <w:rFonts w:ascii="Arial" w:cs="Arial" w:eastAsia="Arial" w:hAnsi="Arial"/>
                <w:sz w:val="17"/>
                <w:szCs w:val="17"/>
                <w:b w:val="1"/>
                <w:bCs w:val="1"/>
                <w:color w:val="auto"/>
              </w:rPr>
              <w:t>Key Measures:</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 loss ratio</w:t>
            </w: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56.6%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46.4%</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77.0%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tcPr>
          <w:p>
            <w:pPr>
              <w:ind w:left="200"/>
              <w:spacing w:after="0"/>
              <w:rPr>
                <w:sz w:val="20"/>
                <w:szCs w:val="20"/>
                <w:color w:val="auto"/>
              </w:rPr>
            </w:pPr>
            <w:r>
              <w:rPr>
                <w:rFonts w:ascii="Arial" w:cs="Arial" w:eastAsia="Arial" w:hAnsi="Arial"/>
                <w:sz w:val="17"/>
                <w:szCs w:val="17"/>
                <w:color w:val="auto"/>
              </w:rPr>
              <w:t>Net underwriting expense ratio</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37.5%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37.8%</w:t>
            </w: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38.0%</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38.2%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49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 combined ratio</w:t>
            </w:r>
          </w:p>
        </w:tc>
        <w:tc>
          <w:tcPr>
            <w:tcW w:w="1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94.1%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84.2%</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115.0%</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98.8%</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498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980" w:type="dxa"/>
            <w:vAlign w:val="bottom"/>
            <w:shd w:val="clear" w:color="auto" w:fill="CCEEFF"/>
          </w:tcPr>
          <w:p>
            <w:pPr>
              <w:ind w:left="220"/>
              <w:spacing w:after="0" w:line="235" w:lineRule="exact"/>
              <w:rPr>
                <w:sz w:val="20"/>
                <w:szCs w:val="20"/>
                <w:color w:val="auto"/>
              </w:rPr>
            </w:pPr>
            <w:r>
              <w:rPr>
                <w:rFonts w:ascii="Arial" w:cs="Arial" w:eastAsia="Arial" w:hAnsi="Arial"/>
                <w:sz w:val="21"/>
                <w:szCs w:val="21"/>
                <w:color w:val="auto"/>
              </w:rPr>
              <w:t>Reconciliation of net underwriting expense ratio:</w:t>
            </w:r>
          </w:p>
        </w:tc>
        <w:tc>
          <w:tcPr>
            <w:tcW w:w="1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980" w:type="dxa"/>
            <w:vAlign w:val="bottom"/>
          </w:tcPr>
          <w:p>
            <w:pPr>
              <w:ind w:left="200"/>
              <w:spacing w:after="0"/>
              <w:rPr>
                <w:sz w:val="20"/>
                <w:szCs w:val="20"/>
                <w:color w:val="auto"/>
              </w:rPr>
            </w:pPr>
            <w:r>
              <w:rPr>
                <w:rFonts w:ascii="Arial" w:cs="Arial" w:eastAsia="Arial" w:hAnsi="Arial"/>
                <w:sz w:val="17"/>
                <w:szCs w:val="17"/>
                <w:color w:val="auto"/>
              </w:rPr>
              <w:t>Acquisition costs and other</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underwriting expenses</w:t>
            </w:r>
          </w:p>
        </w:tc>
        <w:tc>
          <w:tcPr>
            <w:tcW w:w="1300" w:type="dxa"/>
            <w:vAlign w:val="bottom"/>
            <w:gridSpan w:val="2"/>
            <w:shd w:val="clear" w:color="auto" w:fill="CCEEFF"/>
          </w:tcPr>
          <w:p>
            <w:pPr>
              <w:jc w:val="right"/>
              <w:ind w:right="46"/>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12,715,622</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11,093,175</w:t>
            </w: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25,705,029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21,924,626</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tcPr>
          <w:p>
            <w:pPr>
              <w:ind w:left="200"/>
              <w:spacing w:after="0"/>
              <w:rPr>
                <w:sz w:val="20"/>
                <w:szCs w:val="20"/>
                <w:color w:val="auto"/>
              </w:rPr>
            </w:pPr>
            <w:r>
              <w:rPr>
                <w:rFonts w:ascii="Arial" w:cs="Arial" w:eastAsia="Arial" w:hAnsi="Arial"/>
                <w:sz w:val="17"/>
                <w:szCs w:val="17"/>
                <w:color w:val="auto"/>
              </w:rPr>
              <w:t>Less: Ceding commission revenue</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(675,695)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(1,691,168)</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(1,953,378)</w:t>
            </w: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(3,386,326)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Less: Other income</w:t>
            </w: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(336,854)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(292,566)</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(651,592)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(584,788)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9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4980" w:type="dxa"/>
            <w:vAlign w:val="bottom"/>
          </w:tcPr>
          <w:p>
            <w:pPr>
              <w:ind w:left="200"/>
              <w:spacing w:after="0"/>
              <w:rPr>
                <w:sz w:val="20"/>
                <w:szCs w:val="20"/>
                <w:color w:val="auto"/>
              </w:rPr>
            </w:pPr>
            <w:r>
              <w:rPr>
                <w:rFonts w:ascii="Arial" w:cs="Arial" w:eastAsia="Arial" w:hAnsi="Arial"/>
                <w:sz w:val="17"/>
                <w:szCs w:val="17"/>
                <w:color w:val="auto"/>
              </w:rPr>
              <w:t>Net underwriting expenses</w:t>
            </w:r>
          </w:p>
        </w:tc>
        <w:tc>
          <w:tcPr>
            <w:tcW w:w="1100" w:type="dxa"/>
            <w:vAlign w:val="bottom"/>
          </w:tcPr>
          <w:p>
            <w:pPr>
              <w:spacing w:after="0"/>
              <w:rPr>
                <w:sz w:val="18"/>
                <w:szCs w:val="18"/>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11,703,073</w:t>
            </w:r>
          </w:p>
        </w:tc>
        <w:tc>
          <w:tcPr>
            <w:tcW w:w="20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9,109,441</w:t>
            </w:r>
          </w:p>
        </w:tc>
        <w:tc>
          <w:tcPr>
            <w:tcW w:w="280" w:type="dxa"/>
            <w:vAlign w:val="bottom"/>
          </w:tcPr>
          <w:p>
            <w:pPr>
              <w:spacing w:after="0"/>
              <w:rPr>
                <w:sz w:val="18"/>
                <w:szCs w:val="18"/>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23,100,059</w:t>
            </w:r>
          </w:p>
        </w:tc>
        <w:tc>
          <w:tcPr>
            <w:tcW w:w="260" w:type="dxa"/>
            <w:vAlign w:val="bottom"/>
          </w:tcPr>
          <w:p>
            <w:pPr>
              <w:spacing w:after="0"/>
              <w:rPr>
                <w:sz w:val="18"/>
                <w:szCs w:val="18"/>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17,953,512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9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980" w:type="dxa"/>
            <w:vAlign w:val="bottom"/>
          </w:tcPr>
          <w:p>
            <w:pPr>
              <w:ind w:left="200"/>
              <w:spacing w:after="0"/>
              <w:rPr>
                <w:sz w:val="20"/>
                <w:szCs w:val="20"/>
                <w:color w:val="auto"/>
              </w:rPr>
            </w:pPr>
            <w:r>
              <w:rPr>
                <w:rFonts w:ascii="Arial" w:cs="Arial" w:eastAsia="Arial" w:hAnsi="Arial"/>
                <w:sz w:val="17"/>
                <w:szCs w:val="17"/>
                <w:color w:val="auto"/>
              </w:rPr>
              <w:t>Net premiums earned</w:t>
            </w:r>
          </w:p>
        </w:tc>
        <w:tc>
          <w:tcPr>
            <w:tcW w:w="1300" w:type="dxa"/>
            <w:vAlign w:val="bottom"/>
            <w:gridSpan w:val="2"/>
          </w:tcPr>
          <w:p>
            <w:pPr>
              <w:jc w:val="right"/>
              <w:ind w:right="46"/>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31,201,279</w:t>
            </w:r>
          </w:p>
        </w:tc>
        <w:tc>
          <w:tcPr>
            <w:tcW w:w="20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24,104,614</w:t>
            </w:r>
          </w:p>
        </w:tc>
        <w:tc>
          <w:tcPr>
            <w:tcW w:w="280" w:type="dxa"/>
            <w:vAlign w:val="bottom"/>
          </w:tcPr>
          <w:p>
            <w:pPr>
              <w:spacing w:after="0"/>
              <w:rPr>
                <w:sz w:val="18"/>
                <w:szCs w:val="18"/>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60,797,168</w:t>
            </w:r>
          </w:p>
        </w:tc>
        <w:tc>
          <w:tcPr>
            <w:tcW w:w="260" w:type="dxa"/>
            <w:vAlign w:val="bottom"/>
          </w:tcPr>
          <w:p>
            <w:pPr>
              <w:spacing w:after="0"/>
              <w:rPr>
                <w:sz w:val="18"/>
                <w:szCs w:val="18"/>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46,942,231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9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980" w:type="dxa"/>
            <w:vAlign w:val="bottom"/>
          </w:tcPr>
          <w:p>
            <w:pPr>
              <w:ind w:left="200"/>
              <w:spacing w:after="0"/>
              <w:rPr>
                <w:sz w:val="20"/>
                <w:szCs w:val="20"/>
                <w:color w:val="auto"/>
              </w:rPr>
            </w:pPr>
            <w:r>
              <w:rPr>
                <w:rFonts w:ascii="Arial" w:cs="Arial" w:eastAsia="Arial" w:hAnsi="Arial"/>
                <w:sz w:val="17"/>
                <w:szCs w:val="17"/>
                <w:color w:val="auto"/>
              </w:rPr>
              <w:t>Net Underwriting Expense Ratio</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37.5%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37.8%</w:t>
            </w: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38.0%</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38.2%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100" w:type="dxa"/>
            <w:vAlign w:val="bottom"/>
            <w:vMerge w:val="restart"/>
          </w:tcPr>
          <w:p>
            <w:pPr>
              <w:jc w:val="right"/>
              <w:ind w:right="195"/>
              <w:spacing w:after="0"/>
              <w:rPr>
                <w:sz w:val="20"/>
                <w:szCs w:val="20"/>
                <w:color w:val="auto"/>
              </w:rPr>
            </w:pPr>
            <w:r>
              <w:rPr>
                <w:rFonts w:ascii="Arial" w:cs="Arial" w:eastAsia="Arial" w:hAnsi="Arial"/>
                <w:sz w:val="17"/>
                <w:szCs w:val="17"/>
                <w:color w:val="auto"/>
              </w:rPr>
              <w:t>60</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5"/>
        </w:trPr>
        <w:tc>
          <w:tcPr>
            <w:tcW w:w="49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46" w:right="239" w:bottom="1440" w:gutter="0" w:footer="0" w:header="0"/>
        </w:sectPr>
      </w:pPr>
    </w:p>
    <w:bookmarkStart w:id="63" w:name="page64"/>
    <w:bookmarkEnd w:id="63"/>
    <w:p>
      <w:pPr>
        <w:ind w:left="640"/>
        <w:spacing w:after="0"/>
        <w:rPr>
          <w:sz w:val="20"/>
          <w:szCs w:val="20"/>
          <w:color w:val="auto"/>
        </w:rPr>
      </w:pPr>
      <w:r>
        <w:rPr>
          <w:rFonts w:ascii="Arial" w:cs="Arial" w:eastAsia="Arial" w:hAnsi="Arial"/>
          <w:sz w:val="17"/>
          <w:szCs w:val="17"/>
          <w:color w:val="auto"/>
        </w:rPr>
        <w:t>An analysis of our direct, assumed and ceded earned premiums, loss and loss adjustment expenses, and loss ratios is shown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7"/>
                <w:szCs w:val="17"/>
                <w:b w:val="1"/>
                <w:bCs w:val="1"/>
                <w:color w:val="auto"/>
              </w:rPr>
              <w:t>Direct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w w:val="94"/>
              </w:rPr>
              <w:t>Assumed</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7"/>
                <w:szCs w:val="17"/>
                <w:b w:val="1"/>
                <w:bCs w:val="1"/>
                <w:color w:val="auto"/>
              </w:rPr>
              <w:t>Ceded</w:t>
            </w:r>
          </w:p>
        </w:tc>
        <w:tc>
          <w:tcPr>
            <w:tcW w:w="200" w:type="dxa"/>
            <w:vAlign w:val="bottom"/>
          </w:tcPr>
          <w:p>
            <w:pPr>
              <w:spacing w:after="0"/>
              <w:rPr>
                <w:sz w:val="19"/>
                <w:szCs w:val="19"/>
                <w:color w:val="auto"/>
              </w:rPr>
            </w:pPr>
          </w:p>
        </w:tc>
        <w:tc>
          <w:tcPr>
            <w:tcW w:w="1040" w:type="dxa"/>
            <w:vAlign w:val="bottom"/>
            <w:gridSpan w:val="3"/>
          </w:tcPr>
          <w:p>
            <w:pPr>
              <w:ind w:left="240"/>
              <w:spacing w:after="0"/>
              <w:rPr>
                <w:sz w:val="20"/>
                <w:szCs w:val="20"/>
                <w:color w:val="auto"/>
              </w:rPr>
            </w:pPr>
            <w:r>
              <w:rPr>
                <w:rFonts w:ascii="Arial" w:cs="Arial" w:eastAsia="Arial" w:hAnsi="Arial"/>
                <w:sz w:val="17"/>
                <w:szCs w:val="17"/>
                <w:b w:val="1"/>
                <w:bCs w:val="1"/>
                <w:color w:val="auto"/>
              </w:rPr>
              <w:t>Net</w:t>
            </w:r>
          </w:p>
        </w:tc>
        <w:tc>
          <w:tcPr>
            <w:tcW w:w="0" w:type="dxa"/>
            <w:vAlign w:val="bottom"/>
          </w:tcPr>
          <w:p>
            <w:pPr>
              <w:spacing w:after="0"/>
              <w:rPr>
                <w:sz w:val="1"/>
                <w:szCs w:val="1"/>
                <w:color w:val="auto"/>
              </w:rPr>
            </w:pPr>
          </w:p>
        </w:tc>
      </w:tr>
      <w:tr>
        <w:trPr>
          <w:trHeight w:val="470"/>
        </w:trPr>
        <w:tc>
          <w:tcPr>
            <w:tcW w:w="4480" w:type="dxa"/>
            <w:vAlign w:val="bottom"/>
          </w:tcPr>
          <w:p>
            <w:pPr>
              <w:jc w:val="center"/>
              <w:ind w:right="1995"/>
              <w:spacing w:after="0"/>
              <w:rPr>
                <w:sz w:val="20"/>
                <w:szCs w:val="20"/>
                <w:color w:val="auto"/>
              </w:rPr>
            </w:pPr>
            <w:r>
              <w:rPr>
                <w:rFonts w:ascii="Arial" w:cs="Arial" w:eastAsia="Arial" w:hAnsi="Arial"/>
                <w:sz w:val="17"/>
                <w:szCs w:val="17"/>
                <w:b w:val="1"/>
                <w:bCs w:val="1"/>
                <w:color w:val="auto"/>
                <w:w w:val="88"/>
              </w:rPr>
              <w:t>Six months ended June 30, 2019</w:t>
            </w:r>
          </w:p>
        </w:tc>
        <w:tc>
          <w:tcPr>
            <w:tcW w:w="16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Written premiums</w:t>
            </w:r>
          </w:p>
        </w:tc>
        <w:tc>
          <w:tcPr>
            <w:tcW w:w="1800" w:type="dxa"/>
            <w:vAlign w:val="bottom"/>
            <w:gridSpan w:val="2"/>
            <w:shd w:val="clear" w:color="auto" w:fill="CCEEFF"/>
          </w:tcPr>
          <w:p>
            <w:pPr>
              <w:jc w:val="right"/>
              <w:ind w:right="46"/>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82,309,827</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9"/>
              </w:rPr>
              <w:t>(15,327,796)</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66,982,108</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80" w:type="dxa"/>
            <w:vAlign w:val="bottom"/>
          </w:tcPr>
          <w:p>
            <w:pPr>
              <w:ind w:left="200"/>
              <w:spacing w:after="0"/>
              <w:rPr>
                <w:sz w:val="20"/>
                <w:szCs w:val="20"/>
                <w:color w:val="auto"/>
              </w:rPr>
            </w:pPr>
            <w:r>
              <w:rPr>
                <w:rFonts w:ascii="Arial" w:cs="Arial" w:eastAsia="Arial" w:hAnsi="Arial"/>
                <w:sz w:val="17"/>
                <w:szCs w:val="17"/>
                <w:color w:val="auto"/>
              </w:rPr>
              <w:t>Change in unearned premiums</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(6,456,216)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202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271,074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(6,184,940)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4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Earned premiums</w:t>
            </w:r>
          </w:p>
        </w:tc>
        <w:tc>
          <w:tcPr>
            <w:tcW w:w="16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75,853,611</w:t>
            </w:r>
          </w:p>
        </w:tc>
        <w:tc>
          <w:tcPr>
            <w:tcW w:w="2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w:t>
            </w:r>
          </w:p>
        </w:tc>
        <w:tc>
          <w:tcPr>
            <w:tcW w:w="2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9"/>
              </w:rPr>
              <w:t>(15,056,722)</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60,797,168</w:t>
            </w:r>
          </w:p>
        </w:tc>
        <w:tc>
          <w:tcPr>
            <w:tcW w:w="1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4480" w:type="dxa"/>
            <w:vAlign w:val="bottom"/>
            <w:tcBorders>
              <w:top w:val="single" w:sz="8" w:color="CCEEFF"/>
            </w:tcBorders>
          </w:tcPr>
          <w:p>
            <w:pPr>
              <w:spacing w:after="0"/>
              <w:rPr>
                <w:sz w:val="17"/>
                <w:szCs w:val="17"/>
                <w:color w:val="auto"/>
              </w:rPr>
            </w:pPr>
          </w:p>
        </w:tc>
        <w:tc>
          <w:tcPr>
            <w:tcW w:w="16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Loss and loss adjustment expenses exluding</w:t>
            </w:r>
          </w:p>
        </w:tc>
        <w:tc>
          <w:tcPr>
            <w:tcW w:w="1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480" w:type="dxa"/>
            <w:vAlign w:val="bottom"/>
          </w:tcPr>
          <w:p>
            <w:pPr>
              <w:jc w:val="center"/>
              <w:ind w:right="1975"/>
              <w:spacing w:after="0"/>
              <w:rPr>
                <w:sz w:val="20"/>
                <w:szCs w:val="20"/>
                <w:color w:val="auto"/>
              </w:rPr>
            </w:pPr>
            <w:r>
              <w:rPr>
                <w:rFonts w:ascii="Arial" w:cs="Arial" w:eastAsia="Arial" w:hAnsi="Arial"/>
                <w:sz w:val="17"/>
                <w:szCs w:val="17"/>
                <w:color w:val="auto"/>
                <w:w w:val="89"/>
              </w:rPr>
              <w:t>the effect of catastrophes</w:t>
            </w:r>
          </w:p>
        </w:tc>
        <w:tc>
          <w:tcPr>
            <w:tcW w:w="1800" w:type="dxa"/>
            <w:vAlign w:val="bottom"/>
            <w:gridSpan w:val="2"/>
          </w:tcPr>
          <w:p>
            <w:pPr>
              <w:jc w:val="right"/>
              <w:ind w:right="46"/>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46,166,574</w:t>
            </w:r>
          </w:p>
        </w:tc>
        <w:tc>
          <w:tcPr>
            <w:tcW w:w="20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(2,081)</w:t>
            </w: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(5,858,517)</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40,305,976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Catastrophe loss</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7,263,727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(763,171)</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6,500,556</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4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4480" w:type="dxa"/>
            <w:vAlign w:val="bottom"/>
          </w:tcPr>
          <w:p>
            <w:pPr>
              <w:ind w:left="200"/>
              <w:spacing w:after="0"/>
              <w:rPr>
                <w:sz w:val="20"/>
                <w:szCs w:val="20"/>
                <w:color w:val="auto"/>
              </w:rPr>
            </w:pPr>
            <w:r>
              <w:rPr>
                <w:rFonts w:ascii="Arial" w:cs="Arial" w:eastAsia="Arial" w:hAnsi="Arial"/>
                <w:sz w:val="17"/>
                <w:szCs w:val="17"/>
                <w:color w:val="auto"/>
              </w:rPr>
              <w:t>Loss and loss adjustment expenses</w:t>
            </w:r>
          </w:p>
        </w:tc>
        <w:tc>
          <w:tcPr>
            <w:tcW w:w="1600" w:type="dxa"/>
            <w:vAlign w:val="bottom"/>
          </w:tcPr>
          <w:p>
            <w:pPr>
              <w:spacing w:after="0"/>
              <w:rPr>
                <w:sz w:val="18"/>
                <w:szCs w:val="18"/>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53,430,301</w:t>
            </w:r>
          </w:p>
        </w:tc>
        <w:tc>
          <w:tcPr>
            <w:tcW w:w="20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(2,081)</w:t>
            </w: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(6,621,688)</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46,806,532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4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480" w:type="dxa"/>
            <w:vAlign w:val="bottom"/>
          </w:tcPr>
          <w:p>
            <w:pPr>
              <w:ind w:left="200"/>
              <w:spacing w:after="0"/>
              <w:rPr>
                <w:sz w:val="20"/>
                <w:szCs w:val="20"/>
                <w:color w:val="auto"/>
              </w:rPr>
            </w:pPr>
            <w:r>
              <w:rPr>
                <w:rFonts w:ascii="Arial" w:cs="Arial" w:eastAsia="Arial" w:hAnsi="Arial"/>
                <w:sz w:val="17"/>
                <w:szCs w:val="17"/>
                <w:color w:val="auto"/>
              </w:rPr>
              <w:t>Loss ratio excluding the effect of catastrophes</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60.9%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-745.9%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38.9%</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66.3%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Catastrophe loss</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4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4480" w:type="dxa"/>
            <w:vAlign w:val="bottom"/>
          </w:tcPr>
          <w:p>
            <w:pPr>
              <w:ind w:left="200"/>
              <w:spacing w:after="0"/>
              <w:rPr>
                <w:sz w:val="20"/>
                <w:szCs w:val="20"/>
                <w:color w:val="auto"/>
              </w:rPr>
            </w:pPr>
            <w:r>
              <w:rPr>
                <w:rFonts w:ascii="Arial" w:cs="Arial" w:eastAsia="Arial" w:hAnsi="Arial"/>
                <w:sz w:val="17"/>
                <w:szCs w:val="17"/>
                <w:color w:val="auto"/>
              </w:rPr>
              <w:t>Loss ratio</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70.5%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-745.9%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44.0%</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77.0%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4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480" w:type="dxa"/>
            <w:vAlign w:val="bottom"/>
          </w:tcPr>
          <w:p>
            <w:pPr>
              <w:jc w:val="center"/>
              <w:ind w:right="1995"/>
              <w:spacing w:after="0"/>
              <w:rPr>
                <w:sz w:val="20"/>
                <w:szCs w:val="20"/>
                <w:color w:val="auto"/>
              </w:rPr>
            </w:pPr>
            <w:r>
              <w:rPr>
                <w:rFonts w:ascii="Arial" w:cs="Arial" w:eastAsia="Arial" w:hAnsi="Arial"/>
                <w:sz w:val="17"/>
                <w:szCs w:val="17"/>
                <w:b w:val="1"/>
                <w:bCs w:val="1"/>
                <w:color w:val="auto"/>
                <w:w w:val="88"/>
              </w:rPr>
              <w:t>Six months ended June 30, 2018</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Written premiums</w:t>
            </w:r>
          </w:p>
        </w:tc>
        <w:tc>
          <w:tcPr>
            <w:tcW w:w="1800" w:type="dxa"/>
            <w:vAlign w:val="bottom"/>
            <w:gridSpan w:val="2"/>
            <w:shd w:val="clear" w:color="auto" w:fill="CCEEFF"/>
          </w:tcPr>
          <w:p>
            <w:pPr>
              <w:jc w:val="right"/>
              <w:ind w:right="46"/>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68,389,960</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824</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9"/>
              </w:rPr>
              <w:t>(16,725,724)</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51,665,060</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80" w:type="dxa"/>
            <w:vAlign w:val="bottom"/>
          </w:tcPr>
          <w:p>
            <w:pPr>
              <w:ind w:left="200"/>
              <w:spacing w:after="0"/>
              <w:rPr>
                <w:sz w:val="20"/>
                <w:szCs w:val="20"/>
                <w:color w:val="auto"/>
              </w:rPr>
            </w:pPr>
            <w:r>
              <w:rPr>
                <w:rFonts w:ascii="Arial" w:cs="Arial" w:eastAsia="Arial" w:hAnsi="Arial"/>
                <w:sz w:val="17"/>
                <w:szCs w:val="17"/>
                <w:color w:val="auto"/>
              </w:rPr>
              <w:t>Change in unearned premiums</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(5,495,329)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3,064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769,436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(4,722,829)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4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Earned premiums</w:t>
            </w:r>
          </w:p>
        </w:tc>
        <w:tc>
          <w:tcPr>
            <w:tcW w:w="16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62,894,631</w:t>
            </w:r>
          </w:p>
        </w:tc>
        <w:tc>
          <w:tcPr>
            <w:tcW w:w="2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3,888</w:t>
            </w:r>
          </w:p>
        </w:tc>
        <w:tc>
          <w:tcPr>
            <w:tcW w:w="2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9"/>
              </w:rPr>
              <w:t>(15,956,288)</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46,942,231</w:t>
            </w:r>
          </w:p>
        </w:tc>
        <w:tc>
          <w:tcPr>
            <w:tcW w:w="1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4480" w:type="dxa"/>
            <w:vAlign w:val="bottom"/>
            <w:tcBorders>
              <w:top w:val="single" w:sz="8" w:color="CCEEFF"/>
            </w:tcBorders>
          </w:tcPr>
          <w:p>
            <w:pPr>
              <w:spacing w:after="0"/>
              <w:rPr>
                <w:sz w:val="17"/>
                <w:szCs w:val="17"/>
                <w:color w:val="auto"/>
              </w:rPr>
            </w:pPr>
          </w:p>
        </w:tc>
        <w:tc>
          <w:tcPr>
            <w:tcW w:w="16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4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Loss and loss adjustment expenses exluding</w:t>
            </w:r>
          </w:p>
        </w:tc>
        <w:tc>
          <w:tcPr>
            <w:tcW w:w="1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480" w:type="dxa"/>
            <w:vAlign w:val="bottom"/>
          </w:tcPr>
          <w:p>
            <w:pPr>
              <w:jc w:val="center"/>
              <w:ind w:right="1975"/>
              <w:spacing w:after="0"/>
              <w:rPr>
                <w:sz w:val="20"/>
                <w:szCs w:val="20"/>
                <w:color w:val="auto"/>
              </w:rPr>
            </w:pPr>
            <w:r>
              <w:rPr>
                <w:rFonts w:ascii="Arial" w:cs="Arial" w:eastAsia="Arial" w:hAnsi="Arial"/>
                <w:sz w:val="17"/>
                <w:szCs w:val="17"/>
                <w:color w:val="auto"/>
                <w:w w:val="89"/>
              </w:rPr>
              <w:t>the effect of catastrophes</w:t>
            </w:r>
          </w:p>
        </w:tc>
        <w:tc>
          <w:tcPr>
            <w:tcW w:w="1800" w:type="dxa"/>
            <w:vAlign w:val="bottom"/>
            <w:gridSpan w:val="2"/>
          </w:tcPr>
          <w:p>
            <w:pPr>
              <w:jc w:val="right"/>
              <w:ind w:right="46"/>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25,875,115</w:t>
            </w:r>
          </w:p>
        </w:tc>
        <w:tc>
          <w:tcPr>
            <w:tcW w:w="20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22,933</w:t>
            </w:r>
          </w:p>
        </w:tc>
        <w:tc>
          <w:tcPr>
            <w:tcW w:w="20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(3,186,030)</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22,712,018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Catastrophe loss</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10,561,389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(4,830,992)</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5,730,397</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4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4480" w:type="dxa"/>
            <w:vAlign w:val="bottom"/>
          </w:tcPr>
          <w:p>
            <w:pPr>
              <w:ind w:left="200"/>
              <w:spacing w:after="0"/>
              <w:rPr>
                <w:sz w:val="20"/>
                <w:szCs w:val="20"/>
                <w:color w:val="auto"/>
              </w:rPr>
            </w:pPr>
            <w:r>
              <w:rPr>
                <w:rFonts w:ascii="Arial" w:cs="Arial" w:eastAsia="Arial" w:hAnsi="Arial"/>
                <w:sz w:val="17"/>
                <w:szCs w:val="17"/>
                <w:color w:val="auto"/>
              </w:rPr>
              <w:t>Loss and loss adjustment expenses</w:t>
            </w:r>
          </w:p>
        </w:tc>
        <w:tc>
          <w:tcPr>
            <w:tcW w:w="1600" w:type="dxa"/>
            <w:vAlign w:val="bottom"/>
          </w:tcPr>
          <w:p>
            <w:pPr>
              <w:spacing w:after="0"/>
              <w:rPr>
                <w:sz w:val="18"/>
                <w:szCs w:val="18"/>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36,436,504</w:t>
            </w:r>
          </w:p>
        </w:tc>
        <w:tc>
          <w:tcPr>
            <w:tcW w:w="20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22,933</w:t>
            </w:r>
          </w:p>
        </w:tc>
        <w:tc>
          <w:tcPr>
            <w:tcW w:w="20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(8,017,022)</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28,442,415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4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480" w:type="dxa"/>
            <w:vAlign w:val="bottom"/>
          </w:tcPr>
          <w:p>
            <w:pPr>
              <w:ind w:left="200"/>
              <w:spacing w:after="0"/>
              <w:rPr>
                <w:sz w:val="20"/>
                <w:szCs w:val="20"/>
                <w:color w:val="auto"/>
              </w:rPr>
            </w:pPr>
            <w:r>
              <w:rPr>
                <w:rFonts w:ascii="Arial" w:cs="Arial" w:eastAsia="Arial" w:hAnsi="Arial"/>
                <w:sz w:val="17"/>
                <w:szCs w:val="17"/>
                <w:color w:val="auto"/>
              </w:rPr>
              <w:t>Loss ratio excluding the effect of catastrophes</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41.1%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589.8%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20.0%</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48.4%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Catastrophe loss</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16.8%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4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4480" w:type="dxa"/>
            <w:vAlign w:val="bottom"/>
          </w:tcPr>
          <w:p>
            <w:pPr>
              <w:ind w:left="200"/>
              <w:spacing w:after="0"/>
              <w:rPr>
                <w:sz w:val="20"/>
                <w:szCs w:val="20"/>
                <w:color w:val="auto"/>
              </w:rPr>
            </w:pPr>
            <w:r>
              <w:rPr>
                <w:rFonts w:ascii="Arial" w:cs="Arial" w:eastAsia="Arial" w:hAnsi="Arial"/>
                <w:sz w:val="17"/>
                <w:szCs w:val="17"/>
                <w:color w:val="auto"/>
              </w:rPr>
              <w:t>Loss ratio</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57.9%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589.8%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50.2%</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60.6%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4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480" w:type="dxa"/>
            <w:vAlign w:val="bottom"/>
          </w:tcPr>
          <w:p>
            <w:pPr>
              <w:ind w:left="40"/>
              <w:spacing w:after="0"/>
              <w:rPr>
                <w:sz w:val="20"/>
                <w:szCs w:val="20"/>
                <w:color w:val="auto"/>
              </w:rPr>
            </w:pPr>
            <w:r>
              <w:rPr>
                <w:rFonts w:ascii="Arial" w:cs="Arial" w:eastAsia="Arial" w:hAnsi="Arial"/>
                <w:sz w:val="17"/>
                <w:szCs w:val="17"/>
                <w:b w:val="1"/>
                <w:bCs w:val="1"/>
                <w:color w:val="auto"/>
              </w:rPr>
              <w:t>Three months ended June 30, 2019</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Written premiums</w:t>
            </w:r>
          </w:p>
        </w:tc>
        <w:tc>
          <w:tcPr>
            <w:tcW w:w="1800" w:type="dxa"/>
            <w:vAlign w:val="bottom"/>
            <w:gridSpan w:val="2"/>
            <w:shd w:val="clear" w:color="auto" w:fill="CCEEFF"/>
          </w:tcPr>
          <w:p>
            <w:pPr>
              <w:jc w:val="right"/>
              <w:ind w:right="46"/>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44,821,279</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(8,199,887)</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36,621,503</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80" w:type="dxa"/>
            <w:vAlign w:val="bottom"/>
          </w:tcPr>
          <w:p>
            <w:pPr>
              <w:ind w:left="200"/>
              <w:spacing w:after="0"/>
              <w:rPr>
                <w:sz w:val="20"/>
                <w:szCs w:val="20"/>
                <w:color w:val="auto"/>
              </w:rPr>
            </w:pPr>
            <w:r>
              <w:rPr>
                <w:rFonts w:ascii="Arial" w:cs="Arial" w:eastAsia="Arial" w:hAnsi="Arial"/>
                <w:sz w:val="17"/>
                <w:szCs w:val="17"/>
                <w:color w:val="auto"/>
              </w:rPr>
              <w:t>Change in unearned premiums</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(5,828,149)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407,918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(5,420,224)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4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Earned premiums</w:t>
            </w:r>
          </w:p>
        </w:tc>
        <w:tc>
          <w:tcPr>
            <w:tcW w:w="16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38,993,130</w:t>
            </w:r>
          </w:p>
        </w:tc>
        <w:tc>
          <w:tcPr>
            <w:tcW w:w="2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2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(7,791,969)</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31,201,279</w:t>
            </w:r>
          </w:p>
        </w:tc>
        <w:tc>
          <w:tcPr>
            <w:tcW w:w="1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4480" w:type="dxa"/>
            <w:vAlign w:val="bottom"/>
            <w:tcBorders>
              <w:top w:val="single" w:sz="8" w:color="CCEEFF"/>
            </w:tcBorders>
          </w:tcPr>
          <w:p>
            <w:pPr>
              <w:spacing w:after="0"/>
              <w:rPr>
                <w:sz w:val="17"/>
                <w:szCs w:val="17"/>
                <w:color w:val="auto"/>
              </w:rPr>
            </w:pPr>
          </w:p>
        </w:tc>
        <w:tc>
          <w:tcPr>
            <w:tcW w:w="16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Loss and loss adjustment expenses exluding</w:t>
            </w:r>
          </w:p>
        </w:tc>
        <w:tc>
          <w:tcPr>
            <w:tcW w:w="1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480" w:type="dxa"/>
            <w:vAlign w:val="bottom"/>
          </w:tcPr>
          <w:p>
            <w:pPr>
              <w:jc w:val="center"/>
              <w:ind w:right="1975"/>
              <w:spacing w:after="0"/>
              <w:rPr>
                <w:sz w:val="20"/>
                <w:szCs w:val="20"/>
                <w:color w:val="auto"/>
              </w:rPr>
            </w:pPr>
            <w:r>
              <w:rPr>
                <w:rFonts w:ascii="Arial" w:cs="Arial" w:eastAsia="Arial" w:hAnsi="Arial"/>
                <w:sz w:val="17"/>
                <w:szCs w:val="17"/>
                <w:color w:val="auto"/>
                <w:w w:val="89"/>
              </w:rPr>
              <w:t>the effect of catastrophes</w:t>
            </w:r>
          </w:p>
        </w:tc>
        <w:tc>
          <w:tcPr>
            <w:tcW w:w="1800" w:type="dxa"/>
            <w:vAlign w:val="bottom"/>
            <w:gridSpan w:val="2"/>
          </w:tcPr>
          <w:p>
            <w:pPr>
              <w:jc w:val="right"/>
              <w:ind w:right="46"/>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19,520,797</w:t>
            </w:r>
          </w:p>
        </w:tc>
        <w:tc>
          <w:tcPr>
            <w:tcW w:w="20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921</w:t>
            </w:r>
          </w:p>
        </w:tc>
        <w:tc>
          <w:tcPr>
            <w:tcW w:w="20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(3,286,770)</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16,234,948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Catastrophe loss</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1,636,384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(199,024)</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1,437,360</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4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4480" w:type="dxa"/>
            <w:vAlign w:val="bottom"/>
          </w:tcPr>
          <w:p>
            <w:pPr>
              <w:ind w:left="200"/>
              <w:spacing w:after="0"/>
              <w:rPr>
                <w:sz w:val="20"/>
                <w:szCs w:val="20"/>
                <w:color w:val="auto"/>
              </w:rPr>
            </w:pPr>
            <w:r>
              <w:rPr>
                <w:rFonts w:ascii="Arial" w:cs="Arial" w:eastAsia="Arial" w:hAnsi="Arial"/>
                <w:sz w:val="17"/>
                <w:szCs w:val="17"/>
                <w:color w:val="auto"/>
              </w:rPr>
              <w:t>Loss and loss adjustment expenses</w:t>
            </w:r>
          </w:p>
        </w:tc>
        <w:tc>
          <w:tcPr>
            <w:tcW w:w="1600" w:type="dxa"/>
            <w:vAlign w:val="bottom"/>
          </w:tcPr>
          <w:p>
            <w:pPr>
              <w:spacing w:after="0"/>
              <w:rPr>
                <w:sz w:val="18"/>
                <w:szCs w:val="18"/>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21,157,181</w:t>
            </w:r>
          </w:p>
        </w:tc>
        <w:tc>
          <w:tcPr>
            <w:tcW w:w="20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921</w:t>
            </w:r>
          </w:p>
        </w:tc>
        <w:tc>
          <w:tcPr>
            <w:tcW w:w="20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(3,485,794)</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17,672,308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4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480" w:type="dxa"/>
            <w:vAlign w:val="bottom"/>
          </w:tcPr>
          <w:p>
            <w:pPr>
              <w:ind w:left="200"/>
              <w:spacing w:after="0"/>
              <w:rPr>
                <w:sz w:val="20"/>
                <w:szCs w:val="20"/>
                <w:color w:val="auto"/>
              </w:rPr>
            </w:pPr>
            <w:r>
              <w:rPr>
                <w:rFonts w:ascii="Arial" w:cs="Arial" w:eastAsia="Arial" w:hAnsi="Arial"/>
                <w:sz w:val="17"/>
                <w:szCs w:val="17"/>
                <w:color w:val="auto"/>
              </w:rPr>
              <w:t>Loss ratio excluding the effect of catastrophes</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50.1%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780.5%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42.2%</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52.0%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Catastrophe loss</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4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4480" w:type="dxa"/>
            <w:vAlign w:val="bottom"/>
          </w:tcPr>
          <w:p>
            <w:pPr>
              <w:ind w:left="200"/>
              <w:spacing w:after="0"/>
              <w:rPr>
                <w:sz w:val="20"/>
                <w:szCs w:val="20"/>
                <w:color w:val="auto"/>
              </w:rPr>
            </w:pPr>
            <w:r>
              <w:rPr>
                <w:rFonts w:ascii="Arial" w:cs="Arial" w:eastAsia="Arial" w:hAnsi="Arial"/>
                <w:sz w:val="17"/>
                <w:szCs w:val="17"/>
                <w:color w:val="auto"/>
              </w:rPr>
              <w:t>Loss ratio</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54.3%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780.5%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44.7%</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56.6%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4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480" w:type="dxa"/>
            <w:vAlign w:val="bottom"/>
          </w:tcPr>
          <w:p>
            <w:pPr>
              <w:ind w:left="40"/>
              <w:spacing w:after="0"/>
              <w:rPr>
                <w:sz w:val="20"/>
                <w:szCs w:val="20"/>
                <w:color w:val="auto"/>
              </w:rPr>
            </w:pPr>
            <w:r>
              <w:rPr>
                <w:rFonts w:ascii="Arial" w:cs="Arial" w:eastAsia="Arial" w:hAnsi="Arial"/>
                <w:sz w:val="17"/>
                <w:szCs w:val="17"/>
                <w:b w:val="1"/>
                <w:bCs w:val="1"/>
                <w:color w:val="auto"/>
              </w:rPr>
              <w:t>Three months ended June 30, 2018</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Written premiums</w:t>
            </w:r>
          </w:p>
        </w:tc>
        <w:tc>
          <w:tcPr>
            <w:tcW w:w="1800" w:type="dxa"/>
            <w:vAlign w:val="bottom"/>
            <w:gridSpan w:val="2"/>
            <w:shd w:val="clear" w:color="auto" w:fill="CCEEFF"/>
          </w:tcPr>
          <w:p>
            <w:pPr>
              <w:jc w:val="right"/>
              <w:ind w:right="46"/>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36,863,677</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488</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(8,899,489)</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27,964,676</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80" w:type="dxa"/>
            <w:vAlign w:val="bottom"/>
          </w:tcPr>
          <w:p>
            <w:pPr>
              <w:ind w:left="200"/>
              <w:spacing w:after="0"/>
              <w:rPr>
                <w:sz w:val="20"/>
                <w:szCs w:val="20"/>
                <w:color w:val="auto"/>
              </w:rPr>
            </w:pPr>
            <w:r>
              <w:rPr>
                <w:rFonts w:ascii="Arial" w:cs="Arial" w:eastAsia="Arial" w:hAnsi="Arial"/>
                <w:sz w:val="17"/>
                <w:szCs w:val="17"/>
                <w:color w:val="auto"/>
              </w:rPr>
              <w:t>Change in unearned premiums</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(4,486,460)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1,163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625,235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(3,860,062)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4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Earned premiums</w:t>
            </w:r>
          </w:p>
        </w:tc>
        <w:tc>
          <w:tcPr>
            <w:tcW w:w="16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32,377,217</w:t>
            </w:r>
          </w:p>
        </w:tc>
        <w:tc>
          <w:tcPr>
            <w:tcW w:w="2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1,651</w:t>
            </w:r>
          </w:p>
        </w:tc>
        <w:tc>
          <w:tcPr>
            <w:tcW w:w="2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(8,274,254)</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24,104,614</w:t>
            </w:r>
          </w:p>
        </w:tc>
        <w:tc>
          <w:tcPr>
            <w:tcW w:w="1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4480" w:type="dxa"/>
            <w:vAlign w:val="bottom"/>
            <w:tcBorders>
              <w:top w:val="single" w:sz="8" w:color="CCEEFF"/>
            </w:tcBorders>
          </w:tcPr>
          <w:p>
            <w:pPr>
              <w:spacing w:after="0"/>
              <w:rPr>
                <w:sz w:val="17"/>
                <w:szCs w:val="17"/>
                <w:color w:val="auto"/>
              </w:rPr>
            </w:pPr>
          </w:p>
        </w:tc>
        <w:tc>
          <w:tcPr>
            <w:tcW w:w="16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Loss and loss adjustment expenses exluding</w:t>
            </w:r>
          </w:p>
        </w:tc>
        <w:tc>
          <w:tcPr>
            <w:tcW w:w="1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480" w:type="dxa"/>
            <w:vAlign w:val="bottom"/>
          </w:tcPr>
          <w:p>
            <w:pPr>
              <w:jc w:val="center"/>
              <w:ind w:right="1975"/>
              <w:spacing w:after="0"/>
              <w:rPr>
                <w:sz w:val="20"/>
                <w:szCs w:val="20"/>
                <w:color w:val="auto"/>
              </w:rPr>
            </w:pPr>
            <w:r>
              <w:rPr>
                <w:rFonts w:ascii="Arial" w:cs="Arial" w:eastAsia="Arial" w:hAnsi="Arial"/>
                <w:sz w:val="17"/>
                <w:szCs w:val="17"/>
                <w:color w:val="auto"/>
                <w:w w:val="89"/>
              </w:rPr>
              <w:t>the effect of catastrophes</w:t>
            </w:r>
          </w:p>
        </w:tc>
        <w:tc>
          <w:tcPr>
            <w:tcW w:w="1800" w:type="dxa"/>
            <w:vAlign w:val="bottom"/>
            <w:gridSpan w:val="2"/>
          </w:tcPr>
          <w:p>
            <w:pPr>
              <w:jc w:val="right"/>
              <w:ind w:right="46"/>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13,355,874</w:t>
            </w:r>
          </w:p>
        </w:tc>
        <w:tc>
          <w:tcPr>
            <w:tcW w:w="20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1,518</w:t>
            </w:r>
          </w:p>
        </w:tc>
        <w:tc>
          <w:tcPr>
            <w:tcW w:w="20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(2,364,854)</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10,992,538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Catastrophe loss</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223,659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(40,112)</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183,547</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4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4480" w:type="dxa"/>
            <w:vAlign w:val="bottom"/>
          </w:tcPr>
          <w:p>
            <w:pPr>
              <w:ind w:left="200"/>
              <w:spacing w:after="0"/>
              <w:rPr>
                <w:sz w:val="20"/>
                <w:szCs w:val="20"/>
                <w:color w:val="auto"/>
              </w:rPr>
            </w:pPr>
            <w:r>
              <w:rPr>
                <w:rFonts w:ascii="Arial" w:cs="Arial" w:eastAsia="Arial" w:hAnsi="Arial"/>
                <w:sz w:val="17"/>
                <w:szCs w:val="17"/>
                <w:color w:val="auto"/>
              </w:rPr>
              <w:t>Loss and loss adjustment expenses</w:t>
            </w:r>
          </w:p>
        </w:tc>
        <w:tc>
          <w:tcPr>
            <w:tcW w:w="1600" w:type="dxa"/>
            <w:vAlign w:val="bottom"/>
          </w:tcPr>
          <w:p>
            <w:pPr>
              <w:spacing w:after="0"/>
              <w:rPr>
                <w:sz w:val="18"/>
                <w:szCs w:val="18"/>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13,579,533</w:t>
            </w:r>
          </w:p>
        </w:tc>
        <w:tc>
          <w:tcPr>
            <w:tcW w:w="20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1,518</w:t>
            </w:r>
          </w:p>
        </w:tc>
        <w:tc>
          <w:tcPr>
            <w:tcW w:w="20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(2,404,966)</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11,176,085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4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480" w:type="dxa"/>
            <w:vAlign w:val="bottom"/>
          </w:tcPr>
          <w:p>
            <w:pPr>
              <w:ind w:left="200"/>
              <w:spacing w:after="0"/>
              <w:rPr>
                <w:sz w:val="20"/>
                <w:szCs w:val="20"/>
                <w:color w:val="auto"/>
              </w:rPr>
            </w:pPr>
            <w:r>
              <w:rPr>
                <w:rFonts w:ascii="Arial" w:cs="Arial" w:eastAsia="Arial" w:hAnsi="Arial"/>
                <w:sz w:val="17"/>
                <w:szCs w:val="17"/>
                <w:color w:val="auto"/>
              </w:rPr>
              <w:t>Loss ratio excluding the effect of catastrophes</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41.3%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91.9%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28.6%</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45.6%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Catastrophe loss</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4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4480" w:type="dxa"/>
            <w:vAlign w:val="bottom"/>
          </w:tcPr>
          <w:p>
            <w:pPr>
              <w:ind w:left="200"/>
              <w:spacing w:after="0"/>
              <w:rPr>
                <w:sz w:val="20"/>
                <w:szCs w:val="20"/>
                <w:color w:val="auto"/>
              </w:rPr>
            </w:pPr>
            <w:r>
              <w:rPr>
                <w:rFonts w:ascii="Arial" w:cs="Arial" w:eastAsia="Arial" w:hAnsi="Arial"/>
                <w:sz w:val="17"/>
                <w:szCs w:val="17"/>
                <w:color w:val="auto"/>
              </w:rPr>
              <w:t>Loss ratio</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41.9%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91.9%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29.1%</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46.4%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600" w:type="dxa"/>
            <w:vAlign w:val="bottom"/>
            <w:vMerge w:val="restart"/>
          </w:tcPr>
          <w:p>
            <w:pPr>
              <w:jc w:val="right"/>
              <w:ind w:right="195"/>
              <w:spacing w:after="0"/>
              <w:rPr>
                <w:sz w:val="20"/>
                <w:szCs w:val="20"/>
                <w:color w:val="auto"/>
              </w:rPr>
            </w:pPr>
            <w:r>
              <w:rPr>
                <w:rFonts w:ascii="Arial" w:cs="Arial" w:eastAsia="Arial" w:hAnsi="Arial"/>
                <w:sz w:val="17"/>
                <w:szCs w:val="17"/>
                <w:color w:val="auto"/>
              </w:rPr>
              <w:t>61</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5"/>
        </w:trPr>
        <w:tc>
          <w:tcPr>
            <w:tcW w:w="44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64" w:name="page65"/>
    <w:bookmarkEnd w:id="64"/>
    <w:p>
      <w:pPr>
        <w:ind w:left="640"/>
        <w:spacing w:after="0"/>
        <w:rPr>
          <w:sz w:val="20"/>
          <w:szCs w:val="20"/>
          <w:color w:val="auto"/>
        </w:rPr>
      </w:pPr>
      <w:r>
        <w:rPr>
          <w:rFonts w:ascii="Arial" w:cs="Arial" w:eastAsia="Arial" w:hAnsi="Arial"/>
          <w:sz w:val="17"/>
          <w:szCs w:val="17"/>
          <w:color w:val="auto"/>
        </w:rPr>
        <w:t>The key measures for our insurance underwriting business for the periods indicated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80" w:type="dxa"/>
            <w:vAlign w:val="bottom"/>
            <w:gridSpan w:val="4"/>
          </w:tcPr>
          <w:p>
            <w:pPr>
              <w:jc w:val="right"/>
              <w:ind w:right="516"/>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80" w:type="dxa"/>
            <w:vAlign w:val="bottom"/>
            <w:gridSpan w:val="5"/>
          </w:tcPr>
          <w:p>
            <w:pPr>
              <w:ind w:left="500"/>
              <w:spacing w:after="0"/>
              <w:rPr>
                <w:sz w:val="20"/>
                <w:szCs w:val="20"/>
                <w:color w:val="auto"/>
              </w:rPr>
            </w:pPr>
            <w:r>
              <w:rPr>
                <w:rFonts w:ascii="Arial" w:cs="Arial" w:eastAsia="Arial" w:hAnsi="Arial"/>
                <w:sz w:val="14"/>
                <w:szCs w:val="14"/>
                <w:b w:val="1"/>
                <w:bCs w:val="1"/>
                <w:color w:val="auto"/>
              </w:rPr>
              <w:t>Six months ended</w:t>
            </w:r>
          </w:p>
        </w:tc>
      </w:tr>
      <w:tr>
        <w:trPr>
          <w:trHeight w:val="200"/>
        </w:trPr>
        <w:tc>
          <w:tcPr>
            <w:tcW w:w="47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66"/>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15"/>
        </w:trPr>
        <w:tc>
          <w:tcPr>
            <w:tcW w:w="4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8"/>
                <w:szCs w:val="18"/>
                <w:color w:val="auto"/>
              </w:rPr>
            </w:pPr>
          </w:p>
        </w:tc>
      </w:tr>
      <w:tr>
        <w:trPr>
          <w:trHeight w:val="235"/>
        </w:trPr>
        <w:tc>
          <w:tcPr>
            <w:tcW w:w="4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4780" w:type="dxa"/>
            <w:vAlign w:val="bottom"/>
            <w:shd w:val="clear" w:color="auto" w:fill="CCEEFF"/>
          </w:tcPr>
          <w:p>
            <w:pPr>
              <w:ind w:left="40"/>
              <w:spacing w:after="0"/>
              <w:rPr>
                <w:sz w:val="20"/>
                <w:szCs w:val="20"/>
                <w:color w:val="auto"/>
              </w:rPr>
            </w:pPr>
            <w:r>
              <w:rPr>
                <w:rFonts w:ascii="Arial" w:cs="Arial" w:eastAsia="Arial" w:hAnsi="Arial"/>
                <w:sz w:val="17"/>
                <w:szCs w:val="17"/>
                <w:color w:val="auto"/>
              </w:rPr>
              <w:t>Net premiums earned</w:t>
            </w:r>
          </w:p>
        </w:tc>
        <w:tc>
          <w:tcPr>
            <w:tcW w:w="1500" w:type="dxa"/>
            <w:vAlign w:val="bottom"/>
            <w:gridSpan w:val="2"/>
            <w:shd w:val="clear" w:color="auto" w:fill="CCEEFF"/>
          </w:tcPr>
          <w:p>
            <w:pPr>
              <w:jc w:val="right"/>
              <w:ind w:right="46"/>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31,201,279</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24,104,614</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60,797,168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46,942,231</w:t>
            </w:r>
          </w:p>
        </w:tc>
        <w:tc>
          <w:tcPr>
            <w:tcW w:w="120" w:type="dxa"/>
            <w:vAlign w:val="bottom"/>
            <w:shd w:val="clear" w:color="auto" w:fill="CCEEFF"/>
          </w:tcPr>
          <w:p>
            <w:pPr>
              <w:spacing w:after="0"/>
              <w:rPr>
                <w:sz w:val="18"/>
                <w:szCs w:val="18"/>
                <w:color w:val="auto"/>
              </w:rPr>
            </w:pPr>
          </w:p>
        </w:tc>
      </w:tr>
      <w:tr>
        <w:trPr>
          <w:trHeight w:val="209"/>
        </w:trPr>
        <w:tc>
          <w:tcPr>
            <w:tcW w:w="4780" w:type="dxa"/>
            <w:vAlign w:val="bottom"/>
          </w:tcPr>
          <w:p>
            <w:pPr>
              <w:ind w:left="40"/>
              <w:spacing w:after="0"/>
              <w:rPr>
                <w:sz w:val="20"/>
                <w:szCs w:val="20"/>
                <w:color w:val="auto"/>
              </w:rPr>
            </w:pPr>
            <w:r>
              <w:rPr>
                <w:rFonts w:ascii="Arial" w:cs="Arial" w:eastAsia="Arial" w:hAnsi="Arial"/>
                <w:sz w:val="17"/>
                <w:szCs w:val="17"/>
                <w:color w:val="auto"/>
              </w:rPr>
              <w:t>Ceding commission revenue</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675,695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1,691,168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1,953,378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3,386,326</w:t>
            </w:r>
          </w:p>
        </w:tc>
        <w:tc>
          <w:tcPr>
            <w:tcW w:w="120" w:type="dxa"/>
            <w:vAlign w:val="bottom"/>
          </w:tcPr>
          <w:p>
            <w:pPr>
              <w:spacing w:after="0"/>
              <w:rPr>
                <w:sz w:val="18"/>
                <w:szCs w:val="18"/>
                <w:color w:val="auto"/>
              </w:rPr>
            </w:pPr>
          </w:p>
        </w:tc>
      </w:tr>
      <w:tr>
        <w:trPr>
          <w:trHeight w:val="209"/>
        </w:trPr>
        <w:tc>
          <w:tcPr>
            <w:tcW w:w="4780" w:type="dxa"/>
            <w:vAlign w:val="bottom"/>
            <w:shd w:val="clear" w:color="auto" w:fill="CCEEFF"/>
          </w:tcPr>
          <w:p>
            <w:pPr>
              <w:ind w:left="40"/>
              <w:spacing w:after="0"/>
              <w:rPr>
                <w:sz w:val="20"/>
                <w:szCs w:val="20"/>
                <w:color w:val="auto"/>
              </w:rPr>
            </w:pPr>
            <w:r>
              <w:rPr>
                <w:rFonts w:ascii="Arial" w:cs="Arial" w:eastAsia="Arial" w:hAnsi="Arial"/>
                <w:sz w:val="17"/>
                <w:szCs w:val="17"/>
                <w:color w:val="auto"/>
              </w:rPr>
              <w:t>Other income</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336,854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292,566</w:t>
            </w: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651,592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584,788</w:t>
            </w:r>
          </w:p>
        </w:tc>
        <w:tc>
          <w:tcPr>
            <w:tcW w:w="120" w:type="dxa"/>
            <w:vAlign w:val="bottom"/>
            <w:shd w:val="clear" w:color="auto" w:fill="CCEEFF"/>
          </w:tcPr>
          <w:p>
            <w:pPr>
              <w:spacing w:after="0"/>
              <w:rPr>
                <w:sz w:val="18"/>
                <w:szCs w:val="18"/>
                <w:color w:val="auto"/>
              </w:rPr>
            </w:pPr>
          </w:p>
        </w:tc>
      </w:tr>
      <w:tr>
        <w:trPr>
          <w:trHeight w:val="209"/>
        </w:trPr>
        <w:tc>
          <w:tcPr>
            <w:tcW w:w="4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4780" w:type="dxa"/>
            <w:vAlign w:val="bottom"/>
            <w:shd w:val="clear" w:color="auto" w:fill="CCEEFF"/>
          </w:tcPr>
          <w:p>
            <w:pPr>
              <w:ind w:left="40"/>
              <w:spacing w:after="0"/>
              <w:rPr>
                <w:sz w:val="20"/>
                <w:szCs w:val="20"/>
                <w:color w:val="auto"/>
              </w:rPr>
            </w:pPr>
            <w:r>
              <w:rPr>
                <w:rFonts w:ascii="Arial" w:cs="Arial" w:eastAsia="Arial" w:hAnsi="Arial"/>
                <w:sz w:val="17"/>
                <w:szCs w:val="17"/>
                <w:color w:val="auto"/>
              </w:rPr>
              <w:t>Loss and loss adjustment expenses (1)</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17,672,308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11,176,085</w:t>
            </w: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46,806,532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28,442,415</w:t>
            </w:r>
          </w:p>
        </w:tc>
        <w:tc>
          <w:tcPr>
            <w:tcW w:w="120" w:type="dxa"/>
            <w:vAlign w:val="bottom"/>
            <w:shd w:val="clear" w:color="auto" w:fill="CCEEFF"/>
          </w:tcPr>
          <w:p>
            <w:pPr>
              <w:spacing w:after="0"/>
              <w:rPr>
                <w:sz w:val="18"/>
                <w:szCs w:val="18"/>
                <w:color w:val="auto"/>
              </w:rPr>
            </w:pPr>
          </w:p>
        </w:tc>
      </w:tr>
      <w:tr>
        <w:trPr>
          <w:trHeight w:val="209"/>
        </w:trPr>
        <w:tc>
          <w:tcPr>
            <w:tcW w:w="4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5"/>
        </w:trPr>
        <w:tc>
          <w:tcPr>
            <w:tcW w:w="4780" w:type="dxa"/>
            <w:vAlign w:val="bottom"/>
            <w:shd w:val="clear" w:color="auto" w:fill="CCEEFF"/>
          </w:tcPr>
          <w:p>
            <w:pPr>
              <w:ind w:left="60"/>
              <w:spacing w:after="0"/>
              <w:rPr>
                <w:sz w:val="20"/>
                <w:szCs w:val="20"/>
                <w:color w:val="auto"/>
              </w:rPr>
            </w:pPr>
            <w:r>
              <w:rPr>
                <w:rFonts w:ascii="Arial" w:cs="Arial" w:eastAsia="Arial" w:hAnsi="Arial"/>
                <w:sz w:val="17"/>
                <w:szCs w:val="17"/>
                <w:color w:val="auto"/>
              </w:rPr>
              <w:t>Acquistion costs and other underwriting expenses:</w:t>
            </w:r>
          </w:p>
        </w:tc>
        <w:tc>
          <w:tcPr>
            <w:tcW w:w="1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09"/>
        </w:trPr>
        <w:tc>
          <w:tcPr>
            <w:tcW w:w="4780" w:type="dxa"/>
            <w:vAlign w:val="bottom"/>
          </w:tcPr>
          <w:p>
            <w:pPr>
              <w:ind w:left="200"/>
              <w:spacing w:after="0"/>
              <w:rPr>
                <w:sz w:val="20"/>
                <w:szCs w:val="20"/>
                <w:color w:val="auto"/>
              </w:rPr>
            </w:pPr>
            <w:r>
              <w:rPr>
                <w:rFonts w:ascii="Arial" w:cs="Arial" w:eastAsia="Arial" w:hAnsi="Arial"/>
                <w:sz w:val="17"/>
                <w:szCs w:val="17"/>
                <w:color w:val="auto"/>
              </w:rPr>
              <w:t>Commission expense</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7,299,173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6,017,189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14,152,589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11,817,137</w:t>
            </w:r>
          </w:p>
        </w:tc>
        <w:tc>
          <w:tcPr>
            <w:tcW w:w="120" w:type="dxa"/>
            <w:vAlign w:val="bottom"/>
          </w:tcPr>
          <w:p>
            <w:pPr>
              <w:spacing w:after="0"/>
              <w:rPr>
                <w:sz w:val="18"/>
                <w:szCs w:val="18"/>
                <w:color w:val="auto"/>
              </w:rPr>
            </w:pPr>
          </w:p>
        </w:tc>
      </w:tr>
      <w:tr>
        <w:trPr>
          <w:trHeight w:val="215"/>
        </w:trPr>
        <w:tc>
          <w:tcPr>
            <w:tcW w:w="4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Other underwriting expenses</w:t>
            </w:r>
          </w:p>
        </w:tc>
        <w:tc>
          <w:tcPr>
            <w:tcW w:w="13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5,416,449</w:t>
            </w:r>
          </w:p>
        </w:tc>
        <w:tc>
          <w:tcPr>
            <w:tcW w:w="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5,075,986</w:t>
            </w:r>
          </w:p>
        </w:tc>
        <w:tc>
          <w:tcPr>
            <w:tcW w:w="280" w:type="dxa"/>
            <w:vAlign w:val="bottom"/>
            <w:tcBorders>
              <w:bottom w:val="single" w:sz="8" w:color="CCEEFF"/>
              <w:right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11,552,440</w:t>
            </w: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10,107,489</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4780" w:type="dxa"/>
            <w:vAlign w:val="bottom"/>
          </w:tcPr>
          <w:p>
            <w:pPr>
              <w:ind w:left="40"/>
              <w:spacing w:after="0"/>
              <w:rPr>
                <w:sz w:val="20"/>
                <w:szCs w:val="20"/>
                <w:color w:val="auto"/>
              </w:rPr>
            </w:pPr>
            <w:r>
              <w:rPr>
                <w:rFonts w:ascii="Arial" w:cs="Arial" w:eastAsia="Arial" w:hAnsi="Arial"/>
                <w:sz w:val="17"/>
                <w:szCs w:val="17"/>
                <w:color w:val="auto"/>
              </w:rPr>
              <w:t>Total acquistion costs and other</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5"/>
        </w:trPr>
        <w:tc>
          <w:tcPr>
            <w:tcW w:w="4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underwriting expenses</w:t>
            </w:r>
          </w:p>
        </w:tc>
        <w:tc>
          <w:tcPr>
            <w:tcW w:w="13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12,715,622</w:t>
            </w:r>
          </w:p>
        </w:tc>
        <w:tc>
          <w:tcPr>
            <w:tcW w:w="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11,093,175</w:t>
            </w:r>
          </w:p>
        </w:tc>
        <w:tc>
          <w:tcPr>
            <w:tcW w:w="280" w:type="dxa"/>
            <w:vAlign w:val="bottom"/>
            <w:tcBorders>
              <w:bottom w:val="single" w:sz="8" w:color="CCEEFF"/>
              <w:right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25,705,029</w:t>
            </w: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21,924,626</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4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9"/>
        </w:trPr>
        <w:tc>
          <w:tcPr>
            <w:tcW w:w="4780" w:type="dxa"/>
            <w:vAlign w:val="bottom"/>
            <w:shd w:val="clear" w:color="auto" w:fill="CCEEFF"/>
          </w:tcPr>
          <w:p>
            <w:pPr>
              <w:ind w:left="40"/>
              <w:spacing w:after="0"/>
              <w:rPr>
                <w:sz w:val="20"/>
                <w:szCs w:val="20"/>
                <w:color w:val="auto"/>
              </w:rPr>
            </w:pPr>
            <w:r>
              <w:rPr>
                <w:rFonts w:ascii="Arial" w:cs="Arial" w:eastAsia="Arial" w:hAnsi="Arial"/>
                <w:sz w:val="17"/>
                <w:szCs w:val="17"/>
                <w:color w:val="auto"/>
              </w:rPr>
              <w:t>Underwriting income</w:t>
            </w: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1,825,898</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3,819,088</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(9,109,423)</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546,304</w:t>
            </w:r>
          </w:p>
        </w:tc>
        <w:tc>
          <w:tcPr>
            <w:tcW w:w="120" w:type="dxa"/>
            <w:vAlign w:val="bottom"/>
            <w:shd w:val="clear" w:color="auto" w:fill="CCEEFF"/>
          </w:tcPr>
          <w:p>
            <w:pPr>
              <w:spacing w:after="0"/>
              <w:rPr>
                <w:sz w:val="19"/>
                <w:szCs w:val="19"/>
                <w:color w:val="auto"/>
              </w:rPr>
            </w:pPr>
          </w:p>
        </w:tc>
      </w:tr>
      <w:tr>
        <w:trPr>
          <w:trHeight w:val="20"/>
        </w:trPr>
        <w:tc>
          <w:tcPr>
            <w:tcW w:w="47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Key Measures:</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tcPr>
          <w:p>
            <w:pPr>
              <w:ind w:left="200"/>
              <w:spacing w:after="0"/>
              <w:rPr>
                <w:sz w:val="20"/>
                <w:szCs w:val="20"/>
                <w:color w:val="auto"/>
              </w:rPr>
            </w:pPr>
            <w:r>
              <w:rPr>
                <w:rFonts w:ascii="Arial" w:cs="Arial" w:eastAsia="Arial" w:hAnsi="Arial"/>
                <w:sz w:val="17"/>
                <w:szCs w:val="17"/>
                <w:color w:val="auto"/>
              </w:rPr>
              <w:t>Net loss ratio excluding the effect of catastrophes</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52.0%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45.6%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66.3%</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48.4%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Effect of catastrophe loss on net loss ratio (1)</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8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4820" w:type="dxa"/>
            <w:vAlign w:val="bottom"/>
          </w:tcPr>
          <w:p>
            <w:pPr>
              <w:ind w:left="200"/>
              <w:spacing w:after="0"/>
              <w:rPr>
                <w:sz w:val="20"/>
                <w:szCs w:val="20"/>
                <w:color w:val="auto"/>
              </w:rPr>
            </w:pPr>
            <w:r>
              <w:rPr>
                <w:rFonts w:ascii="Arial" w:cs="Arial" w:eastAsia="Arial" w:hAnsi="Arial"/>
                <w:sz w:val="17"/>
                <w:szCs w:val="17"/>
                <w:color w:val="auto"/>
              </w:rPr>
              <w:t>Net loss ratio</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56.6%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46.4%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77.0%</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60.6%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tcPr>
          <w:p>
            <w:pPr>
              <w:ind w:left="200"/>
              <w:spacing w:after="0"/>
              <w:rPr>
                <w:sz w:val="20"/>
                <w:szCs w:val="20"/>
                <w:color w:val="auto"/>
              </w:rPr>
            </w:pPr>
            <w:r>
              <w:rPr>
                <w:rFonts w:ascii="Arial" w:cs="Arial" w:eastAsia="Arial" w:hAnsi="Arial"/>
                <w:sz w:val="17"/>
                <w:szCs w:val="17"/>
                <w:color w:val="auto"/>
              </w:rPr>
              <w:t>Net underwriting expense ratio excluding the</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effect of catastrophes</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37.5%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37.3%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38.0%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tcPr>
          <w:p>
            <w:pPr>
              <w:ind w:left="200"/>
              <w:spacing w:after="0"/>
              <w:rPr>
                <w:sz w:val="20"/>
                <w:szCs w:val="20"/>
                <w:color w:val="auto"/>
              </w:rPr>
            </w:pPr>
            <w:r>
              <w:rPr>
                <w:rFonts w:ascii="Arial" w:cs="Arial" w:eastAsia="Arial" w:hAnsi="Arial"/>
                <w:sz w:val="17"/>
                <w:szCs w:val="17"/>
                <w:color w:val="auto"/>
              </w:rPr>
              <w:t>Effect of catastrophe loss on net underwriting</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expense ratio (2)</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8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4820" w:type="dxa"/>
            <w:vAlign w:val="bottom"/>
          </w:tcPr>
          <w:p>
            <w:pPr>
              <w:ind w:left="200"/>
              <w:spacing w:after="0"/>
              <w:rPr>
                <w:sz w:val="20"/>
                <w:szCs w:val="20"/>
                <w:color w:val="auto"/>
              </w:rPr>
            </w:pPr>
            <w:r>
              <w:rPr>
                <w:rFonts w:ascii="Arial" w:cs="Arial" w:eastAsia="Arial" w:hAnsi="Arial"/>
                <w:sz w:val="17"/>
                <w:szCs w:val="17"/>
                <w:color w:val="auto"/>
              </w:rPr>
              <w:t>Net underwriting expense ratio</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37.5%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37.8%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38.0%</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38.2%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tcPr>
          <w:p>
            <w:pPr>
              <w:ind w:left="200"/>
              <w:spacing w:after="0"/>
              <w:rPr>
                <w:sz w:val="20"/>
                <w:szCs w:val="20"/>
                <w:color w:val="auto"/>
              </w:rPr>
            </w:pPr>
            <w:r>
              <w:rPr>
                <w:rFonts w:ascii="Arial" w:cs="Arial" w:eastAsia="Arial" w:hAnsi="Arial"/>
                <w:sz w:val="17"/>
                <w:szCs w:val="17"/>
                <w:color w:val="auto"/>
              </w:rPr>
              <w:t>Net combined ratio excluding the effect</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of catastrophes</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89.5%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82.9%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104.3%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tcPr>
          <w:p>
            <w:pPr>
              <w:ind w:left="200"/>
              <w:spacing w:after="0"/>
              <w:rPr>
                <w:sz w:val="20"/>
                <w:szCs w:val="20"/>
                <w:color w:val="auto"/>
              </w:rPr>
            </w:pPr>
            <w:r>
              <w:rPr>
                <w:rFonts w:ascii="Arial" w:cs="Arial" w:eastAsia="Arial" w:hAnsi="Arial"/>
                <w:sz w:val="17"/>
                <w:szCs w:val="17"/>
                <w:color w:val="auto"/>
              </w:rPr>
              <w:t>Effect of catastrophe loss on net combined</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ratio (1) (2)</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8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4820" w:type="dxa"/>
            <w:vAlign w:val="bottom"/>
          </w:tcPr>
          <w:p>
            <w:pPr>
              <w:ind w:left="200"/>
              <w:spacing w:after="0"/>
              <w:rPr>
                <w:sz w:val="20"/>
                <w:szCs w:val="20"/>
                <w:color w:val="auto"/>
              </w:rPr>
            </w:pPr>
            <w:r>
              <w:rPr>
                <w:rFonts w:ascii="Arial" w:cs="Arial" w:eastAsia="Arial" w:hAnsi="Arial"/>
                <w:sz w:val="17"/>
                <w:szCs w:val="17"/>
                <w:color w:val="auto"/>
              </w:rPr>
              <w:t>Net combined ratio</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94.1%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84.2%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115.0%</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98.8%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8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20" w:type="dxa"/>
            <w:vAlign w:val="bottom"/>
          </w:tcPr>
          <w:p>
            <w:pPr>
              <w:ind w:left="220"/>
              <w:spacing w:after="0"/>
              <w:rPr>
                <w:sz w:val="20"/>
                <w:szCs w:val="20"/>
                <w:color w:val="auto"/>
              </w:rPr>
            </w:pPr>
            <w:r>
              <w:rPr>
                <w:rFonts w:ascii="Arial" w:cs="Arial" w:eastAsia="Arial" w:hAnsi="Arial"/>
                <w:sz w:val="17"/>
                <w:szCs w:val="17"/>
                <w:color w:val="auto"/>
              </w:rPr>
              <w:t>Reconciliation of net underwriting expense ratio:</w:t>
            </w: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Acquisition costs and other</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tcPr>
          <w:p>
            <w:pPr>
              <w:ind w:left="360"/>
              <w:spacing w:after="0"/>
              <w:rPr>
                <w:sz w:val="20"/>
                <w:szCs w:val="20"/>
                <w:color w:val="auto"/>
              </w:rPr>
            </w:pPr>
            <w:r>
              <w:rPr>
                <w:rFonts w:ascii="Arial" w:cs="Arial" w:eastAsia="Arial" w:hAnsi="Arial"/>
                <w:sz w:val="17"/>
                <w:szCs w:val="17"/>
                <w:color w:val="auto"/>
              </w:rPr>
              <w:t>underwriting expenses</w:t>
            </w:r>
          </w:p>
        </w:tc>
        <w:tc>
          <w:tcPr>
            <w:tcW w:w="1460" w:type="dxa"/>
            <w:vAlign w:val="bottom"/>
            <w:gridSpan w:val="2"/>
          </w:tcPr>
          <w:p>
            <w:pPr>
              <w:jc w:val="right"/>
              <w:ind w:right="46"/>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12,715,622</w:t>
            </w:r>
          </w:p>
        </w:tc>
        <w:tc>
          <w:tcPr>
            <w:tcW w:w="20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11,093,175</w:t>
            </w:r>
          </w:p>
        </w:tc>
        <w:tc>
          <w:tcPr>
            <w:tcW w:w="20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25,705,029</w:t>
            </w:r>
          </w:p>
        </w:tc>
        <w:tc>
          <w:tcPr>
            <w:tcW w:w="260" w:type="dxa"/>
            <w:vAlign w:val="bottom"/>
          </w:tcPr>
          <w:p>
            <w:pPr>
              <w:spacing w:after="0"/>
              <w:rPr>
                <w:sz w:val="18"/>
                <w:szCs w:val="18"/>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21,924,626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Less: Ceding commission revenue (2)</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(675,695)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(1,691,168)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(1,953,378)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(3,386,326)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tcPr>
          <w:p>
            <w:pPr>
              <w:ind w:left="200"/>
              <w:spacing w:after="0"/>
              <w:rPr>
                <w:sz w:val="20"/>
                <w:szCs w:val="20"/>
                <w:color w:val="auto"/>
              </w:rPr>
            </w:pPr>
            <w:r>
              <w:rPr>
                <w:rFonts w:ascii="Arial" w:cs="Arial" w:eastAsia="Arial" w:hAnsi="Arial"/>
                <w:sz w:val="17"/>
                <w:szCs w:val="17"/>
                <w:color w:val="auto"/>
              </w:rPr>
              <w:t>Less: Other income</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(336,854)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(292,566)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(651,592)</w:t>
            </w: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(584,788)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8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48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11,703,073</w:t>
            </w:r>
          </w:p>
        </w:tc>
        <w:tc>
          <w:tcPr>
            <w:tcW w:w="20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9,109,441</w:t>
            </w:r>
          </w:p>
        </w:tc>
        <w:tc>
          <w:tcPr>
            <w:tcW w:w="20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23,100,059</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17,953,512</w:t>
            </w:r>
          </w:p>
        </w:tc>
        <w:tc>
          <w:tcPr>
            <w:tcW w:w="1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482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48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 earned premium</w:t>
            </w:r>
          </w:p>
        </w:tc>
        <w:tc>
          <w:tcPr>
            <w:tcW w:w="1460" w:type="dxa"/>
            <w:vAlign w:val="bottom"/>
            <w:gridSpan w:val="2"/>
            <w:shd w:val="clear" w:color="auto" w:fill="CCEEFF"/>
          </w:tcPr>
          <w:p>
            <w:pPr>
              <w:jc w:val="right"/>
              <w:ind w:right="46"/>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31,201,279</w:t>
            </w:r>
          </w:p>
        </w:tc>
        <w:tc>
          <w:tcPr>
            <w:tcW w:w="20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24,104,614</w:t>
            </w:r>
          </w:p>
        </w:tc>
        <w:tc>
          <w:tcPr>
            <w:tcW w:w="20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60,797,168</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46,942,231</w:t>
            </w:r>
          </w:p>
        </w:tc>
        <w:tc>
          <w:tcPr>
            <w:tcW w:w="1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482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 Underwriting Expense Ratio</w:t>
            </w: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37.5%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37.8%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38.0%</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jc w:val="both"/>
        <w:ind w:left="320" w:hanging="315"/>
        <w:spacing w:after="0" w:line="259" w:lineRule="auto"/>
        <w:tabs>
          <w:tab w:leader="none" w:pos="3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For the three months ended June 30, 2019 and 2018, includes the sum of net catastrophe losses and loss adjustment expenses of $1,437,360 and $183,547, respectively. For the six months ended June 30, 2019 and 2018, includes the sum of net catastrophe losses and loss adjustment expenses of $6,500,556 and $5,730,397, respectively.</w:t>
      </w:r>
    </w:p>
    <w:p>
      <w:pPr>
        <w:spacing w:after="0" w:line="1" w:lineRule="exact"/>
        <w:rPr>
          <w:rFonts w:ascii="Arial" w:cs="Arial" w:eastAsia="Arial" w:hAnsi="Arial"/>
          <w:sz w:val="17"/>
          <w:szCs w:val="17"/>
          <w:color w:val="auto"/>
        </w:rPr>
      </w:pPr>
    </w:p>
    <w:p>
      <w:pPr>
        <w:jc w:val="both"/>
        <w:ind w:left="320" w:hanging="315"/>
        <w:spacing w:after="0" w:line="283" w:lineRule="auto"/>
        <w:tabs>
          <w:tab w:leader="none" w:pos="3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For the three months ended June 30, 2018, the effect of catastrophe loss on our net underwriting expense ratio includes the effect of reduced contingent ceding commission revenue by $124,929 and does not include the indirect effects of a $135,674 decrease in other underwriting expenses. For the six months ended June 30, 2018, the effect of catastrophe loss on our net underwriting expense ratio includes the effect of reduced contingent ceding commission revenue by $459,068 and does not include the indirect effects of a $164,931 decrease in other underwriting expenses.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65" w:name="page66"/>
    <w:bookmarkEnd w:id="65"/>
    <w:p>
      <w:pPr>
        <w:spacing w:after="0"/>
        <w:rPr>
          <w:sz w:val="20"/>
          <w:szCs w:val="20"/>
          <w:color w:val="auto"/>
        </w:rPr>
      </w:pPr>
      <w:r>
        <w:rPr>
          <w:rFonts w:ascii="Arial" w:cs="Arial" w:eastAsia="Arial" w:hAnsi="Arial"/>
          <w:sz w:val="17"/>
          <w:szCs w:val="17"/>
          <w:b w:val="1"/>
          <w:bCs w:val="1"/>
          <w:color w:val="auto"/>
        </w:rPr>
        <w:t>Investments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Portfolio Summary</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auto"/>
        </w:rPr>
        <w:t>Fixed-Maturity Securities</w:t>
      </w:r>
    </w:p>
    <w:p>
      <w:pPr>
        <w:spacing w:after="0" w:line="223" w:lineRule="exact"/>
        <w:rPr>
          <w:sz w:val="20"/>
          <w:szCs w:val="20"/>
          <w:color w:val="auto"/>
        </w:rPr>
      </w:pPr>
    </w:p>
    <w:p>
      <w:pPr>
        <w:ind w:right="340" w:firstLine="628"/>
        <w:spacing w:after="0" w:line="281" w:lineRule="auto"/>
        <w:rPr>
          <w:sz w:val="20"/>
          <w:szCs w:val="20"/>
          <w:color w:val="auto"/>
        </w:rPr>
      </w:pPr>
      <w:r>
        <w:rPr>
          <w:rFonts w:ascii="Arial" w:cs="Arial" w:eastAsia="Arial" w:hAnsi="Arial"/>
          <w:sz w:val="17"/>
          <w:szCs w:val="17"/>
          <w:color w:val="auto"/>
        </w:rPr>
        <w:t>The following table presents a breakdown of the amortized cost, estimated fair value, and unrealized gains and losses of our investments in fixed-maturity securities classified as available-for-sale as of June 30, 2019 and December 31, 2018:</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w w:val="94"/>
              </w:rPr>
              <w:t>June 30, 2019</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Cost or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Gross Unrealized Losses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Estimated</w:t>
            </w:r>
          </w:p>
        </w:tc>
        <w:tc>
          <w:tcPr>
            <w:tcW w:w="10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225"/>
        </w:trPr>
        <w:tc>
          <w:tcPr>
            <w:tcW w:w="4580" w:type="dxa"/>
            <w:vAlign w:val="bottom"/>
            <w:vMerge w:val="restart"/>
          </w:tcPr>
          <w:p>
            <w:pPr>
              <w:ind w:left="40"/>
              <w:spacing w:after="0"/>
              <w:rPr>
                <w:sz w:val="20"/>
                <w:szCs w:val="20"/>
                <w:color w:val="auto"/>
              </w:rPr>
            </w:pPr>
            <w:r>
              <w:rPr>
                <w:rFonts w:ascii="Arial" w:cs="Arial" w:eastAsia="Arial" w:hAnsi="Arial"/>
                <w:sz w:val="17"/>
                <w:szCs w:val="17"/>
                <w:b w:val="1"/>
                <w:bCs w:val="1"/>
                <w:color w:val="auto"/>
              </w:rPr>
              <w:t>Category</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7"/>
              </w:rPr>
              <w:t>Less than 12</w:t>
            </w:r>
          </w:p>
        </w:tc>
        <w:tc>
          <w:tcPr>
            <w:tcW w:w="10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More than 12</w:t>
            </w:r>
          </w:p>
        </w:tc>
        <w:tc>
          <w:tcPr>
            <w:tcW w:w="80" w:type="dxa"/>
            <w:vAlign w:val="bottom"/>
          </w:tcPr>
          <w:p>
            <w:pPr>
              <w:spacing w:after="0"/>
              <w:rPr>
                <w:sz w:val="19"/>
                <w:szCs w:val="19"/>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Fair</w:t>
            </w:r>
          </w:p>
        </w:tc>
        <w:tc>
          <w:tcPr>
            <w:tcW w:w="10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200"/>
        </w:trPr>
        <w:tc>
          <w:tcPr>
            <w:tcW w:w="45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Cos</w:t>
            </w:r>
            <w:r>
              <w:rPr>
                <w:rFonts w:ascii="Arial" w:cs="Arial" w:eastAsia="Arial" w:hAnsi="Arial"/>
                <w:sz w:val="14"/>
                <w:szCs w:val="14"/>
                <w:color w:val="auto"/>
                <w:w w:val="92"/>
              </w:rPr>
              <w:t>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Months</w:t>
            </w:r>
          </w:p>
        </w:tc>
        <w:tc>
          <w:tcPr>
            <w:tcW w:w="160" w:type="dxa"/>
            <w:vAlign w:val="bottom"/>
          </w:tcPr>
          <w:p>
            <w:pPr>
              <w:spacing w:after="0"/>
              <w:rPr>
                <w:sz w:val="17"/>
                <w:szCs w:val="17"/>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Months</w:t>
            </w:r>
          </w:p>
        </w:tc>
        <w:tc>
          <w:tcPr>
            <w:tcW w:w="8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10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469"/>
        </w:trPr>
        <w:tc>
          <w:tcPr>
            <w:tcW w:w="458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U.S. Treasury securities and</w:t>
            </w: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580" w:type="dxa"/>
            <w:vAlign w:val="bottom"/>
          </w:tcPr>
          <w:p>
            <w:pPr>
              <w:ind w:left="40"/>
              <w:spacing w:after="0"/>
              <w:rPr>
                <w:sz w:val="20"/>
                <w:szCs w:val="20"/>
                <w:color w:val="auto"/>
              </w:rPr>
            </w:pPr>
            <w:r>
              <w:rPr>
                <w:rFonts w:ascii="Arial" w:cs="Arial" w:eastAsia="Arial" w:hAnsi="Arial"/>
                <w:sz w:val="17"/>
                <w:szCs w:val="17"/>
                <w:color w:val="auto"/>
              </w:rPr>
              <w:t>obligations of U.S. government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corporations and agencies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8,236,255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142,388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(1,557)</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  8,377,086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40"/>
              <w:spacing w:after="0"/>
              <w:rPr>
                <w:sz w:val="20"/>
                <w:szCs w:val="20"/>
                <w:color w:val="auto"/>
              </w:rPr>
            </w:pPr>
            <w:r>
              <w:rPr>
                <w:rFonts w:ascii="Arial" w:cs="Arial" w:eastAsia="Arial" w:hAnsi="Arial"/>
                <w:sz w:val="17"/>
                <w:szCs w:val="17"/>
                <w:color w:val="auto"/>
              </w:rPr>
              <w:t>Political subdivisions of States,</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tcPr>
          <w:p>
            <w:pPr>
              <w:ind w:left="40"/>
              <w:spacing w:after="0"/>
              <w:rPr>
                <w:sz w:val="20"/>
                <w:szCs w:val="20"/>
                <w:color w:val="auto"/>
              </w:rPr>
            </w:pPr>
            <w:r>
              <w:rPr>
                <w:rFonts w:ascii="Arial" w:cs="Arial" w:eastAsia="Arial" w:hAnsi="Arial"/>
                <w:sz w:val="17"/>
                <w:szCs w:val="17"/>
                <w:color w:val="auto"/>
              </w:rPr>
              <w:t>Territories and Possessions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5,675,418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167,952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(309)</w:t>
            </w:r>
          </w:p>
        </w:tc>
        <w:tc>
          <w:tcPr>
            <w:tcW w:w="1220" w:type="dxa"/>
            <w:vAlign w:val="bottom"/>
            <w:gridSpan w:val="3"/>
          </w:tcPr>
          <w:p>
            <w:pPr>
              <w:jc w:val="right"/>
              <w:ind w:right="220"/>
              <w:spacing w:after="0"/>
              <w:rPr>
                <w:sz w:val="20"/>
                <w:szCs w:val="20"/>
                <w:color w:val="auto"/>
              </w:rPr>
            </w:pPr>
            <w:r>
              <w:rPr>
                <w:rFonts w:ascii="Arial" w:cs="Arial" w:eastAsia="Arial" w:hAnsi="Arial"/>
                <w:sz w:val="17"/>
                <w:szCs w:val="17"/>
                <w:color w:val="auto"/>
              </w:rPr>
              <w:t>5,843,061</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tcPr>
          <w:p>
            <w:pPr>
              <w:ind w:left="40"/>
              <w:spacing w:after="0"/>
              <w:rPr>
                <w:sz w:val="20"/>
                <w:szCs w:val="20"/>
                <w:color w:val="auto"/>
              </w:rPr>
            </w:pPr>
            <w:r>
              <w:rPr>
                <w:rFonts w:ascii="Arial" w:cs="Arial" w:eastAsia="Arial" w:hAnsi="Arial"/>
                <w:sz w:val="17"/>
                <w:szCs w:val="17"/>
                <w:color w:val="auto"/>
              </w:rPr>
              <w:t>Corporate and other bonds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Industrial and miscellaneous</w:t>
            </w:r>
          </w:p>
        </w:tc>
        <w:tc>
          <w:tcPr>
            <w:tcW w:w="116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126,095,235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4,106,946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(14,450)</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(84,187)</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130,103,544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40"/>
              <w:spacing w:after="0"/>
              <w:rPr>
                <w:sz w:val="20"/>
                <w:szCs w:val="20"/>
                <w:color w:val="auto"/>
              </w:rPr>
            </w:pPr>
            <w:r>
              <w:rPr>
                <w:rFonts w:ascii="Arial" w:cs="Arial" w:eastAsia="Arial" w:hAnsi="Arial"/>
                <w:sz w:val="17"/>
                <w:szCs w:val="17"/>
                <w:color w:val="auto"/>
              </w:rPr>
              <w:t>Residential mortgage and other</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tcPr>
          <w:p>
            <w:pPr>
              <w:ind w:left="40"/>
              <w:spacing w:after="0"/>
              <w:rPr>
                <w:sz w:val="20"/>
                <w:szCs w:val="20"/>
                <w:color w:val="auto"/>
              </w:rPr>
            </w:pPr>
            <w:r>
              <w:rPr>
                <w:rFonts w:ascii="Arial" w:cs="Arial" w:eastAsia="Arial" w:hAnsi="Arial"/>
                <w:sz w:val="17"/>
                <w:szCs w:val="17"/>
                <w:color w:val="auto"/>
              </w:rPr>
              <w:t>asset backed securities (1)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w w:val="91"/>
              </w:rPr>
              <w:t>20,078,720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317,871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(8,750)</w:t>
            </w:r>
          </w:p>
        </w:tc>
        <w:tc>
          <w:tcPr>
            <w:tcW w:w="1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(376,663)</w:t>
            </w:r>
          </w:p>
        </w:tc>
        <w:tc>
          <w:tcPr>
            <w:tcW w:w="1220" w:type="dxa"/>
            <w:vAlign w:val="bottom"/>
            <w:gridSpan w:val="3"/>
          </w:tcPr>
          <w:p>
            <w:pPr>
              <w:jc w:val="right"/>
              <w:ind w:right="220"/>
              <w:spacing w:after="0"/>
              <w:rPr>
                <w:sz w:val="20"/>
                <w:szCs w:val="20"/>
                <w:color w:val="auto"/>
              </w:rPr>
            </w:pPr>
            <w:r>
              <w:rPr>
                <w:rFonts w:ascii="Arial" w:cs="Arial" w:eastAsia="Arial" w:hAnsi="Arial"/>
                <w:sz w:val="17"/>
                <w:szCs w:val="17"/>
                <w:color w:val="auto"/>
              </w:rPr>
              <w:t>20,011,178</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12.2%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580" w:type="dxa"/>
            <w:vAlign w:val="bottom"/>
            <w:shd w:val="clear" w:color="auto" w:fill="CCEEFF"/>
          </w:tcPr>
          <w:p>
            <w:pPr>
              <w:ind w:left="40"/>
              <w:spacing w:after="0"/>
              <w:rPr>
                <w:sz w:val="20"/>
                <w:szCs w:val="20"/>
                <w:color w:val="auto"/>
              </w:rPr>
            </w:pPr>
            <w:r>
              <w:rPr>
                <w:rFonts w:ascii="Arial" w:cs="Arial" w:eastAsia="Arial" w:hAnsi="Arial"/>
                <w:sz w:val="17"/>
                <w:szCs w:val="17"/>
                <w:color w:val="auto"/>
              </w:rPr>
              <w:t>Total fixed-maturity securities</w:t>
            </w:r>
          </w:p>
        </w:tc>
        <w:tc>
          <w:tcPr>
            <w:tcW w:w="116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u w:val="single" w:color="auto"/>
                <w:color w:val="auto"/>
                <w:w w:val="98"/>
              </w:rPr>
              <w:t>$</w:t>
            </w:r>
            <w:r>
              <w:rPr>
                <w:rFonts w:ascii="Arial" w:cs="Arial" w:eastAsia="Arial" w:hAnsi="Arial"/>
                <w:sz w:val="17"/>
                <w:szCs w:val="17"/>
                <w:color w:val="auto"/>
                <w:w w:val="98"/>
              </w:rPr>
              <w:t>160,085,628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4,735,157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(23,200)</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(462,716)</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u w:val="single" w:color="auto"/>
                <w:color w:val="auto"/>
                <w:w w:val="94"/>
              </w:rPr>
              <w:t>$</w:t>
            </w:r>
            <w:r>
              <w:rPr>
                <w:rFonts w:ascii="Arial" w:cs="Arial" w:eastAsia="Arial" w:hAnsi="Arial"/>
                <w:sz w:val="17"/>
                <w:szCs w:val="17"/>
                <w:color w:val="auto"/>
                <w:w w:val="94"/>
              </w:rPr>
              <w:t>164,334,869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jc w:val="both"/>
        <w:ind w:left="320" w:right="40" w:hanging="315"/>
        <w:spacing w:after="0" w:line="286" w:lineRule="auto"/>
        <w:tabs>
          <w:tab w:leader="none" w:pos="3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2017, KICO placed certain residential mortgage backed securities as eligible collateral in a designated custodian account related to its membership in the Federal Home Loan Bank of New York ("FHLBNY"). The eligible collateral would be pledged to FHLBNY if KICO draws an advance from the FHBLNY credit line. As of June 30, 2019, the estimated fair value of the eligible investments was approximately $5,354,000. KICO will retain all rights regarding all securities if pledged as collateral. As of June 30, 2019, there was no outstanding balance on the FHLBNY credit line.</w:t>
      </w:r>
    </w:p>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60"/>
          </w:cols>
          <w:pgMar w:left="240" w:top="572" w:right="19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77"/>
        </w:trPr>
        <w:tc>
          <w:tcPr>
            <w:tcW w:w="4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6"/>
          </w:tcPr>
          <w:p>
            <w:pPr>
              <w:jc w:val="right"/>
              <w:ind w:right="600"/>
              <w:spacing w:after="0"/>
              <w:rPr>
                <w:sz w:val="20"/>
                <w:szCs w:val="20"/>
                <w:color w:val="auto"/>
              </w:rPr>
            </w:pPr>
            <w:r>
              <w:rPr>
                <w:rFonts w:ascii="Arial" w:cs="Arial" w:eastAsia="Arial" w:hAnsi="Arial"/>
                <w:sz w:val="14"/>
                <w:szCs w:val="14"/>
                <w:b w:val="1"/>
                <w:bCs w:val="1"/>
                <w:color w:val="auto"/>
              </w:rPr>
              <w:t>December 31, 2018</w:t>
            </w: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5"/>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Cost or</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5"/>
          </w:tcPr>
          <w:p>
            <w:pPr>
              <w:jc w:val="right"/>
              <w:ind w:right="157"/>
              <w:spacing w:after="0"/>
              <w:rPr>
                <w:sz w:val="20"/>
                <w:szCs w:val="20"/>
                <w:color w:val="auto"/>
              </w:rPr>
            </w:pPr>
            <w:r>
              <w:rPr>
                <w:rFonts w:ascii="Arial" w:cs="Arial" w:eastAsia="Arial" w:hAnsi="Arial"/>
                <w:sz w:val="14"/>
                <w:szCs w:val="14"/>
                <w:b w:val="1"/>
                <w:bCs w:val="1"/>
                <w:color w:val="auto"/>
              </w:rPr>
              <w:t>Gross Unrealized Losses</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Estimated</w:t>
            </w:r>
          </w:p>
        </w:tc>
        <w:tc>
          <w:tcPr>
            <w:tcW w:w="10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225"/>
        </w:trPr>
        <w:tc>
          <w:tcPr>
            <w:tcW w:w="4580" w:type="dxa"/>
            <w:vAlign w:val="bottom"/>
            <w:vMerge w:val="restart"/>
          </w:tcPr>
          <w:p>
            <w:pPr>
              <w:ind w:left="40"/>
              <w:spacing w:after="0"/>
              <w:rPr>
                <w:sz w:val="20"/>
                <w:szCs w:val="20"/>
                <w:color w:val="auto"/>
              </w:rPr>
            </w:pPr>
            <w:r>
              <w:rPr>
                <w:rFonts w:ascii="Arial" w:cs="Arial" w:eastAsia="Arial" w:hAnsi="Arial"/>
                <w:sz w:val="17"/>
                <w:szCs w:val="17"/>
                <w:b w:val="1"/>
                <w:bCs w:val="1"/>
                <w:color w:val="auto"/>
              </w:rPr>
              <w:t>Category</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Less than 12</w:t>
            </w:r>
          </w:p>
        </w:tc>
        <w:tc>
          <w:tcPr>
            <w:tcW w:w="80" w:type="dxa"/>
            <w:vAlign w:val="bottom"/>
          </w:tcPr>
          <w:p>
            <w:pPr>
              <w:spacing w:after="0"/>
              <w:rPr>
                <w:sz w:val="19"/>
                <w:szCs w:val="19"/>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More than 12</w:t>
            </w:r>
          </w:p>
        </w:tc>
        <w:tc>
          <w:tcPr>
            <w:tcW w:w="80" w:type="dxa"/>
            <w:vAlign w:val="bottom"/>
          </w:tcPr>
          <w:p>
            <w:pPr>
              <w:spacing w:after="0"/>
              <w:rPr>
                <w:sz w:val="19"/>
                <w:szCs w:val="19"/>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Fair</w:t>
            </w:r>
          </w:p>
        </w:tc>
        <w:tc>
          <w:tcPr>
            <w:tcW w:w="10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200"/>
        </w:trPr>
        <w:tc>
          <w:tcPr>
            <w:tcW w:w="45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Cos</w:t>
            </w:r>
            <w:r>
              <w:rPr>
                <w:rFonts w:ascii="Arial" w:cs="Arial" w:eastAsia="Arial" w:hAnsi="Arial"/>
                <w:sz w:val="14"/>
                <w:szCs w:val="14"/>
                <w:color w:val="auto"/>
                <w:w w:val="92"/>
              </w:rPr>
              <w:t>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Months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Months</w:t>
            </w:r>
          </w:p>
        </w:tc>
        <w:tc>
          <w:tcPr>
            <w:tcW w:w="8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10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469"/>
        </w:trPr>
        <w:tc>
          <w:tcPr>
            <w:tcW w:w="458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U.S. Treasury securities and</w:t>
            </w: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580" w:type="dxa"/>
            <w:vAlign w:val="bottom"/>
          </w:tcPr>
          <w:p>
            <w:pPr>
              <w:ind w:left="40"/>
              <w:spacing w:after="0"/>
              <w:rPr>
                <w:sz w:val="20"/>
                <w:szCs w:val="20"/>
                <w:color w:val="auto"/>
              </w:rPr>
            </w:pPr>
            <w:r>
              <w:rPr>
                <w:rFonts w:ascii="Arial" w:cs="Arial" w:eastAsia="Arial" w:hAnsi="Arial"/>
                <w:sz w:val="17"/>
                <w:szCs w:val="17"/>
                <w:color w:val="auto"/>
              </w:rPr>
              <w:t>obligations of U.S. government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corporations and agencies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8,222,050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26,331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(28,000)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  8,220,381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40"/>
              <w:spacing w:after="0"/>
              <w:rPr>
                <w:sz w:val="20"/>
                <w:szCs w:val="20"/>
                <w:color w:val="auto"/>
              </w:rPr>
            </w:pPr>
            <w:r>
              <w:rPr>
                <w:rFonts w:ascii="Arial" w:cs="Arial" w:eastAsia="Arial" w:hAnsi="Arial"/>
                <w:sz w:val="17"/>
                <w:szCs w:val="17"/>
                <w:color w:val="auto"/>
              </w:rPr>
              <w:t>Political subdivisions of States,</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tcPr>
          <w:p>
            <w:pPr>
              <w:ind w:left="40"/>
              <w:spacing w:after="0"/>
              <w:rPr>
                <w:sz w:val="20"/>
                <w:szCs w:val="20"/>
                <w:color w:val="auto"/>
              </w:rPr>
            </w:pPr>
            <w:r>
              <w:rPr>
                <w:rFonts w:ascii="Arial" w:cs="Arial" w:eastAsia="Arial" w:hAnsi="Arial"/>
                <w:sz w:val="17"/>
                <w:szCs w:val="17"/>
                <w:color w:val="auto"/>
              </w:rPr>
              <w:t>Territories and Possessions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6,339,540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50,903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(12,327)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(36,508)</w:t>
            </w:r>
          </w:p>
        </w:tc>
        <w:tc>
          <w:tcPr>
            <w:tcW w:w="1220" w:type="dxa"/>
            <w:vAlign w:val="bottom"/>
            <w:gridSpan w:val="3"/>
          </w:tcPr>
          <w:p>
            <w:pPr>
              <w:jc w:val="right"/>
              <w:ind w:right="220"/>
              <w:spacing w:after="0"/>
              <w:rPr>
                <w:sz w:val="20"/>
                <w:szCs w:val="20"/>
                <w:color w:val="auto"/>
              </w:rPr>
            </w:pPr>
            <w:r>
              <w:rPr>
                <w:rFonts w:ascii="Arial" w:cs="Arial" w:eastAsia="Arial" w:hAnsi="Arial"/>
                <w:sz w:val="17"/>
                <w:szCs w:val="17"/>
                <w:color w:val="auto"/>
              </w:rPr>
              <w:t>6,341,608</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tcPr>
          <w:p>
            <w:pPr>
              <w:ind w:left="40"/>
              <w:spacing w:after="0"/>
              <w:rPr>
                <w:sz w:val="20"/>
                <w:szCs w:val="20"/>
                <w:color w:val="auto"/>
              </w:rPr>
            </w:pPr>
            <w:r>
              <w:rPr>
                <w:rFonts w:ascii="Arial" w:cs="Arial" w:eastAsia="Arial" w:hAnsi="Arial"/>
                <w:sz w:val="17"/>
                <w:szCs w:val="17"/>
                <w:color w:val="auto"/>
              </w:rPr>
              <w:t>Corporate and other bonds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Industrial and miscellaneous</w:t>
            </w:r>
          </w:p>
        </w:tc>
        <w:tc>
          <w:tcPr>
            <w:tcW w:w="116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119,078,698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123,740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8"/>
              </w:rPr>
              <w:t>(2,775,540)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(676,605)</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115,750,293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40"/>
              <w:spacing w:after="0"/>
              <w:rPr>
                <w:sz w:val="20"/>
                <w:szCs w:val="20"/>
                <w:color w:val="auto"/>
              </w:rPr>
            </w:pPr>
            <w:r>
              <w:rPr>
                <w:rFonts w:ascii="Arial" w:cs="Arial" w:eastAsia="Arial" w:hAnsi="Arial"/>
                <w:sz w:val="17"/>
                <w:szCs w:val="17"/>
                <w:color w:val="auto"/>
              </w:rPr>
              <w:t>Residential mortgage and other</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tcPr>
          <w:p>
            <w:pPr>
              <w:ind w:left="40"/>
              <w:spacing w:after="0"/>
              <w:rPr>
                <w:sz w:val="20"/>
                <w:szCs w:val="20"/>
                <w:color w:val="auto"/>
              </w:rPr>
            </w:pPr>
            <w:r>
              <w:rPr>
                <w:rFonts w:ascii="Arial" w:cs="Arial" w:eastAsia="Arial" w:hAnsi="Arial"/>
                <w:sz w:val="17"/>
                <w:szCs w:val="17"/>
                <w:color w:val="auto"/>
              </w:rPr>
              <w:t>asset backed securities (1)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w w:val="91"/>
              </w:rPr>
              <w:t>21,790,973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236,502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(231,229)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(331,012)</w:t>
            </w:r>
          </w:p>
        </w:tc>
        <w:tc>
          <w:tcPr>
            <w:tcW w:w="1220" w:type="dxa"/>
            <w:vAlign w:val="bottom"/>
            <w:gridSpan w:val="3"/>
          </w:tcPr>
          <w:p>
            <w:pPr>
              <w:jc w:val="right"/>
              <w:ind w:right="220"/>
              <w:spacing w:after="0"/>
              <w:rPr>
                <w:sz w:val="20"/>
                <w:szCs w:val="20"/>
                <w:color w:val="auto"/>
              </w:rPr>
            </w:pPr>
            <w:r>
              <w:rPr>
                <w:rFonts w:ascii="Arial" w:cs="Arial" w:eastAsia="Arial" w:hAnsi="Arial"/>
                <w:sz w:val="17"/>
                <w:szCs w:val="17"/>
                <w:color w:val="auto"/>
              </w:rPr>
              <w:t>21,465,234</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14.1%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580" w:type="dxa"/>
            <w:vAlign w:val="bottom"/>
            <w:shd w:val="clear" w:color="auto" w:fill="CCEEFF"/>
          </w:tcPr>
          <w:p>
            <w:pPr>
              <w:ind w:left="40"/>
              <w:spacing w:after="0"/>
              <w:rPr>
                <w:sz w:val="20"/>
                <w:szCs w:val="20"/>
                <w:color w:val="auto"/>
              </w:rPr>
            </w:pPr>
            <w:r>
              <w:rPr>
                <w:rFonts w:ascii="Arial" w:cs="Arial" w:eastAsia="Arial" w:hAnsi="Arial"/>
                <w:sz w:val="17"/>
                <w:szCs w:val="17"/>
                <w:color w:val="auto"/>
              </w:rPr>
              <w:t>Total fixed-maturity securities</w:t>
            </w:r>
          </w:p>
        </w:tc>
        <w:tc>
          <w:tcPr>
            <w:tcW w:w="116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u w:val="single" w:color="auto"/>
                <w:color w:val="auto"/>
                <w:w w:val="98"/>
              </w:rPr>
              <w:t>$</w:t>
            </w:r>
            <w:r>
              <w:rPr>
                <w:rFonts w:ascii="Arial" w:cs="Arial" w:eastAsia="Arial" w:hAnsi="Arial"/>
                <w:sz w:val="17"/>
                <w:szCs w:val="17"/>
                <w:color w:val="auto"/>
                <w:w w:val="98"/>
              </w:rPr>
              <w:t>155,431,261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437,476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8"/>
              </w:rPr>
              <w:t>(3,047,096)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4"/>
              </w:rPr>
              <w:t>(1,044,125)</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u w:val="single" w:color="auto"/>
                <w:color w:val="auto"/>
                <w:w w:val="94"/>
              </w:rPr>
              <w:t>$</w:t>
            </w:r>
            <w:r>
              <w:rPr>
                <w:rFonts w:ascii="Arial" w:cs="Arial" w:eastAsia="Arial" w:hAnsi="Arial"/>
                <w:sz w:val="17"/>
                <w:szCs w:val="17"/>
                <w:color w:val="auto"/>
                <w:w w:val="94"/>
              </w:rPr>
              <w:t>151,777,516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jc w:val="both"/>
        <w:ind w:left="640" w:right="40" w:hanging="321"/>
        <w:spacing w:after="0" w:line="265" w:lineRule="auto"/>
        <w:tabs>
          <w:tab w:leader="none" w:pos="744"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 2017, KICO placed certain residential mortgage backed securities as eligible collateral in a designated custodian account related to its relationship with the Federal Home Loan Bank of New York ("FHLBNY"). The eligible collateral would be pledged to FHLBNY if KICO draws an advance from FHBLNY. As of December 31, 2018, the estimated fair value of the eligible investments was $5,116,000. KICO will retain all rights regarding all securities if pledged as collateral. As of December 31, 2018, there was no outstanding balance on the FHLBNY credit line.</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auto"/>
        </w:rPr>
        <w:t>Equity Securities</w:t>
      </w:r>
    </w:p>
    <w:p>
      <w:pPr>
        <w:spacing w:after="0" w:line="223" w:lineRule="exact"/>
        <w:rPr>
          <w:sz w:val="20"/>
          <w:szCs w:val="20"/>
          <w:color w:val="auto"/>
        </w:rPr>
      </w:pPr>
    </w:p>
    <w:p>
      <w:pPr>
        <w:ind w:right="200" w:firstLine="628"/>
        <w:spacing w:after="0" w:line="281" w:lineRule="auto"/>
        <w:rPr>
          <w:sz w:val="20"/>
          <w:szCs w:val="20"/>
          <w:color w:val="auto"/>
        </w:rPr>
      </w:pPr>
      <w:r>
        <w:rPr>
          <w:rFonts w:ascii="Arial" w:cs="Arial" w:eastAsia="Arial" w:hAnsi="Arial"/>
          <w:sz w:val="17"/>
          <w:szCs w:val="17"/>
          <w:color w:val="auto"/>
        </w:rPr>
        <w:t>The following table presents a breakdown of the cost, estimated fair value, and gross gains and losses of investments in equity securities as of June 30, 2019 and December 31, 2018:</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8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6"/>
          </w:tcPr>
          <w:p>
            <w:pPr>
              <w:jc w:val="right"/>
              <w:ind w:right="480"/>
              <w:spacing w:after="0"/>
              <w:rPr>
                <w:sz w:val="20"/>
                <w:szCs w:val="20"/>
                <w:color w:val="auto"/>
              </w:rPr>
            </w:pPr>
            <w:r>
              <w:rPr>
                <w:rFonts w:ascii="Arial" w:cs="Arial" w:eastAsia="Arial" w:hAnsi="Arial"/>
                <w:sz w:val="14"/>
                <w:szCs w:val="14"/>
                <w:b w:val="1"/>
                <w:bCs w:val="1"/>
                <w:color w:val="auto"/>
              </w:rPr>
              <w:t>June 30, 2019</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38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60"/>
              <w:spacing w:after="0" w:line="144" w:lineRule="exact"/>
              <w:rPr>
                <w:sz w:val="20"/>
                <w:szCs w:val="20"/>
                <w:color w:val="auto"/>
              </w:rPr>
            </w:pPr>
            <w:r>
              <w:rPr>
                <w:rFonts w:ascii="Arial" w:cs="Arial" w:eastAsia="Arial" w:hAnsi="Arial"/>
                <w:sz w:val="14"/>
                <w:szCs w:val="14"/>
                <w:b w:val="1"/>
                <w:bCs w:val="1"/>
                <w:color w:val="auto"/>
                <w:w w:val="92"/>
              </w:rPr>
              <w:t>Estimated</w:t>
            </w:r>
          </w:p>
        </w:tc>
        <w:tc>
          <w:tcPr>
            <w:tcW w:w="90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rPr>
              <w:t>% of</w:t>
            </w:r>
          </w:p>
        </w:tc>
        <w:tc>
          <w:tcPr>
            <w:tcW w:w="1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8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ind w:left="140"/>
              <w:spacing w:after="0" w:line="157" w:lineRule="exact"/>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right"/>
              <w:ind w:right="400"/>
              <w:spacing w:after="0" w:line="157" w:lineRule="exact"/>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320"/>
              <w:spacing w:after="0" w:line="157" w:lineRule="exact"/>
              <w:rPr>
                <w:sz w:val="20"/>
                <w:szCs w:val="20"/>
                <w:color w:val="auto"/>
              </w:rPr>
            </w:pPr>
            <w:r>
              <w:rPr>
                <w:rFonts w:ascii="Arial" w:cs="Arial" w:eastAsia="Arial" w:hAnsi="Arial"/>
                <w:sz w:val="14"/>
                <w:szCs w:val="14"/>
                <w:b w:val="1"/>
                <w:bCs w:val="1"/>
                <w:color w:val="auto"/>
              </w:rPr>
              <w:t>Fair</w:t>
            </w:r>
          </w:p>
        </w:tc>
        <w:tc>
          <w:tcPr>
            <w:tcW w:w="1060" w:type="dxa"/>
            <w:vAlign w:val="bottom"/>
            <w:gridSpan w:val="3"/>
          </w:tcPr>
          <w:p>
            <w:pPr>
              <w:jc w:val="center"/>
              <w:ind w:right="120"/>
              <w:spacing w:after="0" w:line="157"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77"/>
        </w:trPr>
        <w:tc>
          <w:tcPr>
            <w:tcW w:w="3880" w:type="dxa"/>
            <w:vAlign w:val="bottom"/>
          </w:tcPr>
          <w:p>
            <w:pPr>
              <w:ind w:left="40"/>
              <w:spacing w:after="0"/>
              <w:rPr>
                <w:sz w:val="20"/>
                <w:szCs w:val="20"/>
                <w:color w:val="auto"/>
              </w:rPr>
            </w:pPr>
            <w:r>
              <w:rPr>
                <w:rFonts w:ascii="Arial" w:cs="Arial" w:eastAsia="Arial" w:hAnsi="Arial"/>
                <w:sz w:val="14"/>
                <w:szCs w:val="14"/>
                <w:b w:val="1"/>
                <w:bCs w:val="1"/>
                <w:color w:val="auto"/>
              </w:rPr>
              <w:t>Category</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ind w:left="22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9"/>
              </w:rPr>
              <w:t>Losses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469"/>
        </w:trPr>
        <w:tc>
          <w:tcPr>
            <w:tcW w:w="388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Equity Securities:</w:t>
            </w:r>
          </w:p>
        </w:tc>
        <w:tc>
          <w:tcPr>
            <w:tcW w:w="1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880" w:type="dxa"/>
            <w:vAlign w:val="bottom"/>
            <w:shd w:val="clear" w:color="auto" w:fill="CCEEFF"/>
          </w:tcPr>
          <w:p>
            <w:pPr>
              <w:ind w:left="40"/>
              <w:spacing w:after="0"/>
              <w:rPr>
                <w:sz w:val="20"/>
                <w:szCs w:val="20"/>
                <w:color w:val="auto"/>
              </w:rPr>
            </w:pPr>
            <w:r>
              <w:rPr>
                <w:rFonts w:ascii="Arial" w:cs="Arial" w:eastAsia="Arial" w:hAnsi="Arial"/>
                <w:sz w:val="17"/>
                <w:szCs w:val="17"/>
                <w:color w:val="auto"/>
              </w:rPr>
              <w:t>Preferred stocks</w:t>
            </w:r>
          </w:p>
        </w:tc>
        <w:tc>
          <w:tcPr>
            <w:tcW w:w="20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9,445,572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175,517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(58,389)</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9,562,700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80" w:type="dxa"/>
            <w:vAlign w:val="bottom"/>
          </w:tcPr>
          <w:p>
            <w:pPr>
              <w:ind w:left="40"/>
              <w:spacing w:after="0"/>
              <w:rPr>
                <w:sz w:val="20"/>
                <w:szCs w:val="20"/>
                <w:color w:val="auto"/>
              </w:rPr>
            </w:pPr>
            <w:r>
              <w:rPr>
                <w:rFonts w:ascii="Arial" w:cs="Arial" w:eastAsia="Arial" w:hAnsi="Arial"/>
                <w:sz w:val="17"/>
                <w:szCs w:val="17"/>
                <w:color w:val="auto"/>
              </w:rPr>
              <w:t>Common stocks and exchange</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traded mutual funds</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12,809,216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1,045,871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(678,837)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1"/>
              </w:rPr>
              <w:t>13,176,250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388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880" w:type="dxa"/>
            <w:vAlign w:val="bottom"/>
          </w:tcPr>
          <w:p>
            <w:pPr>
              <w:ind w:left="40"/>
              <w:spacing w:after="0"/>
              <w:rPr>
                <w:sz w:val="20"/>
                <w:szCs w:val="20"/>
                <w:color w:val="auto"/>
              </w:rPr>
            </w:pPr>
            <w:r>
              <w:rPr>
                <w:rFonts w:ascii="Arial" w:cs="Arial" w:eastAsia="Arial" w:hAnsi="Arial"/>
                <w:sz w:val="17"/>
                <w:szCs w:val="17"/>
                <w:color w:val="auto"/>
              </w:rPr>
              <w:t>Total</w:t>
            </w:r>
          </w:p>
        </w:tc>
        <w:tc>
          <w:tcPr>
            <w:tcW w:w="208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w w:val="91"/>
              </w:rPr>
              <w:t>22,254,788</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1,221,388</w:t>
            </w: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(737,226)</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w w:val="91"/>
              </w:rPr>
              <w:t>22,738,950</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100.0%</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96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64</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5"/>
        </w:trPr>
        <w:tc>
          <w:tcPr>
            <w:tcW w:w="38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2"/>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97" w:right="199" w:bottom="1440" w:gutter="0" w:footer="0" w:header="0"/>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6"/>
          </w:tcPr>
          <w:p>
            <w:pPr>
              <w:jc w:val="right"/>
              <w:ind w:right="320"/>
              <w:spacing w:after="0"/>
              <w:rPr>
                <w:sz w:val="20"/>
                <w:szCs w:val="20"/>
                <w:color w:val="auto"/>
              </w:rPr>
            </w:pPr>
            <w:r>
              <w:rPr>
                <w:rFonts w:ascii="Arial" w:cs="Arial" w:eastAsia="Arial" w:hAnsi="Arial"/>
                <w:sz w:val="14"/>
                <w:szCs w:val="14"/>
                <w:b w:val="1"/>
                <w:bCs w:val="1"/>
                <w:color w:val="auto"/>
              </w:rPr>
              <w:t>December 31, 2018</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5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60"/>
              <w:spacing w:after="0" w:line="144" w:lineRule="exact"/>
              <w:rPr>
                <w:sz w:val="20"/>
                <w:szCs w:val="20"/>
                <w:color w:val="auto"/>
              </w:rPr>
            </w:pPr>
            <w:r>
              <w:rPr>
                <w:rFonts w:ascii="Arial" w:cs="Arial" w:eastAsia="Arial" w:hAnsi="Arial"/>
                <w:sz w:val="14"/>
                <w:szCs w:val="14"/>
                <w:b w:val="1"/>
                <w:bCs w:val="1"/>
                <w:color w:val="auto"/>
                <w:w w:val="92"/>
              </w:rPr>
              <w:t>Estimated</w:t>
            </w:r>
          </w:p>
        </w:tc>
        <w:tc>
          <w:tcPr>
            <w:tcW w:w="90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rPr>
              <w:t>% of</w:t>
            </w:r>
          </w:p>
        </w:tc>
        <w:tc>
          <w:tcPr>
            <w:tcW w:w="1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5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ind w:left="100"/>
              <w:spacing w:after="0" w:line="157" w:lineRule="exact"/>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right"/>
              <w:ind w:right="400"/>
              <w:spacing w:after="0" w:line="157" w:lineRule="exact"/>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320"/>
              <w:spacing w:after="0" w:line="157" w:lineRule="exact"/>
              <w:rPr>
                <w:sz w:val="20"/>
                <w:szCs w:val="20"/>
                <w:color w:val="auto"/>
              </w:rPr>
            </w:pPr>
            <w:r>
              <w:rPr>
                <w:rFonts w:ascii="Arial" w:cs="Arial" w:eastAsia="Arial" w:hAnsi="Arial"/>
                <w:sz w:val="14"/>
                <w:szCs w:val="14"/>
                <w:b w:val="1"/>
                <w:bCs w:val="1"/>
                <w:color w:val="auto"/>
              </w:rPr>
              <w:t>Fair</w:t>
            </w:r>
          </w:p>
        </w:tc>
        <w:tc>
          <w:tcPr>
            <w:tcW w:w="1060" w:type="dxa"/>
            <w:vAlign w:val="bottom"/>
            <w:gridSpan w:val="3"/>
          </w:tcPr>
          <w:p>
            <w:pPr>
              <w:jc w:val="center"/>
              <w:ind w:right="120"/>
              <w:spacing w:after="0" w:line="157"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77"/>
        </w:trPr>
        <w:tc>
          <w:tcPr>
            <w:tcW w:w="5720" w:type="dxa"/>
            <w:vAlign w:val="bottom"/>
          </w:tcPr>
          <w:p>
            <w:pPr>
              <w:ind w:left="40"/>
              <w:spacing w:after="0"/>
              <w:rPr>
                <w:sz w:val="20"/>
                <w:szCs w:val="20"/>
                <w:color w:val="auto"/>
              </w:rPr>
            </w:pPr>
            <w:r>
              <w:rPr>
                <w:rFonts w:ascii="Arial" w:cs="Arial" w:eastAsia="Arial" w:hAnsi="Arial"/>
                <w:sz w:val="14"/>
                <w:szCs w:val="14"/>
                <w:b w:val="1"/>
                <w:bCs w:val="1"/>
                <w:color w:val="auto"/>
              </w:rPr>
              <w:t>Category</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218"/>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Losses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469"/>
        </w:trPr>
        <w:tc>
          <w:tcPr>
            <w:tcW w:w="572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Equity Securities:</w:t>
            </w: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720" w:type="dxa"/>
            <w:vAlign w:val="bottom"/>
            <w:shd w:val="clear" w:color="auto" w:fill="CCEEFF"/>
          </w:tcPr>
          <w:p>
            <w:pPr>
              <w:ind w:left="40"/>
              <w:spacing w:after="0"/>
              <w:rPr>
                <w:sz w:val="20"/>
                <w:szCs w:val="20"/>
                <w:color w:val="auto"/>
              </w:rPr>
            </w:pPr>
            <w:r>
              <w:rPr>
                <w:rFonts w:ascii="Arial" w:cs="Arial" w:eastAsia="Arial" w:hAnsi="Arial"/>
                <w:sz w:val="17"/>
                <w:szCs w:val="17"/>
                <w:color w:val="auto"/>
              </w:rPr>
              <w:t>Preferred stocks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6,694,754</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(541,798)</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6,152,956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20" w:type="dxa"/>
            <w:vAlign w:val="bottom"/>
          </w:tcPr>
          <w:p>
            <w:pPr>
              <w:ind w:left="40"/>
              <w:spacing w:after="0"/>
              <w:rPr>
                <w:sz w:val="20"/>
                <w:szCs w:val="20"/>
                <w:color w:val="auto"/>
              </w:rPr>
            </w:pPr>
            <w:r>
              <w:rPr>
                <w:rFonts w:ascii="Arial" w:cs="Arial" w:eastAsia="Arial" w:hAnsi="Arial"/>
                <w:sz w:val="17"/>
                <w:szCs w:val="17"/>
                <w:color w:val="auto"/>
              </w:rPr>
              <w:t>Common stocks and exchange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traded mutual funds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11,611,232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99,817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4"/>
              </w:rPr>
              <w:t>(1,291,389)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1"/>
              </w:rPr>
              <w:t>10,419,660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5720" w:type="dxa"/>
            <w:vAlign w:val="bottom"/>
          </w:tcPr>
          <w:p>
            <w:pPr>
              <w:ind w:left="40"/>
              <w:spacing w:after="0"/>
              <w:rPr>
                <w:sz w:val="20"/>
                <w:szCs w:val="20"/>
                <w:color w:val="auto"/>
              </w:rPr>
            </w:pPr>
            <w:r>
              <w:rPr>
                <w:rFonts w:ascii="Arial" w:cs="Arial" w:eastAsia="Arial" w:hAnsi="Arial"/>
                <w:sz w:val="17"/>
                <w:szCs w:val="17"/>
                <w:color w:val="auto"/>
              </w:rPr>
              <w:t>Total</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w w:val="91"/>
              </w:rPr>
              <w:t>18,305,986</w:t>
            </w:r>
          </w:p>
        </w:tc>
        <w:tc>
          <w:tcPr>
            <w:tcW w:w="4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99,817</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w w:val="94"/>
              </w:rPr>
              <w:t>(1,833,187)</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w w:val="91"/>
              </w:rPr>
              <w:t>16,572,616</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100.0%</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auto"/>
        </w:rPr>
        <w:t>Other Investments</w:t>
      </w:r>
    </w:p>
    <w:p>
      <w:pPr>
        <w:spacing w:after="0" w:line="223" w:lineRule="exact"/>
        <w:rPr>
          <w:sz w:val="20"/>
          <w:szCs w:val="20"/>
          <w:color w:val="auto"/>
        </w:rPr>
      </w:pPr>
    </w:p>
    <w:p>
      <w:pPr>
        <w:jc w:val="both"/>
        <w:ind w:right="40" w:firstLine="628"/>
        <w:spacing w:after="0" w:line="269" w:lineRule="auto"/>
        <w:rPr>
          <w:sz w:val="20"/>
          <w:szCs w:val="20"/>
          <w:color w:val="auto"/>
        </w:rPr>
      </w:pPr>
      <w:r>
        <w:rPr>
          <w:rFonts w:ascii="Arial" w:cs="Arial" w:eastAsia="Arial" w:hAnsi="Arial"/>
          <w:sz w:val="17"/>
          <w:szCs w:val="17"/>
          <w:color w:val="auto"/>
        </w:rPr>
        <w:t>Pursuant to ASC 820 “Fair Value Measurement,” an entity is permitted, as a practical expedient, to estimate the fair value of an investment within the scope of ASC 820 using the net asset value (“NAV”) per share (or its equivalent) of the investment. The following table presents a breakdown of the cost, estimated fair value, and gross unrealized gains and losses of our other investments as of June 30, 2019 and December 31, 2018:</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June 30, 2019</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6"/>
          </w:tcPr>
          <w:p>
            <w:pPr>
              <w:ind w:left="720"/>
              <w:spacing w:after="0"/>
              <w:rPr>
                <w:sz w:val="20"/>
                <w:szCs w:val="20"/>
                <w:color w:val="auto"/>
              </w:rPr>
            </w:pPr>
            <w:r>
              <w:rPr>
                <w:rFonts w:ascii="Arial" w:cs="Arial" w:eastAsia="Arial" w:hAnsi="Arial"/>
                <w:sz w:val="14"/>
                <w:szCs w:val="14"/>
                <w:b w:val="1"/>
                <w:bCs w:val="1"/>
                <w:color w:val="auto"/>
              </w:rPr>
              <w:t>December 31, 2018</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ind w:left="100"/>
              <w:spacing w:after="0" w:line="144"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42"/>
              <w:spacing w:after="0" w:line="144" w:lineRule="exact"/>
              <w:rPr>
                <w:sz w:val="20"/>
                <w:szCs w:val="20"/>
                <w:color w:val="auto"/>
              </w:rPr>
            </w:pPr>
            <w:r>
              <w:rPr>
                <w:rFonts w:ascii="Arial" w:cs="Arial" w:eastAsia="Arial" w:hAnsi="Arial"/>
                <w:sz w:val="14"/>
                <w:szCs w:val="14"/>
                <w:b w:val="1"/>
                <w:bCs w:val="1"/>
                <w:color w:val="auto"/>
                <w:w w:val="98"/>
              </w:rPr>
              <w:t>Estimated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ind w:left="120"/>
              <w:spacing w:after="0" w:line="144" w:lineRule="exact"/>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ind w:left="40"/>
              <w:spacing w:after="0" w:line="144" w:lineRule="exact"/>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4580" w:type="dxa"/>
            <w:vAlign w:val="bottom"/>
          </w:tcPr>
          <w:p>
            <w:pPr>
              <w:ind w:left="40"/>
              <w:spacing w:after="0"/>
              <w:rPr>
                <w:sz w:val="20"/>
                <w:szCs w:val="20"/>
                <w:color w:val="auto"/>
              </w:rPr>
            </w:pPr>
            <w:r>
              <w:rPr>
                <w:rFonts w:ascii="Arial" w:cs="Arial" w:eastAsia="Arial" w:hAnsi="Arial"/>
                <w:sz w:val="14"/>
                <w:szCs w:val="14"/>
                <w:b w:val="1"/>
                <w:bCs w:val="1"/>
                <w:color w:val="auto"/>
              </w:rPr>
              <w:t>Category</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219"/>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42"/>
              <w:spacing w:after="0"/>
              <w:rPr>
                <w:sz w:val="20"/>
                <w:szCs w:val="20"/>
                <w:color w:val="auto"/>
              </w:rPr>
            </w:pPr>
            <w:r>
              <w:rPr>
                <w:rFonts w:ascii="Arial" w:cs="Arial" w:eastAsia="Arial" w:hAnsi="Arial"/>
                <w:sz w:val="14"/>
                <w:szCs w:val="14"/>
                <w:b w:val="1"/>
                <w:bCs w:val="1"/>
                <w:color w:val="auto"/>
                <w:w w:val="98"/>
              </w:rPr>
              <w:t>Fair Value</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Losses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470"/>
        </w:trPr>
        <w:tc>
          <w:tcPr>
            <w:tcW w:w="458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Other Investments:</w:t>
            </w: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ind w:left="40"/>
              <w:spacing w:after="0"/>
              <w:rPr>
                <w:sz w:val="20"/>
                <w:szCs w:val="20"/>
                <w:color w:val="auto"/>
              </w:rPr>
            </w:pPr>
            <w:r>
              <w:rPr>
                <w:rFonts w:ascii="Arial" w:cs="Arial" w:eastAsia="Arial" w:hAnsi="Arial"/>
                <w:sz w:val="17"/>
                <w:szCs w:val="17"/>
                <w:color w:val="auto"/>
              </w:rPr>
              <w:t>Hedge fund</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1,999,381</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336,493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2,335,874</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1,999,381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(144,156)</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1,855,225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58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4580" w:type="dxa"/>
            <w:vAlign w:val="bottom"/>
          </w:tcPr>
          <w:p>
            <w:pPr>
              <w:ind w:left="40"/>
              <w:spacing w:after="0"/>
              <w:rPr>
                <w:sz w:val="20"/>
                <w:szCs w:val="20"/>
                <w:color w:val="auto"/>
              </w:rPr>
            </w:pPr>
            <w:r>
              <w:rPr>
                <w:rFonts w:ascii="Arial" w:cs="Arial" w:eastAsia="Arial" w:hAnsi="Arial"/>
                <w:sz w:val="17"/>
                <w:szCs w:val="17"/>
                <w:color w:val="auto"/>
              </w:rPr>
              <w:t>Total</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w w:val="97"/>
              </w:rPr>
              <w:t>1,999,381</w:t>
            </w:r>
          </w:p>
        </w:tc>
        <w:tc>
          <w:tcPr>
            <w:tcW w:w="4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336,493</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2,335,874</w:t>
            </w:r>
          </w:p>
        </w:tc>
        <w:tc>
          <w:tcPr>
            <w:tcW w:w="3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1,999,381</w:t>
            </w: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80" w:type="dxa"/>
            <w:vAlign w:val="bottom"/>
            <w:gridSpan w:val="2"/>
          </w:tcPr>
          <w:p>
            <w:pPr>
              <w:ind w:left="120"/>
              <w:spacing w:after="0"/>
              <w:rPr>
                <w:sz w:val="20"/>
                <w:szCs w:val="20"/>
                <w:color w:val="auto"/>
              </w:rPr>
            </w:pPr>
            <w:r>
              <w:rPr>
                <w:rFonts w:ascii="Arial" w:cs="Arial" w:eastAsia="Arial" w:hAnsi="Arial"/>
                <w:sz w:val="17"/>
                <w:szCs w:val="17"/>
                <w:color w:val="auto"/>
              </w:rPr>
              <w:t>(144,156)</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1,855,225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Arial" w:cs="Arial" w:eastAsia="Arial" w:hAnsi="Arial"/>
                <w:sz w:val="17"/>
                <w:szCs w:val="17"/>
                <w:color w:val="auto"/>
                <w:w w:val="84"/>
              </w:rPr>
              <w:t>65</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9"/>
        </w:trPr>
        <w:tc>
          <w:tcPr>
            <w:tcW w:w="4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97" w:right="199" w:bottom="1440" w:gutter="0" w:footer="0" w:header="0"/>
        </w:sectPr>
      </w:pPr>
    </w:p>
    <w:bookmarkStart w:id="68" w:name="page69"/>
    <w:bookmarkEnd w:id="68"/>
    <w:p>
      <w:pPr>
        <w:ind w:left="640"/>
        <w:spacing w:after="0"/>
        <w:rPr>
          <w:sz w:val="20"/>
          <w:szCs w:val="20"/>
          <w:color w:val="auto"/>
        </w:rPr>
      </w:pPr>
      <w:r>
        <w:rPr>
          <w:rFonts w:ascii="Arial" w:cs="Arial" w:eastAsia="Arial" w:hAnsi="Arial"/>
          <w:sz w:val="17"/>
          <w:szCs w:val="17"/>
          <w:u w:val="single" w:color="auto"/>
          <w:color w:val="auto"/>
        </w:rPr>
        <w:t>Held-to-Maturity Securities</w:t>
      </w:r>
    </w:p>
    <w:p>
      <w:pPr>
        <w:spacing w:after="0" w:line="223" w:lineRule="exact"/>
        <w:rPr>
          <w:sz w:val="20"/>
          <w:szCs w:val="20"/>
          <w:color w:val="auto"/>
        </w:rPr>
      </w:pPr>
    </w:p>
    <w:p>
      <w:pPr>
        <w:ind w:right="40" w:firstLine="628"/>
        <w:spacing w:after="0" w:line="281" w:lineRule="auto"/>
        <w:rPr>
          <w:sz w:val="20"/>
          <w:szCs w:val="20"/>
          <w:color w:val="auto"/>
        </w:rPr>
      </w:pPr>
      <w:r>
        <w:rPr>
          <w:rFonts w:ascii="Arial" w:cs="Arial" w:eastAsia="Arial" w:hAnsi="Arial"/>
          <w:sz w:val="17"/>
          <w:szCs w:val="17"/>
          <w:color w:val="auto"/>
        </w:rPr>
        <w:t>The following table presents a breakdown of the amortized cost, estimated fair value, and unrealized gains and losses of investments in held-to-maturity securities as of June 30, 2019 and December 31, 2018:</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center"/>
              <w:ind w:right="1"/>
              <w:spacing w:after="0"/>
              <w:rPr>
                <w:sz w:val="20"/>
                <w:szCs w:val="20"/>
                <w:color w:val="auto"/>
              </w:rPr>
            </w:pPr>
            <w:r>
              <w:rPr>
                <w:rFonts w:ascii="Arial" w:cs="Arial" w:eastAsia="Arial" w:hAnsi="Arial"/>
                <w:sz w:val="14"/>
                <w:szCs w:val="14"/>
                <w:b w:val="1"/>
                <w:bCs w:val="1"/>
                <w:color w:val="auto"/>
                <w:w w:val="89"/>
              </w:rPr>
              <w:t>Cost or</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Gross Unrealized Losses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Estimated</w:t>
            </w: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4"/>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21"/>
              <w:spacing w:after="0" w:line="144" w:lineRule="exact"/>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4" w:lineRule="exact"/>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center"/>
              <w:ind w:right="280"/>
              <w:spacing w:after="0" w:line="144" w:lineRule="exact"/>
              <w:rPr>
                <w:sz w:val="20"/>
                <w:szCs w:val="20"/>
                <w:color w:val="auto"/>
              </w:rPr>
            </w:pPr>
            <w:r>
              <w:rPr>
                <w:rFonts w:ascii="Arial" w:cs="Arial" w:eastAsia="Arial" w:hAnsi="Arial"/>
                <w:sz w:val="14"/>
                <w:szCs w:val="14"/>
                <w:b w:val="1"/>
                <w:bCs w:val="1"/>
                <w:color w:val="auto"/>
                <w:w w:val="89"/>
              </w:rPr>
              <w:t>Less than 12</w:t>
            </w:r>
          </w:p>
        </w:tc>
        <w:tc>
          <w:tcPr>
            <w:tcW w:w="900" w:type="dxa"/>
            <w:vAlign w:val="bottom"/>
            <w:tcBorders>
              <w:top w:val="single" w:sz="8" w:color="auto"/>
            </w:tcBorders>
            <w:gridSpan w:val="2"/>
          </w:tcPr>
          <w:p>
            <w:pPr>
              <w:jc w:val="center"/>
              <w:spacing w:after="0" w:line="144" w:lineRule="exact"/>
              <w:rPr>
                <w:sz w:val="20"/>
                <w:szCs w:val="20"/>
                <w:color w:val="auto"/>
              </w:rPr>
            </w:pPr>
            <w:r>
              <w:rPr>
                <w:rFonts w:ascii="Arial" w:cs="Arial" w:eastAsia="Arial" w:hAnsi="Arial"/>
                <w:sz w:val="14"/>
                <w:szCs w:val="14"/>
                <w:b w:val="1"/>
                <w:bCs w:val="1"/>
                <w:color w:val="auto"/>
                <w:w w:val="97"/>
              </w:rPr>
              <w:t>More than 12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20"/>
              <w:spacing w:after="0" w:line="144" w:lineRule="exact"/>
              <w:rPr>
                <w:sz w:val="20"/>
                <w:szCs w:val="20"/>
                <w:color w:val="auto"/>
              </w:rPr>
            </w:pPr>
            <w:r>
              <w:rPr>
                <w:rFonts w:ascii="Arial" w:cs="Arial" w:eastAsia="Arial" w:hAnsi="Arial"/>
                <w:sz w:val="14"/>
                <w:szCs w:val="14"/>
                <w:b w:val="1"/>
                <w:bCs w:val="1"/>
                <w:color w:val="auto"/>
              </w:rPr>
              <w:t>Fair</w:t>
            </w:r>
          </w:p>
        </w:tc>
        <w:tc>
          <w:tcPr>
            <w:tcW w:w="1060" w:type="dxa"/>
            <w:vAlign w:val="bottom"/>
            <w:gridSpan w:val="2"/>
          </w:tcPr>
          <w:p>
            <w:pPr>
              <w:jc w:val="center"/>
              <w:ind w:right="160"/>
              <w:spacing w:after="0" w:line="144"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77"/>
        </w:trPr>
        <w:tc>
          <w:tcPr>
            <w:tcW w:w="4580" w:type="dxa"/>
            <w:vAlign w:val="bottom"/>
          </w:tcPr>
          <w:p>
            <w:pPr>
              <w:ind w:left="40"/>
              <w:spacing w:after="0"/>
              <w:rPr>
                <w:sz w:val="20"/>
                <w:szCs w:val="20"/>
                <w:color w:val="auto"/>
              </w:rPr>
            </w:pPr>
            <w:r>
              <w:rPr>
                <w:rFonts w:ascii="Arial" w:cs="Arial" w:eastAsia="Arial" w:hAnsi="Arial"/>
                <w:sz w:val="14"/>
                <w:szCs w:val="14"/>
                <w:b w:val="1"/>
                <w:bCs w:val="1"/>
                <w:color w:val="auto"/>
              </w:rPr>
              <w:t>Category</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ind w:right="1"/>
              <w:spacing w:after="0"/>
              <w:rPr>
                <w:sz w:val="20"/>
                <w:szCs w:val="20"/>
                <w:color w:val="auto"/>
              </w:rPr>
            </w:pPr>
            <w:r>
              <w:rPr>
                <w:rFonts w:ascii="Arial" w:cs="Arial" w:eastAsia="Arial" w:hAnsi="Arial"/>
                <w:sz w:val="14"/>
                <w:szCs w:val="14"/>
                <w:b w:val="1"/>
                <w:bCs w:val="1"/>
                <w:color w:val="auto"/>
                <w:w w:val="92"/>
              </w:rPr>
              <w:t>Cos</w:t>
            </w:r>
            <w:r>
              <w:rPr>
                <w:rFonts w:ascii="Arial" w:cs="Arial" w:eastAsia="Arial" w:hAnsi="Arial"/>
                <w:sz w:val="14"/>
                <w:szCs w:val="14"/>
                <w:color w:val="auto"/>
                <w:w w:val="92"/>
              </w:rPr>
              <w:t>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Months</w:t>
            </w:r>
          </w:p>
        </w:tc>
        <w:tc>
          <w:tcPr>
            <w:tcW w:w="180" w:type="dxa"/>
            <w:vAlign w:val="bottom"/>
          </w:tcPr>
          <w:p>
            <w:pPr>
              <w:spacing w:after="0"/>
              <w:rPr>
                <w:sz w:val="15"/>
                <w:szCs w:val="15"/>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Months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35"/>
        </w:trPr>
        <w:tc>
          <w:tcPr>
            <w:tcW w:w="45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4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40"/>
              <w:spacing w:after="0"/>
              <w:rPr>
                <w:sz w:val="20"/>
                <w:szCs w:val="20"/>
                <w:color w:val="auto"/>
              </w:rPr>
            </w:pPr>
            <w:r>
              <w:rPr>
                <w:rFonts w:ascii="Arial" w:cs="Arial" w:eastAsia="Arial" w:hAnsi="Arial"/>
                <w:sz w:val="17"/>
                <w:szCs w:val="17"/>
                <w:color w:val="auto"/>
              </w:rPr>
              <w:t>U.S. Treasury securities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729,528</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150,495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880,023</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21.4%</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40"/>
              <w:spacing w:after="0"/>
              <w:rPr>
                <w:sz w:val="20"/>
                <w:szCs w:val="20"/>
                <w:color w:val="auto"/>
              </w:rPr>
            </w:pPr>
            <w:r>
              <w:rPr>
                <w:rFonts w:ascii="Arial" w:cs="Arial" w:eastAsia="Arial" w:hAnsi="Arial"/>
                <w:sz w:val="17"/>
                <w:szCs w:val="17"/>
                <w:color w:val="auto"/>
              </w:rPr>
              <w:t>Political subdivisions of States,</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tcPr>
          <w:p>
            <w:pPr>
              <w:ind w:left="40"/>
              <w:spacing w:after="0"/>
              <w:rPr>
                <w:sz w:val="20"/>
                <w:szCs w:val="20"/>
                <w:color w:val="auto"/>
              </w:rPr>
            </w:pPr>
            <w:r>
              <w:rPr>
                <w:rFonts w:ascii="Arial" w:cs="Arial" w:eastAsia="Arial" w:hAnsi="Arial"/>
                <w:sz w:val="17"/>
                <w:szCs w:val="17"/>
                <w:color w:val="auto"/>
              </w:rPr>
              <w:t>Territories and Possessions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998,715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51,025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1,049,740</w:t>
            </w:r>
          </w:p>
        </w:tc>
        <w:tc>
          <w:tcPr>
            <w:tcW w:w="1020" w:type="dxa"/>
            <w:vAlign w:val="bottom"/>
          </w:tcPr>
          <w:p>
            <w:pPr>
              <w:jc w:val="right"/>
              <w:spacing w:after="0"/>
              <w:rPr>
                <w:sz w:val="20"/>
                <w:szCs w:val="20"/>
                <w:color w:val="auto"/>
              </w:rPr>
            </w:pPr>
            <w:r>
              <w:rPr>
                <w:rFonts w:ascii="Arial" w:cs="Arial" w:eastAsia="Arial" w:hAnsi="Arial"/>
                <w:sz w:val="17"/>
                <w:szCs w:val="17"/>
                <w:color w:val="auto"/>
              </w:rPr>
              <w:t>25.5%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tcPr>
          <w:p>
            <w:pPr>
              <w:ind w:left="40"/>
              <w:spacing w:after="0"/>
              <w:rPr>
                <w:sz w:val="20"/>
                <w:szCs w:val="20"/>
                <w:color w:val="auto"/>
              </w:rPr>
            </w:pPr>
            <w:r>
              <w:rPr>
                <w:rFonts w:ascii="Arial" w:cs="Arial" w:eastAsia="Arial" w:hAnsi="Arial"/>
                <w:sz w:val="17"/>
                <w:szCs w:val="17"/>
                <w:color w:val="auto"/>
              </w:rPr>
              <w:t>Corporate and other bonds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8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Industrial and miscellaneous</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2,096,377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90,357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(2,425)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2,184,309</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40"/>
              <w:spacing w:after="0"/>
              <w:rPr>
                <w:sz w:val="20"/>
                <w:szCs w:val="20"/>
                <w:color w:val="auto"/>
              </w:rPr>
            </w:pPr>
            <w:r>
              <w:rPr>
                <w:rFonts w:ascii="Arial" w:cs="Arial" w:eastAsia="Arial" w:hAnsi="Arial"/>
                <w:sz w:val="17"/>
                <w:szCs w:val="17"/>
                <w:color w:val="auto"/>
              </w:rPr>
              <w:t>Total</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3,824,620</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291,877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(2,425)</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4,114,072</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jc w:val="right"/>
              <w:ind w:right="6"/>
              <w:spacing w:after="0"/>
              <w:rPr>
                <w:sz w:val="20"/>
                <w:szCs w:val="20"/>
                <w:color w:val="auto"/>
              </w:rPr>
            </w:pPr>
            <w:r>
              <w:rPr>
                <w:rFonts w:ascii="Arial" w:cs="Arial" w:eastAsia="Arial" w:hAnsi="Arial"/>
                <w:sz w:val="14"/>
                <w:szCs w:val="14"/>
                <w:b w:val="1"/>
                <w:bCs w:val="1"/>
                <w:color w:val="auto"/>
                <w:w w:val="96"/>
              </w:rPr>
              <w:t>December 31, 2018</w:t>
            </w: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center"/>
              <w:ind w:right="1"/>
              <w:spacing w:after="0"/>
              <w:rPr>
                <w:sz w:val="20"/>
                <w:szCs w:val="20"/>
                <w:color w:val="auto"/>
              </w:rPr>
            </w:pPr>
            <w:r>
              <w:rPr>
                <w:rFonts w:ascii="Arial" w:cs="Arial" w:eastAsia="Arial" w:hAnsi="Arial"/>
                <w:sz w:val="14"/>
                <w:szCs w:val="14"/>
                <w:b w:val="1"/>
                <w:bCs w:val="1"/>
                <w:color w:val="auto"/>
                <w:w w:val="89"/>
              </w:rPr>
              <w:t>Cost or</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Gross Unrealized Losses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Estimated</w:t>
            </w: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4"/>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21"/>
              <w:spacing w:after="0" w:line="144" w:lineRule="exact"/>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4" w:lineRule="exact"/>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center"/>
              <w:ind w:right="280"/>
              <w:spacing w:after="0" w:line="144" w:lineRule="exact"/>
              <w:rPr>
                <w:sz w:val="20"/>
                <w:szCs w:val="20"/>
                <w:color w:val="auto"/>
              </w:rPr>
            </w:pPr>
            <w:r>
              <w:rPr>
                <w:rFonts w:ascii="Arial" w:cs="Arial" w:eastAsia="Arial" w:hAnsi="Arial"/>
                <w:sz w:val="14"/>
                <w:szCs w:val="14"/>
                <w:b w:val="1"/>
                <w:bCs w:val="1"/>
                <w:color w:val="auto"/>
                <w:w w:val="89"/>
              </w:rPr>
              <w:t>Less than 12</w:t>
            </w:r>
          </w:p>
        </w:tc>
        <w:tc>
          <w:tcPr>
            <w:tcW w:w="900" w:type="dxa"/>
            <w:vAlign w:val="bottom"/>
            <w:tcBorders>
              <w:top w:val="single" w:sz="8" w:color="auto"/>
            </w:tcBorders>
            <w:gridSpan w:val="2"/>
          </w:tcPr>
          <w:p>
            <w:pPr>
              <w:jc w:val="center"/>
              <w:spacing w:after="0" w:line="144" w:lineRule="exact"/>
              <w:rPr>
                <w:sz w:val="20"/>
                <w:szCs w:val="20"/>
                <w:color w:val="auto"/>
              </w:rPr>
            </w:pPr>
            <w:r>
              <w:rPr>
                <w:rFonts w:ascii="Arial" w:cs="Arial" w:eastAsia="Arial" w:hAnsi="Arial"/>
                <w:sz w:val="14"/>
                <w:szCs w:val="14"/>
                <w:b w:val="1"/>
                <w:bCs w:val="1"/>
                <w:color w:val="auto"/>
                <w:w w:val="97"/>
              </w:rPr>
              <w:t>More than 12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20"/>
              <w:spacing w:after="0" w:line="144" w:lineRule="exact"/>
              <w:rPr>
                <w:sz w:val="20"/>
                <w:szCs w:val="20"/>
                <w:color w:val="auto"/>
              </w:rPr>
            </w:pPr>
            <w:r>
              <w:rPr>
                <w:rFonts w:ascii="Arial" w:cs="Arial" w:eastAsia="Arial" w:hAnsi="Arial"/>
                <w:sz w:val="14"/>
                <w:szCs w:val="14"/>
                <w:b w:val="1"/>
                <w:bCs w:val="1"/>
                <w:color w:val="auto"/>
              </w:rPr>
              <w:t>Fair</w:t>
            </w:r>
          </w:p>
        </w:tc>
        <w:tc>
          <w:tcPr>
            <w:tcW w:w="1060" w:type="dxa"/>
            <w:vAlign w:val="bottom"/>
            <w:gridSpan w:val="2"/>
          </w:tcPr>
          <w:p>
            <w:pPr>
              <w:jc w:val="center"/>
              <w:ind w:right="160"/>
              <w:spacing w:after="0" w:line="144"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77"/>
        </w:trPr>
        <w:tc>
          <w:tcPr>
            <w:tcW w:w="4580" w:type="dxa"/>
            <w:vAlign w:val="bottom"/>
          </w:tcPr>
          <w:p>
            <w:pPr>
              <w:ind w:left="40"/>
              <w:spacing w:after="0"/>
              <w:rPr>
                <w:sz w:val="20"/>
                <w:szCs w:val="20"/>
                <w:color w:val="auto"/>
              </w:rPr>
            </w:pPr>
            <w:r>
              <w:rPr>
                <w:rFonts w:ascii="Arial" w:cs="Arial" w:eastAsia="Arial" w:hAnsi="Arial"/>
                <w:sz w:val="14"/>
                <w:szCs w:val="14"/>
                <w:b w:val="1"/>
                <w:bCs w:val="1"/>
                <w:color w:val="auto"/>
              </w:rPr>
              <w:t>Category</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ind w:right="1"/>
              <w:spacing w:after="0"/>
              <w:rPr>
                <w:sz w:val="20"/>
                <w:szCs w:val="20"/>
                <w:color w:val="auto"/>
              </w:rPr>
            </w:pPr>
            <w:r>
              <w:rPr>
                <w:rFonts w:ascii="Arial" w:cs="Arial" w:eastAsia="Arial" w:hAnsi="Arial"/>
                <w:sz w:val="14"/>
                <w:szCs w:val="14"/>
                <w:b w:val="1"/>
                <w:bCs w:val="1"/>
                <w:color w:val="auto"/>
                <w:w w:val="92"/>
              </w:rPr>
              <w:t>Cos</w:t>
            </w:r>
            <w:r>
              <w:rPr>
                <w:rFonts w:ascii="Arial" w:cs="Arial" w:eastAsia="Arial" w:hAnsi="Arial"/>
                <w:sz w:val="14"/>
                <w:szCs w:val="14"/>
                <w:color w:val="auto"/>
                <w:w w:val="92"/>
              </w:rPr>
              <w:t>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Months</w:t>
            </w:r>
          </w:p>
        </w:tc>
        <w:tc>
          <w:tcPr>
            <w:tcW w:w="180" w:type="dxa"/>
            <w:vAlign w:val="bottom"/>
          </w:tcPr>
          <w:p>
            <w:pPr>
              <w:spacing w:after="0"/>
              <w:rPr>
                <w:sz w:val="15"/>
                <w:szCs w:val="15"/>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Months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35"/>
        </w:trPr>
        <w:tc>
          <w:tcPr>
            <w:tcW w:w="45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4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40"/>
              <w:spacing w:after="0"/>
              <w:rPr>
                <w:sz w:val="20"/>
                <w:szCs w:val="20"/>
                <w:color w:val="auto"/>
              </w:rPr>
            </w:pPr>
            <w:r>
              <w:rPr>
                <w:rFonts w:ascii="Arial" w:cs="Arial" w:eastAsia="Arial" w:hAnsi="Arial"/>
                <w:sz w:val="17"/>
                <w:szCs w:val="17"/>
                <w:color w:val="auto"/>
              </w:rPr>
              <w:t>U.S. Treasury securities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729,507</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147,532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(3,964)</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873,075</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19.7%</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40"/>
              <w:spacing w:after="0"/>
              <w:rPr>
                <w:sz w:val="20"/>
                <w:szCs w:val="20"/>
                <w:color w:val="auto"/>
              </w:rPr>
            </w:pPr>
            <w:r>
              <w:rPr>
                <w:rFonts w:ascii="Arial" w:cs="Arial" w:eastAsia="Arial" w:hAnsi="Arial"/>
                <w:sz w:val="17"/>
                <w:szCs w:val="17"/>
                <w:color w:val="auto"/>
              </w:rPr>
              <w:t>Political subdivisions of States,</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tcPr>
          <w:p>
            <w:pPr>
              <w:ind w:left="40"/>
              <w:spacing w:after="0"/>
              <w:rPr>
                <w:sz w:val="20"/>
                <w:szCs w:val="20"/>
                <w:color w:val="auto"/>
              </w:rPr>
            </w:pPr>
            <w:r>
              <w:rPr>
                <w:rFonts w:ascii="Arial" w:cs="Arial" w:eastAsia="Arial" w:hAnsi="Arial"/>
                <w:sz w:val="17"/>
                <w:szCs w:val="17"/>
                <w:color w:val="auto"/>
              </w:rPr>
              <w:t>Territories and Possessions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998,803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33,862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1,032,665</w:t>
            </w:r>
          </w:p>
        </w:tc>
        <w:tc>
          <w:tcPr>
            <w:tcW w:w="1020" w:type="dxa"/>
            <w:vAlign w:val="bottom"/>
          </w:tcPr>
          <w:p>
            <w:pPr>
              <w:jc w:val="right"/>
              <w:spacing w:after="0"/>
              <w:rPr>
                <w:sz w:val="20"/>
                <w:szCs w:val="20"/>
                <w:color w:val="auto"/>
              </w:rPr>
            </w:pPr>
            <w:r>
              <w:rPr>
                <w:rFonts w:ascii="Arial" w:cs="Arial" w:eastAsia="Arial" w:hAnsi="Arial"/>
                <w:sz w:val="17"/>
                <w:szCs w:val="17"/>
                <w:color w:val="auto"/>
              </w:rPr>
              <w:t>23.3%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tcPr>
          <w:p>
            <w:pPr>
              <w:ind w:left="40"/>
              <w:spacing w:after="0"/>
              <w:rPr>
                <w:sz w:val="20"/>
                <w:szCs w:val="20"/>
                <w:color w:val="auto"/>
              </w:rPr>
            </w:pPr>
            <w:r>
              <w:rPr>
                <w:rFonts w:ascii="Arial" w:cs="Arial" w:eastAsia="Arial" w:hAnsi="Arial"/>
                <w:sz w:val="17"/>
                <w:szCs w:val="17"/>
                <w:color w:val="auto"/>
              </w:rPr>
              <w:t>Corporate and other bonds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8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Industrial and miscellaneous</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2,494,545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38,461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(1,425)</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(10,905)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2,520,676</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580" w:type="dxa"/>
            <w:vAlign w:val="bottom"/>
            <w:shd w:val="clear" w:color="auto" w:fill="CCEEFF"/>
          </w:tcPr>
          <w:p>
            <w:pPr>
              <w:ind w:left="40"/>
              <w:spacing w:after="0"/>
              <w:rPr>
                <w:sz w:val="20"/>
                <w:szCs w:val="20"/>
                <w:color w:val="auto"/>
              </w:rPr>
            </w:pPr>
            <w:r>
              <w:rPr>
                <w:rFonts w:ascii="Arial" w:cs="Arial" w:eastAsia="Arial" w:hAnsi="Arial"/>
                <w:sz w:val="17"/>
                <w:szCs w:val="17"/>
                <w:color w:val="auto"/>
              </w:rPr>
              <w:t>Total</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4,222,855</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219,855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(5,389)</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(10,905)</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4,426,416</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619"/>
        </w:trPr>
        <w:tc>
          <w:tcPr>
            <w:tcW w:w="45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7"/>
                <w:szCs w:val="17"/>
                <w:color w:val="auto"/>
                <w:w w:val="84"/>
              </w:rPr>
              <w:t>66</w:t>
            </w:r>
          </w:p>
        </w:tc>
        <w:tc>
          <w:tcPr>
            <w:tcW w:w="10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50" w:right="199" w:bottom="1440" w:gutter="0" w:footer="0" w:header="0"/>
        </w:sectPr>
      </w:pPr>
    </w:p>
    <w:bookmarkStart w:id="69" w:name="page70"/>
    <w:bookmarkEnd w:id="69"/>
    <w:p>
      <w:pPr>
        <w:spacing w:after="0"/>
        <w:rPr>
          <w:sz w:val="20"/>
          <w:szCs w:val="20"/>
          <w:color w:val="auto"/>
        </w:rPr>
      </w:pPr>
      <w:r>
        <w:rPr>
          <w:rFonts w:ascii="Arial" w:cs="Arial" w:eastAsia="Arial" w:hAnsi="Arial"/>
          <w:sz w:val="17"/>
          <w:szCs w:val="17"/>
          <w:color w:val="auto"/>
        </w:rPr>
        <w:t>Held-to-maturity U.S. Treasury securities are held in trust pursuant to various states’ minimum fund requirements.</w:t>
      </w:r>
    </w:p>
    <w:p>
      <w:pPr>
        <w:spacing w:after="0" w:line="223"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color w:val="auto"/>
        </w:rPr>
        <w:t>A summary of the amortized cost and fair value of our investments in held-to-maturity securities by contractual maturity as of June 30, 2019 and December 31, 2018 is shown below:</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 2019</w:t>
            </w: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40" w:type="dxa"/>
            <w:vAlign w:val="bottom"/>
            <w:gridSpan w:val="5"/>
          </w:tcPr>
          <w:p>
            <w:pPr>
              <w:ind w:left="420"/>
              <w:spacing w:after="0"/>
              <w:rPr>
                <w:sz w:val="20"/>
                <w:szCs w:val="20"/>
                <w:color w:val="auto"/>
              </w:rPr>
            </w:pPr>
            <w:r>
              <w:rPr>
                <w:rFonts w:ascii="Arial" w:cs="Arial" w:eastAsia="Arial" w:hAnsi="Arial"/>
                <w:sz w:val="14"/>
                <w:szCs w:val="14"/>
                <w:b w:val="1"/>
                <w:bCs w:val="1"/>
                <w:color w:val="auto"/>
              </w:rPr>
              <w:t>December 31, 2018</w:t>
            </w:r>
          </w:p>
        </w:tc>
      </w:tr>
      <w:tr>
        <w:trPr>
          <w:trHeight w:val="144"/>
        </w:trPr>
        <w:tc>
          <w:tcPr>
            <w:tcW w:w="5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140"/>
              <w:spacing w:after="0" w:line="144" w:lineRule="exact"/>
              <w:rPr>
                <w:sz w:val="20"/>
                <w:szCs w:val="20"/>
                <w:color w:val="auto"/>
              </w:rPr>
            </w:pPr>
            <w:r>
              <w:rPr>
                <w:rFonts w:ascii="Arial" w:cs="Arial" w:eastAsia="Arial" w:hAnsi="Arial"/>
                <w:sz w:val="14"/>
                <w:szCs w:val="14"/>
                <w:b w:val="1"/>
                <w:bCs w:val="1"/>
                <w:color w:val="auto"/>
              </w:rPr>
              <w:t>Amortized</w:t>
            </w: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159"/>
              <w:spacing w:after="0" w:line="144" w:lineRule="exact"/>
              <w:rPr>
                <w:sz w:val="20"/>
                <w:szCs w:val="20"/>
                <w:color w:val="auto"/>
              </w:rPr>
            </w:pPr>
            <w:r>
              <w:rPr>
                <w:rFonts w:ascii="Arial" w:cs="Arial" w:eastAsia="Arial" w:hAnsi="Arial"/>
                <w:sz w:val="14"/>
                <w:szCs w:val="14"/>
                <w:b w:val="1"/>
                <w:bCs w:val="1"/>
                <w:color w:val="auto"/>
                <w:w w:val="95"/>
              </w:rPr>
              <w:t>Estimated</w:t>
            </w:r>
          </w:p>
        </w:tc>
        <w:tc>
          <w:tcPr>
            <w:tcW w:w="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160"/>
              <w:spacing w:after="0" w:line="144" w:lineRule="exact"/>
              <w:rPr>
                <w:sz w:val="20"/>
                <w:szCs w:val="20"/>
                <w:color w:val="auto"/>
              </w:rPr>
            </w:pPr>
            <w:r>
              <w:rPr>
                <w:rFonts w:ascii="Arial" w:cs="Arial" w:eastAsia="Arial" w:hAnsi="Arial"/>
                <w:sz w:val="14"/>
                <w:szCs w:val="14"/>
                <w:b w:val="1"/>
                <w:bCs w:val="1"/>
                <w:color w:val="auto"/>
              </w:rPr>
              <w:t>Amortized</w:t>
            </w: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159"/>
              <w:spacing w:after="0" w:line="144" w:lineRule="exact"/>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12"/>
                <w:szCs w:val="12"/>
                <w:color w:val="auto"/>
              </w:rPr>
            </w:pPr>
          </w:p>
        </w:tc>
      </w:tr>
      <w:tr>
        <w:trPr>
          <w:trHeight w:val="177"/>
        </w:trPr>
        <w:tc>
          <w:tcPr>
            <w:tcW w:w="5940" w:type="dxa"/>
            <w:vAlign w:val="bottom"/>
          </w:tcPr>
          <w:p>
            <w:pPr>
              <w:ind w:left="40"/>
              <w:spacing w:after="0"/>
              <w:rPr>
                <w:sz w:val="20"/>
                <w:szCs w:val="20"/>
                <w:color w:val="auto"/>
              </w:rPr>
            </w:pPr>
            <w:r>
              <w:rPr>
                <w:rFonts w:ascii="Arial" w:cs="Arial" w:eastAsia="Arial" w:hAnsi="Arial"/>
                <w:sz w:val="14"/>
                <w:szCs w:val="14"/>
                <w:b w:val="1"/>
                <w:bCs w:val="1"/>
                <w:color w:val="auto"/>
              </w:rPr>
              <w:t>Remaining Time to Maturity</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340"/>
              <w:spacing w:after="0"/>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179"/>
              <w:spacing w:after="0"/>
              <w:rPr>
                <w:sz w:val="20"/>
                <w:szCs w:val="20"/>
                <w:color w:val="auto"/>
              </w:rPr>
            </w:pPr>
            <w:r>
              <w:rPr>
                <w:rFonts w:ascii="Arial" w:cs="Arial" w:eastAsia="Arial" w:hAnsi="Arial"/>
                <w:sz w:val="14"/>
                <w:szCs w:val="14"/>
                <w:b w:val="1"/>
                <w:bCs w:val="1"/>
                <w:color w:val="auto"/>
                <w:w w:val="92"/>
              </w:rPr>
              <w:t>Fair Value</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360"/>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Fair Value</w:t>
            </w:r>
          </w:p>
        </w:tc>
      </w:tr>
      <w:tr>
        <w:trPr>
          <w:trHeight w:val="235"/>
        </w:trPr>
        <w:tc>
          <w:tcPr>
            <w:tcW w:w="59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5940" w:type="dxa"/>
            <w:vAlign w:val="bottom"/>
            <w:shd w:val="clear" w:color="auto" w:fill="CCEEFF"/>
          </w:tcPr>
          <w:p>
            <w:pPr>
              <w:ind w:left="40"/>
              <w:spacing w:after="0"/>
              <w:rPr>
                <w:sz w:val="20"/>
                <w:szCs w:val="20"/>
                <w:color w:val="auto"/>
              </w:rPr>
            </w:pPr>
            <w:r>
              <w:rPr>
                <w:rFonts w:ascii="Arial" w:cs="Arial" w:eastAsia="Arial" w:hAnsi="Arial"/>
                <w:sz w:val="17"/>
                <w:szCs w:val="17"/>
                <w:color w:val="auto"/>
              </w:rPr>
              <w:t>Less than one year</w:t>
            </w:r>
          </w:p>
        </w:tc>
        <w:tc>
          <w:tcPr>
            <w:tcW w:w="300" w:type="dxa"/>
            <w:vAlign w:val="bottom"/>
            <w:gridSpan w:val="2"/>
            <w:shd w:val="clear" w:color="auto" w:fill="CCEEFF"/>
          </w:tcPr>
          <w:p>
            <w:pPr>
              <w:jc w:val="right"/>
              <w:ind w:right="6"/>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r>
      <w:tr>
        <w:trPr>
          <w:trHeight w:val="209"/>
        </w:trPr>
        <w:tc>
          <w:tcPr>
            <w:tcW w:w="5940" w:type="dxa"/>
            <w:vAlign w:val="bottom"/>
          </w:tcPr>
          <w:p>
            <w:pPr>
              <w:ind w:left="40"/>
              <w:spacing w:after="0"/>
              <w:rPr>
                <w:sz w:val="20"/>
                <w:szCs w:val="20"/>
                <w:color w:val="auto"/>
              </w:rPr>
            </w:pPr>
            <w:r>
              <w:rPr>
                <w:rFonts w:ascii="Arial" w:cs="Arial" w:eastAsia="Arial" w:hAnsi="Arial"/>
                <w:sz w:val="17"/>
                <w:szCs w:val="17"/>
                <w:color w:val="auto"/>
              </w:rPr>
              <w:t>One to five years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2,598,323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2,705,549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2,996,685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3,036,531</w:t>
            </w:r>
          </w:p>
        </w:tc>
        <w:tc>
          <w:tcPr>
            <w:tcW w:w="120" w:type="dxa"/>
            <w:vAlign w:val="bottom"/>
          </w:tcPr>
          <w:p>
            <w:pPr>
              <w:spacing w:after="0"/>
              <w:rPr>
                <w:sz w:val="18"/>
                <w:szCs w:val="18"/>
                <w:color w:val="auto"/>
              </w:rPr>
            </w:pPr>
          </w:p>
        </w:tc>
      </w:tr>
      <w:tr>
        <w:trPr>
          <w:trHeight w:val="209"/>
        </w:trPr>
        <w:tc>
          <w:tcPr>
            <w:tcW w:w="5940" w:type="dxa"/>
            <w:vAlign w:val="bottom"/>
            <w:shd w:val="clear" w:color="auto" w:fill="CCEEFF"/>
          </w:tcPr>
          <w:p>
            <w:pPr>
              <w:ind w:left="40"/>
              <w:spacing w:after="0"/>
              <w:rPr>
                <w:sz w:val="20"/>
                <w:szCs w:val="20"/>
                <w:color w:val="auto"/>
              </w:rPr>
            </w:pPr>
            <w:r>
              <w:rPr>
                <w:rFonts w:ascii="Arial" w:cs="Arial" w:eastAsia="Arial" w:hAnsi="Arial"/>
                <w:sz w:val="17"/>
                <w:szCs w:val="17"/>
                <w:color w:val="auto"/>
              </w:rPr>
              <w:t>Five to ten years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619,780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654,484</w:t>
            </w: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619,663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635,846</w:t>
            </w:r>
          </w:p>
        </w:tc>
        <w:tc>
          <w:tcPr>
            <w:tcW w:w="120" w:type="dxa"/>
            <w:vAlign w:val="bottom"/>
            <w:shd w:val="clear" w:color="auto" w:fill="CCEEFF"/>
          </w:tcPr>
          <w:p>
            <w:pPr>
              <w:spacing w:after="0"/>
              <w:rPr>
                <w:sz w:val="18"/>
                <w:szCs w:val="18"/>
                <w:color w:val="auto"/>
              </w:rPr>
            </w:pPr>
          </w:p>
        </w:tc>
      </w:tr>
      <w:tr>
        <w:trPr>
          <w:trHeight w:val="215"/>
        </w:trPr>
        <w:tc>
          <w:tcPr>
            <w:tcW w:w="5940" w:type="dxa"/>
            <w:vAlign w:val="bottom"/>
          </w:tcPr>
          <w:p>
            <w:pPr>
              <w:ind w:left="40"/>
              <w:spacing w:after="0"/>
              <w:rPr>
                <w:sz w:val="20"/>
                <w:szCs w:val="20"/>
                <w:color w:val="auto"/>
              </w:rPr>
            </w:pPr>
            <w:r>
              <w:rPr>
                <w:rFonts w:ascii="Arial" w:cs="Arial" w:eastAsia="Arial" w:hAnsi="Arial"/>
                <w:sz w:val="17"/>
                <w:szCs w:val="17"/>
                <w:color w:val="auto"/>
              </w:rPr>
              <w:t>More than 10 years</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606,517</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754,039</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606,507</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754,039</w:t>
            </w:r>
          </w:p>
        </w:tc>
        <w:tc>
          <w:tcPr>
            <w:tcW w:w="120" w:type="dxa"/>
            <w:vAlign w:val="bottom"/>
          </w:tcPr>
          <w:p>
            <w:pPr>
              <w:spacing w:after="0"/>
              <w:rPr>
                <w:sz w:val="18"/>
                <w:szCs w:val="18"/>
                <w:color w:val="auto"/>
              </w:rPr>
            </w:pPr>
          </w:p>
        </w:tc>
      </w:tr>
      <w:tr>
        <w:trPr>
          <w:trHeight w:val="229"/>
        </w:trPr>
        <w:tc>
          <w:tcPr>
            <w:tcW w:w="5940" w:type="dxa"/>
            <w:vAlign w:val="bottom"/>
            <w:shd w:val="clear" w:color="auto" w:fill="CCEEFF"/>
          </w:tcPr>
          <w:p>
            <w:pPr>
              <w:ind w:left="40"/>
              <w:spacing w:after="0"/>
              <w:rPr>
                <w:sz w:val="20"/>
                <w:szCs w:val="20"/>
                <w:color w:val="auto"/>
              </w:rPr>
            </w:pPr>
            <w:r>
              <w:rPr>
                <w:rFonts w:ascii="Arial" w:cs="Arial" w:eastAsia="Arial" w:hAnsi="Arial"/>
                <w:sz w:val="17"/>
                <w:szCs w:val="17"/>
                <w:color w:val="auto"/>
              </w:rPr>
              <w:t>Total</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3,824,620</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4,114,072</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4,222,855</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4,426,416</w:t>
            </w:r>
          </w:p>
        </w:tc>
        <w:tc>
          <w:tcPr>
            <w:tcW w:w="120" w:type="dxa"/>
            <w:vAlign w:val="bottom"/>
            <w:shd w:val="clear" w:color="auto" w:fill="CCEEFF"/>
          </w:tcPr>
          <w:p>
            <w:pPr>
              <w:spacing w:after="0"/>
              <w:rPr>
                <w:sz w:val="19"/>
                <w:szCs w:val="19"/>
                <w:color w:val="auto"/>
              </w:rPr>
            </w:pP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Credit Rating of Fixed-Maturity Securities</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table below summarizes the credit quality of our available-for-sale fixed-maturity securities as of June 30, 2019 and December 31, 2018 as rated by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Standard &amp; Poor’s (or, if unavailable from Standard &amp; Poor’s, then Moody’s or Fitch):</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5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June 30, 2019</w:t>
            </w:r>
          </w:p>
        </w:tc>
        <w:tc>
          <w:tcPr>
            <w:tcW w:w="240" w:type="dxa"/>
            <w:vAlign w:val="bottom"/>
          </w:tcPr>
          <w:p>
            <w:pPr>
              <w:spacing w:after="0"/>
              <w:rPr>
                <w:sz w:val="15"/>
                <w:szCs w:val="15"/>
                <w:color w:val="auto"/>
              </w:rPr>
            </w:pPr>
          </w:p>
        </w:tc>
        <w:tc>
          <w:tcPr>
            <w:tcW w:w="204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December 31, 2018</w:t>
            </w:r>
          </w:p>
        </w:tc>
        <w:tc>
          <w:tcPr>
            <w:tcW w:w="160" w:type="dxa"/>
            <w:vAlign w:val="bottom"/>
            <w:gridSpan w:val="2"/>
          </w:tcPr>
          <w:p>
            <w:pPr>
              <w:spacing w:after="0"/>
              <w:rPr>
                <w:sz w:val="15"/>
                <w:szCs w:val="15"/>
                <w:color w:val="auto"/>
              </w:rPr>
            </w:pPr>
          </w:p>
        </w:tc>
      </w:tr>
      <w:tr>
        <w:trPr>
          <w:trHeight w:val="225"/>
        </w:trPr>
        <w:tc>
          <w:tcPr>
            <w:tcW w:w="45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Estimated</w:t>
            </w: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Percentage of</w:t>
            </w: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Estimated</w:t>
            </w: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Percentage of</w:t>
            </w:r>
          </w:p>
        </w:tc>
      </w:tr>
      <w:tr>
        <w:trPr>
          <w:trHeight w:val="209"/>
        </w:trPr>
        <w:tc>
          <w:tcPr>
            <w:tcW w:w="45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Fair Market</w:t>
            </w: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Fair Market</w:t>
            </w: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Fair Market</w:t>
            </w:r>
          </w:p>
        </w:tc>
        <w:tc>
          <w:tcPr>
            <w:tcW w:w="10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Fair Market</w:t>
            </w:r>
          </w:p>
        </w:tc>
      </w:tr>
      <w:tr>
        <w:trPr>
          <w:trHeight w:val="200"/>
        </w:trPr>
        <w:tc>
          <w:tcPr>
            <w:tcW w:w="45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Value</w:t>
            </w:r>
          </w:p>
        </w:tc>
      </w:tr>
      <w:tr>
        <w:trPr>
          <w:trHeight w:val="470"/>
        </w:trPr>
        <w:tc>
          <w:tcPr>
            <w:tcW w:w="4540" w:type="dxa"/>
            <w:vAlign w:val="bottom"/>
          </w:tcPr>
          <w:p>
            <w:pPr>
              <w:spacing w:after="0"/>
              <w:rPr>
                <w:sz w:val="20"/>
                <w:szCs w:val="20"/>
                <w:color w:val="auto"/>
              </w:rPr>
            </w:pPr>
            <w:r>
              <w:rPr>
                <w:rFonts w:ascii="Arial" w:cs="Arial" w:eastAsia="Arial" w:hAnsi="Arial"/>
                <w:sz w:val="17"/>
                <w:szCs w:val="17"/>
                <w:b w:val="1"/>
                <w:bCs w:val="1"/>
                <w:color w:val="auto"/>
              </w:rPr>
              <w:t>Rating</w:t>
            </w:r>
          </w:p>
        </w:tc>
        <w:tc>
          <w:tcPr>
            <w:tcW w:w="24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3"/>
        </w:trPr>
        <w:tc>
          <w:tcPr>
            <w:tcW w:w="4540" w:type="dxa"/>
            <w:vAlign w:val="bottom"/>
            <w:shd w:val="clear" w:color="auto" w:fill="CCEEFF"/>
          </w:tcPr>
          <w:p>
            <w:pPr>
              <w:spacing w:after="0"/>
              <w:rPr>
                <w:sz w:val="20"/>
                <w:szCs w:val="20"/>
                <w:color w:val="auto"/>
              </w:rPr>
            </w:pPr>
            <w:r>
              <w:rPr>
                <w:rFonts w:ascii="Arial" w:cs="Arial" w:eastAsia="Arial" w:hAnsi="Arial"/>
                <w:sz w:val="17"/>
                <w:szCs w:val="17"/>
                <w:color w:val="auto"/>
              </w:rPr>
              <w:t>U.S. Treasury securities</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8,377,087</w:t>
            </w:r>
          </w:p>
        </w:tc>
        <w:tc>
          <w:tcPr>
            <w:tcW w:w="11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5.1%</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5"/>
              </w:rPr>
              <w:t>$  8,220,381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40" w:type="dxa"/>
            <w:vAlign w:val="bottom"/>
          </w:tcPr>
          <w:p>
            <w:pPr>
              <w:spacing w:after="0"/>
              <w:rPr>
                <w:sz w:val="21"/>
                <w:szCs w:val="21"/>
                <w:color w:val="auto"/>
              </w:rPr>
            </w:pPr>
          </w:p>
        </w:tc>
      </w:tr>
      <w:tr>
        <w:trPr>
          <w:trHeight w:val="235"/>
        </w:trPr>
        <w:tc>
          <w:tcPr>
            <w:tcW w:w="4540" w:type="dxa"/>
            <w:vAlign w:val="bottom"/>
            <w:tcBorders>
              <w:top w:val="single" w:sz="8" w:color="CCEEFF"/>
            </w:tcBorders>
          </w:tcPr>
          <w:p>
            <w:pPr>
              <w:spacing w:after="0"/>
              <w:rPr>
                <w:sz w:val="20"/>
                <w:szCs w:val="20"/>
                <w:color w:val="auto"/>
              </w:rPr>
            </w:pPr>
          </w:p>
        </w:tc>
        <w:tc>
          <w:tcPr>
            <w:tcW w:w="2440" w:type="dxa"/>
            <w:vAlign w:val="bottom"/>
            <w:tcBorders>
              <w:top w:val="single" w:sz="8" w:color="CCEEFF"/>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40" w:type="dxa"/>
            <w:vAlign w:val="bottom"/>
            <w:tcBorders>
              <w:top w:val="single" w:sz="8" w:color="CCEEFF"/>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40" w:type="dxa"/>
            <w:vAlign w:val="bottom"/>
            <w:tcBorders>
              <w:top w:val="single" w:sz="8" w:color="CCEEFF"/>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40" w:type="dxa"/>
            <w:vAlign w:val="bottom"/>
          </w:tcPr>
          <w:p>
            <w:pPr>
              <w:spacing w:after="0"/>
              <w:rPr>
                <w:sz w:val="20"/>
                <w:szCs w:val="20"/>
                <w:color w:val="auto"/>
              </w:rPr>
            </w:pPr>
          </w:p>
        </w:tc>
      </w:tr>
      <w:tr>
        <w:trPr>
          <w:trHeight w:val="235"/>
        </w:trPr>
        <w:tc>
          <w:tcPr>
            <w:tcW w:w="4540" w:type="dxa"/>
            <w:vAlign w:val="bottom"/>
            <w:shd w:val="clear" w:color="auto" w:fill="CCEEFF"/>
          </w:tcPr>
          <w:p>
            <w:pPr>
              <w:spacing w:after="0"/>
              <w:rPr>
                <w:sz w:val="20"/>
                <w:szCs w:val="20"/>
                <w:color w:val="auto"/>
              </w:rPr>
            </w:pPr>
            <w:r>
              <w:rPr>
                <w:rFonts w:ascii="Arial" w:cs="Arial" w:eastAsia="Arial" w:hAnsi="Arial"/>
                <w:sz w:val="17"/>
                <w:szCs w:val="17"/>
                <w:color w:val="auto"/>
              </w:rPr>
              <w:t>Corporate and municipal bonds</w:t>
            </w:r>
          </w:p>
        </w:tc>
        <w:tc>
          <w:tcPr>
            <w:tcW w:w="2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34"/>
        </w:trPr>
        <w:tc>
          <w:tcPr>
            <w:tcW w:w="4540" w:type="dxa"/>
            <w:vAlign w:val="bottom"/>
          </w:tcPr>
          <w:p>
            <w:pPr>
              <w:ind w:left="320"/>
              <w:spacing w:after="0"/>
              <w:rPr>
                <w:sz w:val="20"/>
                <w:szCs w:val="20"/>
                <w:color w:val="auto"/>
              </w:rPr>
            </w:pPr>
            <w:r>
              <w:rPr>
                <w:rFonts w:ascii="Arial" w:cs="Arial" w:eastAsia="Arial" w:hAnsi="Arial"/>
                <w:sz w:val="17"/>
                <w:szCs w:val="17"/>
                <w:color w:val="auto"/>
              </w:rPr>
              <w:t>AAA</w:t>
            </w:r>
          </w:p>
        </w:tc>
        <w:tc>
          <w:tcPr>
            <w:tcW w:w="2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979,910</w:t>
            </w: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0.6%</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979,123</w:t>
            </w:r>
          </w:p>
        </w:tc>
        <w:tc>
          <w:tcPr>
            <w:tcW w:w="1060" w:type="dxa"/>
            <w:vAlign w:val="bottom"/>
            <w:gridSpan w:val="3"/>
          </w:tcPr>
          <w:p>
            <w:pPr>
              <w:jc w:val="right"/>
              <w:spacing w:after="0"/>
              <w:rPr>
                <w:sz w:val="20"/>
                <w:szCs w:val="20"/>
                <w:color w:val="auto"/>
              </w:rPr>
            </w:pPr>
            <w:r>
              <w:rPr>
                <w:rFonts w:ascii="Arial" w:cs="Arial" w:eastAsia="Arial" w:hAnsi="Arial"/>
                <w:sz w:val="17"/>
                <w:szCs w:val="17"/>
                <w:color w:val="auto"/>
              </w:rPr>
              <w:t>0.6%</w:t>
            </w:r>
          </w:p>
        </w:tc>
      </w:tr>
      <w:tr>
        <w:trPr>
          <w:trHeight w:val="237"/>
        </w:trPr>
        <w:tc>
          <w:tcPr>
            <w:tcW w:w="4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AA</w:t>
            </w:r>
          </w:p>
        </w:tc>
        <w:tc>
          <w:tcPr>
            <w:tcW w:w="2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7,912,126</w:t>
            </w:r>
          </w:p>
        </w:tc>
        <w:tc>
          <w:tcPr>
            <w:tcW w:w="11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4.8%</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8,350,910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40" w:type="dxa"/>
            <w:vAlign w:val="bottom"/>
          </w:tcPr>
          <w:p>
            <w:pPr>
              <w:spacing w:after="0"/>
              <w:rPr>
                <w:sz w:val="20"/>
                <w:szCs w:val="20"/>
                <w:color w:val="auto"/>
              </w:rPr>
            </w:pPr>
          </w:p>
        </w:tc>
      </w:tr>
      <w:tr>
        <w:trPr>
          <w:trHeight w:val="234"/>
        </w:trPr>
        <w:tc>
          <w:tcPr>
            <w:tcW w:w="4540" w:type="dxa"/>
            <w:vAlign w:val="bottom"/>
          </w:tcPr>
          <w:p>
            <w:pPr>
              <w:ind w:left="260"/>
              <w:spacing w:after="0"/>
              <w:rPr>
                <w:sz w:val="20"/>
                <w:szCs w:val="20"/>
                <w:color w:val="auto"/>
              </w:rPr>
            </w:pPr>
            <w:r>
              <w:rPr>
                <w:rFonts w:ascii="Arial" w:cs="Arial" w:eastAsia="Arial" w:hAnsi="Arial"/>
                <w:sz w:val="17"/>
                <w:szCs w:val="17"/>
                <w:color w:val="auto"/>
              </w:rPr>
              <w:t>A</w:t>
            </w:r>
          </w:p>
        </w:tc>
        <w:tc>
          <w:tcPr>
            <w:tcW w:w="2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w w:val="96"/>
              </w:rPr>
              <w:t>36,974,182</w:t>
            </w: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22.5%</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27,665,961</w:t>
            </w:r>
          </w:p>
        </w:tc>
        <w:tc>
          <w:tcPr>
            <w:tcW w:w="1060" w:type="dxa"/>
            <w:vAlign w:val="bottom"/>
            <w:gridSpan w:val="3"/>
          </w:tcPr>
          <w:p>
            <w:pPr>
              <w:jc w:val="right"/>
              <w:spacing w:after="0"/>
              <w:rPr>
                <w:sz w:val="20"/>
                <w:szCs w:val="20"/>
                <w:color w:val="auto"/>
              </w:rPr>
            </w:pPr>
            <w:r>
              <w:rPr>
                <w:rFonts w:ascii="Arial" w:cs="Arial" w:eastAsia="Arial" w:hAnsi="Arial"/>
                <w:sz w:val="17"/>
                <w:szCs w:val="17"/>
                <w:color w:val="auto"/>
              </w:rPr>
              <w:t>18.2%</w:t>
            </w:r>
          </w:p>
        </w:tc>
      </w:tr>
      <w:tr>
        <w:trPr>
          <w:trHeight w:val="235"/>
        </w:trPr>
        <w:tc>
          <w:tcPr>
            <w:tcW w:w="4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BBB</w:t>
            </w:r>
          </w:p>
        </w:tc>
        <w:tc>
          <w:tcPr>
            <w:tcW w:w="2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90,080,386</w:t>
            </w:r>
          </w:p>
        </w:tc>
        <w:tc>
          <w:tcPr>
            <w:tcW w:w="22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54.8%</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85,095,907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56.1%</w:t>
            </w:r>
          </w:p>
        </w:tc>
        <w:tc>
          <w:tcPr>
            <w:tcW w:w="40" w:type="dxa"/>
            <w:vAlign w:val="bottom"/>
          </w:tcPr>
          <w:p>
            <w:pPr>
              <w:spacing w:after="0"/>
              <w:rPr>
                <w:sz w:val="20"/>
                <w:szCs w:val="20"/>
                <w:color w:val="auto"/>
              </w:rPr>
            </w:pPr>
          </w:p>
        </w:tc>
      </w:tr>
      <w:tr>
        <w:trPr>
          <w:trHeight w:val="27"/>
        </w:trPr>
        <w:tc>
          <w:tcPr>
            <w:tcW w:w="454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tcPr>
          <w:p>
            <w:pPr>
              <w:spacing w:after="0"/>
              <w:rPr>
                <w:sz w:val="2"/>
                <w:szCs w:val="2"/>
                <w:color w:val="auto"/>
              </w:rPr>
            </w:pPr>
          </w:p>
        </w:tc>
      </w:tr>
      <w:tr>
        <w:trPr>
          <w:trHeight w:val="242"/>
        </w:trPr>
        <w:tc>
          <w:tcPr>
            <w:tcW w:w="4540" w:type="dxa"/>
            <w:vAlign w:val="bottom"/>
          </w:tcPr>
          <w:p>
            <w:pPr>
              <w:ind w:left="480"/>
              <w:spacing w:after="0"/>
              <w:rPr>
                <w:sz w:val="20"/>
                <w:szCs w:val="20"/>
                <w:color w:val="auto"/>
              </w:rPr>
            </w:pPr>
            <w:r>
              <w:rPr>
                <w:rFonts w:ascii="Arial" w:cs="Arial" w:eastAsia="Arial" w:hAnsi="Arial"/>
                <w:sz w:val="17"/>
                <w:szCs w:val="17"/>
                <w:color w:val="auto"/>
              </w:rPr>
              <w:t>Total corporate and municipal bonds</w:t>
            </w:r>
          </w:p>
        </w:tc>
        <w:tc>
          <w:tcPr>
            <w:tcW w:w="244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w w:val="95"/>
              </w:rPr>
              <w:t>135,946,604</w:t>
            </w:r>
          </w:p>
        </w:tc>
        <w:tc>
          <w:tcPr>
            <w:tcW w:w="22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82.7%</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w w:val="95"/>
              </w:rPr>
              <w:t>122,091,901</w:t>
            </w:r>
          </w:p>
        </w:tc>
        <w:tc>
          <w:tcPr>
            <w:tcW w:w="1060" w:type="dxa"/>
            <w:vAlign w:val="bottom"/>
            <w:gridSpan w:val="3"/>
          </w:tcPr>
          <w:p>
            <w:pPr>
              <w:jc w:val="right"/>
              <w:spacing w:after="0"/>
              <w:rPr>
                <w:sz w:val="20"/>
                <w:szCs w:val="20"/>
                <w:color w:val="auto"/>
              </w:rPr>
            </w:pPr>
            <w:r>
              <w:rPr>
                <w:rFonts w:ascii="Arial" w:cs="Arial" w:eastAsia="Arial" w:hAnsi="Arial"/>
                <w:sz w:val="17"/>
                <w:szCs w:val="17"/>
                <w:color w:val="auto"/>
              </w:rPr>
              <w:t>80.4%</w:t>
            </w:r>
          </w:p>
        </w:tc>
      </w:tr>
      <w:tr>
        <w:trPr>
          <w:trHeight w:val="235"/>
        </w:trPr>
        <w:tc>
          <w:tcPr>
            <w:tcW w:w="4540" w:type="dxa"/>
            <w:vAlign w:val="bottom"/>
            <w:shd w:val="clear" w:color="auto" w:fill="CCEEFF"/>
          </w:tcPr>
          <w:p>
            <w:pPr>
              <w:spacing w:after="0"/>
              <w:rPr>
                <w:sz w:val="20"/>
                <w:szCs w:val="20"/>
                <w:color w:val="auto"/>
              </w:rPr>
            </w:pPr>
          </w:p>
        </w:tc>
        <w:tc>
          <w:tcPr>
            <w:tcW w:w="2440" w:type="dxa"/>
            <w:vAlign w:val="bottom"/>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34"/>
        </w:trPr>
        <w:tc>
          <w:tcPr>
            <w:tcW w:w="4540" w:type="dxa"/>
            <w:vAlign w:val="bottom"/>
          </w:tcPr>
          <w:p>
            <w:pPr>
              <w:spacing w:after="0"/>
              <w:rPr>
                <w:sz w:val="20"/>
                <w:szCs w:val="20"/>
                <w:color w:val="auto"/>
              </w:rPr>
            </w:pPr>
            <w:r>
              <w:rPr>
                <w:rFonts w:ascii="Arial" w:cs="Arial" w:eastAsia="Arial" w:hAnsi="Arial"/>
                <w:sz w:val="17"/>
                <w:szCs w:val="17"/>
                <w:color w:val="auto"/>
              </w:rPr>
              <w:t>Residential mortgage backed securities</w:t>
            </w:r>
          </w:p>
        </w:tc>
        <w:tc>
          <w:tcPr>
            <w:tcW w:w="2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7"/>
        </w:trPr>
        <w:tc>
          <w:tcPr>
            <w:tcW w:w="4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AAA</w:t>
            </w:r>
          </w:p>
        </w:tc>
        <w:tc>
          <w:tcPr>
            <w:tcW w:w="2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1,000,116</w:t>
            </w:r>
          </w:p>
        </w:tc>
        <w:tc>
          <w:tcPr>
            <w:tcW w:w="11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0.6%</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999,640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40" w:type="dxa"/>
            <w:vAlign w:val="bottom"/>
          </w:tcPr>
          <w:p>
            <w:pPr>
              <w:spacing w:after="0"/>
              <w:rPr>
                <w:sz w:val="20"/>
                <w:szCs w:val="20"/>
                <w:color w:val="auto"/>
              </w:rPr>
            </w:pPr>
          </w:p>
        </w:tc>
      </w:tr>
      <w:tr>
        <w:trPr>
          <w:trHeight w:val="234"/>
        </w:trPr>
        <w:tc>
          <w:tcPr>
            <w:tcW w:w="4540" w:type="dxa"/>
            <w:vAlign w:val="bottom"/>
          </w:tcPr>
          <w:p>
            <w:pPr>
              <w:ind w:left="320"/>
              <w:spacing w:after="0"/>
              <w:rPr>
                <w:sz w:val="20"/>
                <w:szCs w:val="20"/>
                <w:color w:val="auto"/>
              </w:rPr>
            </w:pPr>
            <w:r>
              <w:rPr>
                <w:rFonts w:ascii="Arial" w:cs="Arial" w:eastAsia="Arial" w:hAnsi="Arial"/>
                <w:sz w:val="17"/>
                <w:szCs w:val="17"/>
                <w:color w:val="auto"/>
              </w:rPr>
              <w:t>AA</w:t>
            </w:r>
          </w:p>
        </w:tc>
        <w:tc>
          <w:tcPr>
            <w:tcW w:w="2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w w:val="96"/>
              </w:rPr>
              <w:t>12,173,460</w:t>
            </w: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7.4%</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12,743,906</w:t>
            </w:r>
          </w:p>
        </w:tc>
        <w:tc>
          <w:tcPr>
            <w:tcW w:w="1060" w:type="dxa"/>
            <w:vAlign w:val="bottom"/>
            <w:gridSpan w:val="3"/>
          </w:tcPr>
          <w:p>
            <w:pPr>
              <w:jc w:val="right"/>
              <w:spacing w:after="0"/>
              <w:rPr>
                <w:sz w:val="20"/>
                <w:szCs w:val="20"/>
                <w:color w:val="auto"/>
              </w:rPr>
            </w:pPr>
            <w:r>
              <w:rPr>
                <w:rFonts w:ascii="Arial" w:cs="Arial" w:eastAsia="Arial" w:hAnsi="Arial"/>
                <w:sz w:val="17"/>
                <w:szCs w:val="17"/>
                <w:color w:val="auto"/>
              </w:rPr>
              <w:t>8.5%</w:t>
            </w:r>
          </w:p>
        </w:tc>
      </w:tr>
      <w:tr>
        <w:trPr>
          <w:trHeight w:val="237"/>
        </w:trPr>
        <w:tc>
          <w:tcPr>
            <w:tcW w:w="45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A</w:t>
            </w:r>
          </w:p>
        </w:tc>
        <w:tc>
          <w:tcPr>
            <w:tcW w:w="2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4,044,159</w:t>
            </w:r>
          </w:p>
        </w:tc>
        <w:tc>
          <w:tcPr>
            <w:tcW w:w="11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4,777,356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40" w:type="dxa"/>
            <w:vAlign w:val="bottom"/>
          </w:tcPr>
          <w:p>
            <w:pPr>
              <w:spacing w:after="0"/>
              <w:rPr>
                <w:sz w:val="20"/>
                <w:szCs w:val="20"/>
                <w:color w:val="auto"/>
              </w:rPr>
            </w:pPr>
          </w:p>
        </w:tc>
      </w:tr>
      <w:tr>
        <w:trPr>
          <w:trHeight w:val="234"/>
        </w:trPr>
        <w:tc>
          <w:tcPr>
            <w:tcW w:w="4540" w:type="dxa"/>
            <w:vAlign w:val="bottom"/>
          </w:tcPr>
          <w:p>
            <w:pPr>
              <w:ind w:left="320"/>
              <w:spacing w:after="0"/>
              <w:rPr>
                <w:sz w:val="20"/>
                <w:szCs w:val="20"/>
                <w:color w:val="auto"/>
              </w:rPr>
            </w:pPr>
            <w:r>
              <w:rPr>
                <w:rFonts w:ascii="Arial" w:cs="Arial" w:eastAsia="Arial" w:hAnsi="Arial"/>
                <w:sz w:val="17"/>
                <w:szCs w:val="17"/>
                <w:color w:val="auto"/>
              </w:rPr>
              <w:t>CCC</w:t>
            </w:r>
          </w:p>
        </w:tc>
        <w:tc>
          <w:tcPr>
            <w:tcW w:w="2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1,325,387</w:t>
            </w: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0.8%</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1,440,825</w:t>
            </w:r>
          </w:p>
        </w:tc>
        <w:tc>
          <w:tcPr>
            <w:tcW w:w="1060" w:type="dxa"/>
            <w:vAlign w:val="bottom"/>
            <w:gridSpan w:val="3"/>
          </w:tcPr>
          <w:p>
            <w:pPr>
              <w:jc w:val="right"/>
              <w:spacing w:after="0"/>
              <w:rPr>
                <w:sz w:val="20"/>
                <w:szCs w:val="20"/>
                <w:color w:val="auto"/>
              </w:rPr>
            </w:pPr>
            <w:r>
              <w:rPr>
                <w:rFonts w:ascii="Arial" w:cs="Arial" w:eastAsia="Arial" w:hAnsi="Arial"/>
                <w:sz w:val="17"/>
                <w:szCs w:val="17"/>
                <w:color w:val="auto"/>
              </w:rPr>
              <w:t>0.9%</w:t>
            </w:r>
          </w:p>
        </w:tc>
      </w:tr>
      <w:tr>
        <w:trPr>
          <w:trHeight w:val="237"/>
        </w:trPr>
        <w:tc>
          <w:tcPr>
            <w:tcW w:w="4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CC</w:t>
            </w:r>
          </w:p>
        </w:tc>
        <w:tc>
          <w:tcPr>
            <w:tcW w:w="2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96,433</w:t>
            </w:r>
          </w:p>
        </w:tc>
        <w:tc>
          <w:tcPr>
            <w:tcW w:w="11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0.1%</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109,648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40" w:type="dxa"/>
            <w:vAlign w:val="bottom"/>
          </w:tcPr>
          <w:p>
            <w:pPr>
              <w:spacing w:after="0"/>
              <w:rPr>
                <w:sz w:val="20"/>
                <w:szCs w:val="20"/>
                <w:color w:val="auto"/>
              </w:rPr>
            </w:pPr>
          </w:p>
        </w:tc>
      </w:tr>
      <w:tr>
        <w:trPr>
          <w:trHeight w:val="234"/>
        </w:trPr>
        <w:tc>
          <w:tcPr>
            <w:tcW w:w="4540" w:type="dxa"/>
            <w:vAlign w:val="bottom"/>
          </w:tcPr>
          <w:p>
            <w:pPr>
              <w:ind w:left="260"/>
              <w:spacing w:after="0"/>
              <w:rPr>
                <w:sz w:val="20"/>
                <w:szCs w:val="20"/>
                <w:color w:val="auto"/>
              </w:rPr>
            </w:pPr>
            <w:r>
              <w:rPr>
                <w:rFonts w:ascii="Arial" w:cs="Arial" w:eastAsia="Arial" w:hAnsi="Arial"/>
                <w:sz w:val="17"/>
                <w:szCs w:val="17"/>
                <w:color w:val="auto"/>
              </w:rPr>
              <w:t>C</w:t>
            </w:r>
          </w:p>
        </w:tc>
        <w:tc>
          <w:tcPr>
            <w:tcW w:w="2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22,077</w:t>
            </w: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0.0%</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24,050</w:t>
            </w:r>
          </w:p>
        </w:tc>
        <w:tc>
          <w:tcPr>
            <w:tcW w:w="1060" w:type="dxa"/>
            <w:vAlign w:val="bottom"/>
            <w:gridSpan w:val="3"/>
          </w:tcPr>
          <w:p>
            <w:pPr>
              <w:jc w:val="right"/>
              <w:spacing w:after="0"/>
              <w:rPr>
                <w:sz w:val="20"/>
                <w:szCs w:val="20"/>
                <w:color w:val="auto"/>
              </w:rPr>
            </w:pPr>
            <w:r>
              <w:rPr>
                <w:rFonts w:ascii="Arial" w:cs="Arial" w:eastAsia="Arial" w:hAnsi="Arial"/>
                <w:sz w:val="17"/>
                <w:szCs w:val="17"/>
                <w:color w:val="auto"/>
              </w:rPr>
              <w:t>0.0%</w:t>
            </w:r>
          </w:p>
        </w:tc>
      </w:tr>
      <w:tr>
        <w:trPr>
          <w:trHeight w:val="237"/>
        </w:trPr>
        <w:tc>
          <w:tcPr>
            <w:tcW w:w="45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D</w:t>
            </w:r>
          </w:p>
        </w:tc>
        <w:tc>
          <w:tcPr>
            <w:tcW w:w="2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358,341</w:t>
            </w:r>
          </w:p>
        </w:tc>
        <w:tc>
          <w:tcPr>
            <w:tcW w:w="11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0.2%</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390,542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40" w:type="dxa"/>
            <w:vAlign w:val="bottom"/>
          </w:tcPr>
          <w:p>
            <w:pPr>
              <w:spacing w:after="0"/>
              <w:rPr>
                <w:sz w:val="20"/>
                <w:szCs w:val="20"/>
                <w:color w:val="auto"/>
              </w:rPr>
            </w:pPr>
          </w:p>
        </w:tc>
      </w:tr>
      <w:tr>
        <w:trPr>
          <w:trHeight w:val="234"/>
        </w:trPr>
        <w:tc>
          <w:tcPr>
            <w:tcW w:w="4540" w:type="dxa"/>
            <w:vAlign w:val="bottom"/>
          </w:tcPr>
          <w:p>
            <w:pPr>
              <w:ind w:left="320"/>
              <w:spacing w:after="0"/>
              <w:rPr>
                <w:sz w:val="20"/>
                <w:szCs w:val="20"/>
                <w:color w:val="auto"/>
              </w:rPr>
            </w:pPr>
            <w:r>
              <w:rPr>
                <w:rFonts w:ascii="Arial" w:cs="Arial" w:eastAsia="Arial" w:hAnsi="Arial"/>
                <w:sz w:val="17"/>
                <w:szCs w:val="17"/>
                <w:color w:val="auto"/>
              </w:rPr>
              <w:t>Non rated</w:t>
            </w:r>
          </w:p>
        </w:tc>
        <w:tc>
          <w:tcPr>
            <w:tcW w:w="2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991,205</w:t>
            </w:r>
          </w:p>
        </w:tc>
        <w:tc>
          <w:tcPr>
            <w:tcW w:w="22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0.6%</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979,267</w:t>
            </w:r>
          </w:p>
        </w:tc>
        <w:tc>
          <w:tcPr>
            <w:tcW w:w="1060" w:type="dxa"/>
            <w:vAlign w:val="bottom"/>
            <w:gridSpan w:val="3"/>
          </w:tcPr>
          <w:p>
            <w:pPr>
              <w:jc w:val="right"/>
              <w:spacing w:after="0"/>
              <w:rPr>
                <w:sz w:val="20"/>
                <w:szCs w:val="20"/>
                <w:color w:val="auto"/>
              </w:rPr>
            </w:pPr>
            <w:r>
              <w:rPr>
                <w:rFonts w:ascii="Arial" w:cs="Arial" w:eastAsia="Arial" w:hAnsi="Arial"/>
                <w:sz w:val="17"/>
                <w:szCs w:val="17"/>
                <w:color w:val="auto"/>
              </w:rPr>
              <w:t>0.6%</w:t>
            </w:r>
          </w:p>
        </w:tc>
      </w:tr>
      <w:tr>
        <w:trPr>
          <w:trHeight w:val="27"/>
        </w:trPr>
        <w:tc>
          <w:tcPr>
            <w:tcW w:w="45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42"/>
        </w:trPr>
        <w:tc>
          <w:tcPr>
            <w:tcW w:w="4540" w:type="dxa"/>
            <w:vAlign w:val="bottom"/>
            <w:shd w:val="clear" w:color="auto" w:fill="CCEEFF"/>
          </w:tcPr>
          <w:p>
            <w:pPr>
              <w:ind w:left="480"/>
              <w:spacing w:after="0"/>
              <w:rPr>
                <w:sz w:val="20"/>
                <w:szCs w:val="20"/>
                <w:color w:val="auto"/>
              </w:rPr>
            </w:pPr>
            <w:r>
              <w:rPr>
                <w:rFonts w:ascii="Arial" w:cs="Arial" w:eastAsia="Arial" w:hAnsi="Arial"/>
                <w:sz w:val="17"/>
                <w:szCs w:val="17"/>
                <w:color w:val="auto"/>
              </w:rPr>
              <w:t>Total residential mortgage backed securities</w:t>
            </w:r>
          </w:p>
        </w:tc>
        <w:tc>
          <w:tcPr>
            <w:tcW w:w="2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20,011,178</w:t>
            </w:r>
          </w:p>
        </w:tc>
        <w:tc>
          <w:tcPr>
            <w:tcW w:w="220" w:type="dxa"/>
            <w:vAlign w:val="bottom"/>
            <w:shd w:val="clear" w:color="auto" w:fill="CCEEFF"/>
          </w:tcPr>
          <w:p>
            <w:pPr>
              <w:spacing w:after="0"/>
              <w:rPr>
                <w:sz w:val="21"/>
                <w:szCs w:val="21"/>
                <w:color w:val="auto"/>
              </w:rPr>
            </w:pPr>
          </w:p>
        </w:tc>
        <w:tc>
          <w:tcPr>
            <w:tcW w:w="11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12.2%</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21,465,234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40" w:type="dxa"/>
            <w:vAlign w:val="bottom"/>
          </w:tcPr>
          <w:p>
            <w:pPr>
              <w:spacing w:after="0"/>
              <w:rPr>
                <w:sz w:val="21"/>
                <w:szCs w:val="21"/>
                <w:color w:val="auto"/>
              </w:rPr>
            </w:pPr>
          </w:p>
        </w:tc>
      </w:tr>
      <w:tr>
        <w:trPr>
          <w:trHeight w:val="235"/>
        </w:trPr>
        <w:tc>
          <w:tcPr>
            <w:tcW w:w="4540" w:type="dxa"/>
            <w:vAlign w:val="bottom"/>
            <w:tcBorders>
              <w:top w:val="single" w:sz="8" w:color="CCEEFF"/>
            </w:tcBorders>
          </w:tcPr>
          <w:p>
            <w:pPr>
              <w:spacing w:after="0"/>
              <w:rPr>
                <w:sz w:val="20"/>
                <w:szCs w:val="20"/>
                <w:color w:val="auto"/>
              </w:rPr>
            </w:pPr>
          </w:p>
        </w:tc>
        <w:tc>
          <w:tcPr>
            <w:tcW w:w="2440" w:type="dxa"/>
            <w:vAlign w:val="bottom"/>
            <w:tcBorders>
              <w:top w:val="single" w:sz="8" w:color="CCEEFF"/>
            </w:tcBorders>
          </w:tcPr>
          <w:p>
            <w:pPr>
              <w:spacing w:after="0"/>
              <w:rPr>
                <w:sz w:val="20"/>
                <w:szCs w:val="20"/>
                <w:color w:val="auto"/>
              </w:rPr>
            </w:pPr>
          </w:p>
        </w:tc>
        <w:tc>
          <w:tcPr>
            <w:tcW w:w="920" w:type="dxa"/>
            <w:vAlign w:val="bottom"/>
            <w:tcBorders>
              <w:top w:val="single" w:sz="8" w:color="auto"/>
            </w:tcBorders>
            <w:gridSpan w:val="2"/>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40" w:type="dxa"/>
            <w:vAlign w:val="bottom"/>
            <w:tcBorders>
              <w:top w:val="single" w:sz="8" w:color="CCEEFF"/>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40" w:type="dxa"/>
            <w:vAlign w:val="bottom"/>
            <w:tcBorders>
              <w:top w:val="single" w:sz="8" w:color="CCEEFF"/>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40" w:type="dxa"/>
            <w:vAlign w:val="bottom"/>
          </w:tcPr>
          <w:p>
            <w:pPr>
              <w:spacing w:after="0"/>
              <w:rPr>
                <w:sz w:val="20"/>
                <w:szCs w:val="20"/>
                <w:color w:val="auto"/>
              </w:rPr>
            </w:pPr>
          </w:p>
        </w:tc>
      </w:tr>
      <w:tr>
        <w:trPr>
          <w:trHeight w:val="275"/>
        </w:trPr>
        <w:tc>
          <w:tcPr>
            <w:tcW w:w="45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w:t>
            </w:r>
          </w:p>
        </w:tc>
        <w:tc>
          <w:tcPr>
            <w:tcW w:w="3580" w:type="dxa"/>
            <w:vAlign w:val="bottom"/>
            <w:gridSpan w:val="4"/>
            <w:shd w:val="clear" w:color="auto" w:fill="CCEEFF"/>
          </w:tcPr>
          <w:p>
            <w:pPr>
              <w:jc w:val="right"/>
              <w:ind w:right="22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164,334,869</w:t>
            </w:r>
          </w:p>
        </w:tc>
        <w:tc>
          <w:tcPr>
            <w:tcW w:w="11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100.0%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u w:val="single" w:color="auto"/>
                <w:color w:val="auto"/>
                <w:w w:val="86"/>
              </w:rPr>
              <w:t>$</w:t>
            </w:r>
            <w:r>
              <w:rPr>
                <w:rFonts w:ascii="Arial" w:cs="Arial" w:eastAsia="Arial" w:hAnsi="Arial"/>
                <w:sz w:val="17"/>
                <w:szCs w:val="17"/>
                <w:color w:val="auto"/>
                <w:w w:val="86"/>
              </w:rPr>
              <w:t>151,777,516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40" w:type="dxa"/>
            <w:vAlign w:val="bottom"/>
          </w:tcPr>
          <w:p>
            <w:pPr>
              <w:spacing w:after="0"/>
              <w:rPr>
                <w:sz w:val="23"/>
                <w:szCs w:val="23"/>
                <w:color w:val="auto"/>
              </w:rPr>
            </w:pPr>
          </w:p>
        </w:tc>
      </w:tr>
      <w:tr>
        <w:trPr>
          <w:trHeight w:val="646"/>
        </w:trPr>
        <w:tc>
          <w:tcPr>
            <w:tcW w:w="4540" w:type="dxa"/>
            <w:vAlign w:val="bottom"/>
            <w:tcBorders>
              <w:top w:val="single" w:sz="8" w:color="CCEEFF"/>
              <w:bottom w:val="single" w:sz="8" w:color="auto"/>
            </w:tcBorders>
          </w:tcPr>
          <w:p>
            <w:pPr>
              <w:spacing w:after="0"/>
              <w:rPr>
                <w:sz w:val="24"/>
                <w:szCs w:val="24"/>
                <w:color w:val="auto"/>
              </w:rPr>
            </w:pPr>
          </w:p>
        </w:tc>
        <w:tc>
          <w:tcPr>
            <w:tcW w:w="2440" w:type="dxa"/>
            <w:vAlign w:val="bottom"/>
            <w:tcBorders>
              <w:top w:val="single" w:sz="8" w:color="CCEEFF"/>
              <w:bottom w:val="single" w:sz="8" w:color="auto"/>
            </w:tcBorders>
          </w:tcPr>
          <w:p>
            <w:pPr>
              <w:jc w:val="right"/>
              <w:ind w:right="1095"/>
              <w:spacing w:after="0"/>
              <w:rPr>
                <w:sz w:val="20"/>
                <w:szCs w:val="20"/>
                <w:color w:val="auto"/>
              </w:rPr>
            </w:pPr>
            <w:r>
              <w:rPr>
                <w:rFonts w:ascii="Arial" w:cs="Arial" w:eastAsia="Arial" w:hAnsi="Arial"/>
                <w:sz w:val="17"/>
                <w:szCs w:val="17"/>
                <w:color w:val="auto"/>
              </w:rPr>
              <w:t>67</w:t>
            </w:r>
          </w:p>
        </w:tc>
        <w:tc>
          <w:tcPr>
            <w:tcW w:w="8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60"/>
          </w:cols>
          <w:pgMar w:left="240" w:top="550" w:right="199" w:bottom="1440" w:gutter="0" w:footer="0" w:header="0"/>
        </w:sectPr>
      </w:pPr>
    </w:p>
    <w:bookmarkStart w:id="70" w:name="page71"/>
    <w:bookmarkEnd w:id="70"/>
    <w:p>
      <w:pPr>
        <w:ind w:left="640"/>
        <w:spacing w:after="0"/>
        <w:rPr>
          <w:sz w:val="20"/>
          <w:szCs w:val="20"/>
          <w:color w:val="auto"/>
        </w:rPr>
      </w:pPr>
      <w:r>
        <w:rPr>
          <w:rFonts w:ascii="Arial" w:cs="Arial" w:eastAsia="Arial" w:hAnsi="Arial"/>
          <w:sz w:val="17"/>
          <w:szCs w:val="17"/>
          <w:color w:val="auto"/>
        </w:rPr>
        <w:t>The table below summarizes the average yield by type of fixed-maturity security as of June 30, 2019 and December 31, 2018:</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w:t>
            </w:r>
          </w:p>
        </w:tc>
        <w:tc>
          <w:tcPr>
            <w:tcW w:w="12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7"/>
        </w:trPr>
        <w:tc>
          <w:tcPr>
            <w:tcW w:w="8680" w:type="dxa"/>
            <w:vAlign w:val="bottom"/>
          </w:tcPr>
          <w:p>
            <w:pPr>
              <w:spacing w:after="0"/>
              <w:rPr>
                <w:sz w:val="20"/>
                <w:szCs w:val="20"/>
                <w:color w:val="auto"/>
              </w:rPr>
            </w:pPr>
            <w:r>
              <w:rPr>
                <w:rFonts w:ascii="Arial" w:cs="Arial" w:eastAsia="Arial" w:hAnsi="Arial"/>
                <w:sz w:val="14"/>
                <w:szCs w:val="14"/>
                <w:b w:val="1"/>
                <w:bCs w:val="1"/>
                <w:color w:val="auto"/>
              </w:rPr>
              <w:t>Categor</w:t>
            </w:r>
            <w:r>
              <w:rPr>
                <w:rFonts w:ascii="Arial" w:cs="Arial" w:eastAsia="Arial" w:hAnsi="Arial"/>
                <w:sz w:val="14"/>
                <w:szCs w:val="14"/>
                <w:color w:val="auto"/>
              </w:rPr>
              <w:t>y</w:t>
            </w:r>
          </w:p>
        </w:tc>
        <w:tc>
          <w:tcPr>
            <w:tcW w:w="1260" w:type="dxa"/>
            <w:vAlign w:val="bottom"/>
            <w:gridSpan w:val="2"/>
          </w:tcPr>
          <w:p>
            <w:pPr>
              <w:jc w:val="center"/>
              <w:ind w:left="56"/>
              <w:spacing w:after="0"/>
              <w:rPr>
                <w:sz w:val="20"/>
                <w:szCs w:val="20"/>
                <w:color w:val="auto"/>
              </w:rPr>
            </w:pPr>
            <w:r>
              <w:rPr>
                <w:rFonts w:ascii="Arial" w:cs="Arial" w:eastAsia="Arial" w:hAnsi="Arial"/>
                <w:sz w:val="14"/>
                <w:szCs w:val="14"/>
                <w:b w:val="1"/>
                <w:bCs w:val="1"/>
                <w:color w:val="auto"/>
                <w:w w:val="89"/>
              </w:rPr>
              <w:t>2019</w:t>
            </w:r>
          </w:p>
        </w:tc>
        <w:tc>
          <w:tcPr>
            <w:tcW w:w="26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868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U.S. Treasury securities and</w:t>
            </w:r>
          </w:p>
        </w:tc>
        <w:tc>
          <w:tcPr>
            <w:tcW w:w="16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8680" w:type="dxa"/>
            <w:vAlign w:val="bottom"/>
          </w:tcPr>
          <w:p>
            <w:pPr>
              <w:ind w:left="40"/>
              <w:spacing w:after="0"/>
              <w:rPr>
                <w:sz w:val="20"/>
                <w:szCs w:val="20"/>
                <w:color w:val="auto"/>
              </w:rPr>
            </w:pPr>
            <w:r>
              <w:rPr>
                <w:rFonts w:ascii="Arial" w:cs="Arial" w:eastAsia="Arial" w:hAnsi="Arial"/>
                <w:sz w:val="17"/>
                <w:szCs w:val="17"/>
                <w:color w:val="auto"/>
              </w:rPr>
              <w:t>obligations of U.S. government</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868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corporations and agencies</w:t>
            </w:r>
          </w:p>
        </w:tc>
        <w:tc>
          <w:tcPr>
            <w:tcW w:w="15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2.01%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ind w:left="40"/>
              <w:spacing w:after="0"/>
              <w:rPr>
                <w:sz w:val="20"/>
                <w:szCs w:val="20"/>
                <w:color w:val="auto"/>
              </w:rPr>
            </w:pPr>
            <w:r>
              <w:rPr>
                <w:rFonts w:ascii="Arial" w:cs="Arial" w:eastAsia="Arial" w:hAnsi="Arial"/>
                <w:sz w:val="17"/>
                <w:szCs w:val="17"/>
                <w:color w:val="auto"/>
              </w:rPr>
              <w:t>Political subdivisions of States,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tcPr>
          <w:p>
            <w:pPr>
              <w:ind w:left="40"/>
              <w:spacing w:after="0"/>
              <w:rPr>
                <w:sz w:val="20"/>
                <w:szCs w:val="20"/>
                <w:color w:val="auto"/>
              </w:rPr>
            </w:pPr>
            <w:r>
              <w:rPr>
                <w:rFonts w:ascii="Arial" w:cs="Arial" w:eastAsia="Arial" w:hAnsi="Arial"/>
                <w:sz w:val="17"/>
                <w:szCs w:val="17"/>
                <w:color w:val="auto"/>
              </w:rPr>
              <w:t>Territories and Possessions</w:t>
            </w:r>
          </w:p>
        </w:tc>
        <w:tc>
          <w:tcPr>
            <w:tcW w:w="1520" w:type="dxa"/>
            <w:vAlign w:val="bottom"/>
            <w:gridSpan w:val="3"/>
          </w:tcPr>
          <w:p>
            <w:pPr>
              <w:jc w:val="right"/>
              <w:ind w:right="140"/>
              <w:spacing w:after="0"/>
              <w:rPr>
                <w:sz w:val="20"/>
                <w:szCs w:val="20"/>
                <w:color w:val="auto"/>
              </w:rPr>
            </w:pPr>
            <w:r>
              <w:rPr>
                <w:rFonts w:ascii="Arial" w:cs="Arial" w:eastAsia="Arial" w:hAnsi="Arial"/>
                <w:sz w:val="17"/>
                <w:szCs w:val="17"/>
                <w:color w:val="auto"/>
              </w:rPr>
              <w:t>3.49%</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3.62%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tcPr>
          <w:p>
            <w:pPr>
              <w:ind w:left="40"/>
              <w:spacing w:after="0"/>
              <w:rPr>
                <w:sz w:val="20"/>
                <w:szCs w:val="20"/>
                <w:color w:val="auto"/>
              </w:rPr>
            </w:pPr>
            <w:r>
              <w:rPr>
                <w:rFonts w:ascii="Arial" w:cs="Arial" w:eastAsia="Arial" w:hAnsi="Arial"/>
                <w:sz w:val="17"/>
                <w:szCs w:val="17"/>
                <w:color w:val="auto"/>
              </w:rPr>
              <w:t>Corporate and other bonds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Industrial and miscellaneous</w:t>
            </w:r>
          </w:p>
        </w:tc>
        <w:tc>
          <w:tcPr>
            <w:tcW w:w="15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3.81%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ind w:left="40"/>
              <w:spacing w:after="0"/>
              <w:rPr>
                <w:sz w:val="20"/>
                <w:szCs w:val="20"/>
                <w:color w:val="auto"/>
              </w:rPr>
            </w:pPr>
            <w:r>
              <w:rPr>
                <w:rFonts w:ascii="Arial" w:cs="Arial" w:eastAsia="Arial" w:hAnsi="Arial"/>
                <w:sz w:val="17"/>
                <w:szCs w:val="17"/>
                <w:color w:val="auto"/>
              </w:rPr>
              <w:t>Residential mortgage and other asset backed securities</w:t>
            </w:r>
          </w:p>
        </w:tc>
        <w:tc>
          <w:tcPr>
            <w:tcW w:w="15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1.59%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ind w:left="40"/>
              <w:spacing w:after="0"/>
              <w:rPr>
                <w:sz w:val="20"/>
                <w:szCs w:val="20"/>
                <w:color w:val="auto"/>
              </w:rPr>
            </w:pPr>
            <w:r>
              <w:rPr>
                <w:rFonts w:ascii="Arial" w:cs="Arial" w:eastAsia="Arial" w:hAnsi="Arial"/>
                <w:sz w:val="17"/>
                <w:szCs w:val="17"/>
                <w:color w:val="auto"/>
              </w:rPr>
              <w:t>Total</w:t>
            </w:r>
          </w:p>
        </w:tc>
        <w:tc>
          <w:tcPr>
            <w:tcW w:w="15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3.47%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45"/>
        </w:trPr>
        <w:tc>
          <w:tcPr>
            <w:tcW w:w="11440" w:type="dxa"/>
            <w:vAlign w:val="bottom"/>
            <w:gridSpan w:val="7"/>
          </w:tcPr>
          <w:p>
            <w:pPr>
              <w:ind w:left="640"/>
              <w:spacing w:after="0"/>
              <w:rPr>
                <w:sz w:val="20"/>
                <w:szCs w:val="20"/>
                <w:color w:val="auto"/>
              </w:rPr>
            </w:pPr>
            <w:r>
              <w:rPr>
                <w:rFonts w:ascii="Arial" w:cs="Arial" w:eastAsia="Arial" w:hAnsi="Arial"/>
                <w:sz w:val="17"/>
                <w:szCs w:val="17"/>
                <w:color w:val="auto"/>
                <w:w w:val="93"/>
              </w:rPr>
              <w:t>The table below lists the weighted average maturity and effective duration in years on our fixed-maturity securities as of June 30, 2019 and December 31,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7"/>
                <w:szCs w:val="17"/>
                <w:color w:val="auto"/>
              </w:rPr>
              <w:t>2018:</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w:t>
            </w:r>
          </w:p>
        </w:tc>
        <w:tc>
          <w:tcPr>
            <w:tcW w:w="12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7"/>
        </w:trPr>
        <w:tc>
          <w:tcPr>
            <w:tcW w:w="8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26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ind w:left="40"/>
              <w:spacing w:after="0"/>
              <w:rPr>
                <w:sz w:val="20"/>
                <w:szCs w:val="20"/>
                <w:color w:val="auto"/>
              </w:rPr>
            </w:pPr>
            <w:r>
              <w:rPr>
                <w:rFonts w:ascii="Arial" w:cs="Arial" w:eastAsia="Arial" w:hAnsi="Arial"/>
                <w:sz w:val="17"/>
                <w:szCs w:val="17"/>
                <w:color w:val="auto"/>
              </w:rPr>
              <w:t>Weighted average effective maturity</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ind w:left="40"/>
              <w:spacing w:after="0"/>
              <w:rPr>
                <w:sz w:val="20"/>
                <w:szCs w:val="20"/>
                <w:color w:val="auto"/>
              </w:rPr>
            </w:pPr>
            <w:r>
              <w:rPr>
                <w:rFonts w:ascii="Arial" w:cs="Arial" w:eastAsia="Arial" w:hAnsi="Arial"/>
                <w:sz w:val="17"/>
                <w:szCs w:val="17"/>
                <w:color w:val="auto"/>
              </w:rPr>
              <w:t>Weighted average final maturity</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ind w:left="40"/>
              <w:spacing w:after="0"/>
              <w:rPr>
                <w:sz w:val="20"/>
                <w:szCs w:val="20"/>
                <w:color w:val="auto"/>
              </w:rPr>
            </w:pPr>
            <w:r>
              <w:rPr>
                <w:rFonts w:ascii="Arial" w:cs="Arial" w:eastAsia="Arial" w:hAnsi="Arial"/>
                <w:sz w:val="17"/>
                <w:szCs w:val="17"/>
                <w:color w:val="auto"/>
              </w:rPr>
              <w:t>Effective duration</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Fair Value Consideration</w:t>
      </w:r>
    </w:p>
    <w:p>
      <w:pPr>
        <w:spacing w:after="0" w:line="158" w:lineRule="exact"/>
        <w:rPr>
          <w:sz w:val="20"/>
          <w:szCs w:val="20"/>
          <w:color w:val="auto"/>
        </w:rPr>
      </w:pPr>
    </w:p>
    <w:p>
      <w:pPr>
        <w:jc w:val="both"/>
        <w:ind w:firstLine="628"/>
        <w:spacing w:after="0" w:line="299" w:lineRule="auto"/>
        <w:rPr>
          <w:sz w:val="20"/>
          <w:szCs w:val="20"/>
          <w:color w:val="auto"/>
        </w:rPr>
      </w:pPr>
      <w:r>
        <w:rPr>
          <w:rFonts w:ascii="Arial" w:cs="Arial" w:eastAsia="Arial" w:hAnsi="Arial"/>
          <w:sz w:val="15"/>
          <w:szCs w:val="15"/>
          <w:color w:val="auto"/>
        </w:rPr>
        <w:t>As disclosed in Note 4 to the condensed consolidated financial statements, with respect to “Fair Value Measurements,” we define fair value as the price that would be received to sell an asset or paid to transfer a liability in a transaction involving identical or comparable assets or liabilities between market participants (an “exit price”). The fair value hierarchy distinguishes between inputs based on market data from independent sources (“observable inputs”) and a reporting entity’s internal assumptions based upon the best information available when external market data is limited or unavailable (“unobservable inputs”). The fair value hierarchy prioritizes fair value measurements into three levels based on the nature of the inputs. Quoted prices in active markets for identical assets have the highest priority (“Level 1”), followed by observable inputs other than quoted prices including prices for similar but not identical assets or liabilities (“Level 2”), and unobservable inputs, including the reporting entity’s estimates of the assumption that market participants would use, having the lowest priority (“Level 3”). As of June 30, 2019 and December 31, 2018, 84% and 81%, respectively, of the investment portfolio recorded at fair value was priced based upon quoted market prices.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71" w:name="page72"/>
    <w:bookmarkEnd w:id="71"/>
    <w:p>
      <w:pPr>
        <w:ind w:right="120" w:firstLine="628"/>
        <w:spacing w:after="0" w:line="281" w:lineRule="auto"/>
        <w:rPr>
          <w:sz w:val="20"/>
          <w:szCs w:val="20"/>
          <w:color w:val="auto"/>
        </w:rPr>
      </w:pPr>
      <w:r>
        <w:rPr>
          <w:rFonts w:ascii="Arial" w:cs="Arial" w:eastAsia="Arial" w:hAnsi="Arial"/>
          <w:sz w:val="17"/>
          <w:szCs w:val="17"/>
          <w:color w:val="auto"/>
        </w:rPr>
        <w:t>The table below summarizes the gross unrealized losses of our fixed-maturity securities available-for-sale and equity securities by length of time the security has continuously been in an unrealized loss position as of June 30, 2019 and December 31, 2018:</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5"/>
          </w:tcPr>
          <w:p>
            <w:pPr>
              <w:jc w:val="right"/>
              <w:ind w:right="840"/>
              <w:spacing w:after="0"/>
              <w:rPr>
                <w:sz w:val="20"/>
                <w:szCs w:val="20"/>
                <w:color w:val="auto"/>
              </w:rPr>
            </w:pPr>
            <w:r>
              <w:rPr>
                <w:rFonts w:ascii="Arial" w:cs="Arial" w:eastAsia="Arial" w:hAnsi="Arial"/>
                <w:sz w:val="14"/>
                <w:szCs w:val="14"/>
                <w:b w:val="1"/>
                <w:bCs w:val="1"/>
                <w:color w:val="auto"/>
              </w:rPr>
              <w:t>June 30, 2019</w:t>
            </w:r>
          </w:p>
        </w:tc>
        <w:tc>
          <w:tcPr>
            <w:tcW w:w="9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42"/>
        </w:trPr>
        <w:tc>
          <w:tcPr>
            <w:tcW w:w="2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0"/>
              </w:rPr>
              <w:t>Less than 12 months</w:t>
            </w:r>
          </w:p>
        </w:tc>
        <w:tc>
          <w:tcPr>
            <w:tcW w:w="90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2"/>
              </w:rPr>
              <w:t>12 months or more</w:t>
            </w:r>
          </w:p>
        </w:tc>
        <w:tc>
          <w:tcPr>
            <w:tcW w:w="9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Total</w:t>
            </w:r>
          </w:p>
        </w:tc>
        <w:tc>
          <w:tcPr>
            <w:tcW w:w="8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144"/>
        </w:trPr>
        <w:tc>
          <w:tcPr>
            <w:tcW w:w="2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0"/>
              <w:spacing w:after="0" w:line="144" w:lineRule="exact"/>
              <w:rPr>
                <w:sz w:val="20"/>
                <w:szCs w:val="20"/>
                <w:color w:val="auto"/>
              </w:rPr>
            </w:pPr>
            <w:r>
              <w:rPr>
                <w:rFonts w:ascii="Arial" w:cs="Arial" w:eastAsia="Arial" w:hAnsi="Arial"/>
                <w:sz w:val="14"/>
                <w:szCs w:val="14"/>
                <w:b w:val="1"/>
                <w:bCs w:val="1"/>
                <w:color w:val="auto"/>
                <w:w w:val="92"/>
              </w:rPr>
              <w:t>Estimated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0"/>
              </w:rPr>
              <w:t>No. of</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41"/>
              <w:spacing w:after="0" w:line="144" w:lineRule="exact"/>
              <w:rPr>
                <w:sz w:val="20"/>
                <w:szCs w:val="20"/>
                <w:color w:val="auto"/>
              </w:rPr>
            </w:pPr>
            <w:r>
              <w:rPr>
                <w:rFonts w:ascii="Arial" w:cs="Arial" w:eastAsia="Arial" w:hAnsi="Arial"/>
                <w:sz w:val="14"/>
                <w:szCs w:val="14"/>
                <w:b w:val="1"/>
                <w:bCs w:val="1"/>
                <w:color w:val="auto"/>
                <w:w w:val="95"/>
              </w:rPr>
              <w:t>Estimated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0"/>
              </w:rPr>
              <w:t>No. of</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00"/>
              <w:spacing w:after="0" w:line="144" w:lineRule="exact"/>
              <w:rPr>
                <w:sz w:val="20"/>
                <w:szCs w:val="20"/>
                <w:color w:val="auto"/>
              </w:rPr>
            </w:pPr>
            <w:r>
              <w:rPr>
                <w:rFonts w:ascii="Arial" w:cs="Arial" w:eastAsia="Arial" w:hAnsi="Arial"/>
                <w:sz w:val="14"/>
                <w:szCs w:val="14"/>
                <w:b w:val="1"/>
                <w:bCs w:val="1"/>
                <w:color w:val="auto"/>
                <w:w w:val="92"/>
              </w:rPr>
              <w:t>Estimated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7"/>
        </w:trPr>
        <w:tc>
          <w:tcPr>
            <w:tcW w:w="2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center"/>
              <w:ind w:right="20"/>
              <w:spacing w:after="0" w:line="157" w:lineRule="exact"/>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320"/>
              <w:spacing w:after="0" w:line="157" w:lineRule="exact"/>
              <w:rPr>
                <w:sz w:val="20"/>
                <w:szCs w:val="20"/>
                <w:color w:val="auto"/>
              </w:rPr>
            </w:pPr>
            <w:r>
              <w:rPr>
                <w:rFonts w:ascii="Arial" w:cs="Arial" w:eastAsia="Arial" w:hAnsi="Arial"/>
                <w:sz w:val="14"/>
                <w:szCs w:val="14"/>
                <w:b w:val="1"/>
                <w:bCs w:val="1"/>
                <w:color w:val="auto"/>
                <w:w w:val="95"/>
              </w:rPr>
              <w:t>Unrealized</w:t>
            </w:r>
          </w:p>
        </w:tc>
        <w:tc>
          <w:tcPr>
            <w:tcW w:w="9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88"/>
              </w:rPr>
              <w:t>Positions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center"/>
              <w:ind w:right="41"/>
              <w:spacing w:after="0" w:line="157" w:lineRule="exact"/>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w w:val="95"/>
              </w:rPr>
              <w:t>Unrealized</w:t>
            </w:r>
          </w:p>
        </w:tc>
        <w:tc>
          <w:tcPr>
            <w:tcW w:w="9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88"/>
              </w:rPr>
              <w:t>Positions</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w w:val="93"/>
              </w:rPr>
              <w:t>Unrealized</w:t>
            </w:r>
          </w:p>
        </w:tc>
      </w:tr>
      <w:tr>
        <w:trPr>
          <w:trHeight w:val="177"/>
        </w:trPr>
        <w:tc>
          <w:tcPr>
            <w:tcW w:w="2300" w:type="dxa"/>
            <w:vAlign w:val="bottom"/>
          </w:tcPr>
          <w:p>
            <w:pPr>
              <w:ind w:left="40"/>
              <w:spacing w:after="0"/>
              <w:rPr>
                <w:sz w:val="20"/>
                <w:szCs w:val="20"/>
                <w:color w:val="auto"/>
              </w:rPr>
            </w:pPr>
            <w:r>
              <w:rPr>
                <w:rFonts w:ascii="Arial" w:cs="Arial" w:eastAsia="Arial" w:hAnsi="Arial"/>
                <w:sz w:val="14"/>
                <w:szCs w:val="14"/>
                <w:b w:val="1"/>
                <w:bCs w:val="1"/>
                <w:color w:val="auto"/>
              </w:rPr>
              <w:t>Categor</w:t>
            </w:r>
            <w:r>
              <w:rPr>
                <w:rFonts w:ascii="Arial" w:cs="Arial" w:eastAsia="Arial" w:hAnsi="Arial"/>
                <w:sz w:val="14"/>
                <w:szCs w:val="14"/>
                <w:color w:val="auto"/>
              </w:rPr>
              <w:t>y</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ind w:right="20"/>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2"/>
              </w:rPr>
              <w:t>Losses</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8"/>
              </w:rPr>
              <w:t>Held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ind w:right="41"/>
              <w:spacing w:after="0"/>
              <w:rPr>
                <w:sz w:val="20"/>
                <w:szCs w:val="20"/>
                <w:color w:val="auto"/>
              </w:rPr>
            </w:pPr>
            <w:r>
              <w:rPr>
                <w:rFonts w:ascii="Arial" w:cs="Arial" w:eastAsia="Arial" w:hAnsi="Arial"/>
                <w:sz w:val="14"/>
                <w:szCs w:val="14"/>
                <w:b w:val="1"/>
                <w:bCs w:val="1"/>
                <w:color w:val="auto"/>
                <w:w w:val="96"/>
              </w:rPr>
              <w:t>Value</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8"/>
              </w:rPr>
              <w:t>Held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2"/>
              </w:rPr>
              <w:t>Losses</w:t>
            </w:r>
          </w:p>
        </w:tc>
      </w:tr>
      <w:tr>
        <w:trPr>
          <w:trHeight w:val="469"/>
        </w:trPr>
        <w:tc>
          <w:tcPr>
            <w:tcW w:w="230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Fixed-Maturity Securities:</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35"/>
        </w:trPr>
        <w:tc>
          <w:tcPr>
            <w:tcW w:w="2300" w:type="dxa"/>
            <w:vAlign w:val="bottom"/>
          </w:tcPr>
          <w:p>
            <w:pPr>
              <w:ind w:left="40"/>
              <w:spacing w:after="0"/>
              <w:rPr>
                <w:sz w:val="20"/>
                <w:szCs w:val="20"/>
                <w:color w:val="auto"/>
              </w:rPr>
            </w:pPr>
            <w:r>
              <w:rPr>
                <w:rFonts w:ascii="Arial" w:cs="Arial" w:eastAsia="Arial" w:hAnsi="Arial"/>
                <w:sz w:val="17"/>
                <w:szCs w:val="17"/>
                <w:color w:val="auto"/>
              </w:rPr>
              <w:t>U.S. Treasury securities</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5"/>
        </w:trPr>
        <w:tc>
          <w:tcPr>
            <w:tcW w:w="2300" w:type="dxa"/>
            <w:vAlign w:val="bottom"/>
          </w:tcPr>
          <w:p>
            <w:pPr>
              <w:ind w:left="40"/>
              <w:spacing w:after="0"/>
              <w:rPr>
                <w:sz w:val="20"/>
                <w:szCs w:val="20"/>
                <w:color w:val="auto"/>
              </w:rPr>
            </w:pPr>
            <w:r>
              <w:rPr>
                <w:rFonts w:ascii="Arial" w:cs="Arial" w:eastAsia="Arial" w:hAnsi="Arial"/>
                <w:sz w:val="17"/>
                <w:szCs w:val="17"/>
                <w:color w:val="auto"/>
              </w:rPr>
              <w:t>and obligations of U.S.</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2300" w:type="dxa"/>
            <w:vAlign w:val="bottom"/>
          </w:tcPr>
          <w:p>
            <w:pPr>
              <w:ind w:left="40"/>
              <w:spacing w:after="0"/>
              <w:rPr>
                <w:sz w:val="20"/>
                <w:szCs w:val="20"/>
                <w:color w:val="auto"/>
              </w:rPr>
            </w:pPr>
            <w:r>
              <w:rPr>
                <w:rFonts w:ascii="Arial" w:cs="Arial" w:eastAsia="Arial" w:hAnsi="Arial"/>
                <w:sz w:val="17"/>
                <w:szCs w:val="17"/>
                <w:color w:val="auto"/>
              </w:rPr>
              <w:t>government corporations</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2300" w:type="dxa"/>
            <w:vAlign w:val="bottom"/>
            <w:shd w:val="clear" w:color="auto" w:fill="CCEEFF"/>
          </w:tcPr>
          <w:p>
            <w:pPr>
              <w:ind w:left="40"/>
              <w:spacing w:after="0"/>
              <w:rPr>
                <w:sz w:val="20"/>
                <w:szCs w:val="20"/>
                <w:color w:val="auto"/>
              </w:rPr>
            </w:pPr>
            <w:r>
              <w:rPr>
                <w:rFonts w:ascii="Arial" w:cs="Arial" w:eastAsia="Arial" w:hAnsi="Arial"/>
                <w:sz w:val="17"/>
                <w:szCs w:val="17"/>
                <w:color w:val="auto"/>
              </w:rPr>
              <w:t>and agencies</w:t>
            </w: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1,992,340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(1,557)</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1,992,340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(1,557)</w:t>
            </w:r>
          </w:p>
        </w:tc>
      </w:tr>
      <w:tr>
        <w:trPr>
          <w:trHeight w:val="209"/>
        </w:trPr>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2300" w:type="dxa"/>
            <w:vAlign w:val="bottom"/>
            <w:shd w:val="clear" w:color="auto" w:fill="CCEEFF"/>
          </w:tcPr>
          <w:p>
            <w:pPr>
              <w:ind w:left="40"/>
              <w:spacing w:after="0"/>
              <w:rPr>
                <w:sz w:val="20"/>
                <w:szCs w:val="20"/>
                <w:color w:val="auto"/>
              </w:rPr>
            </w:pPr>
            <w:r>
              <w:rPr>
                <w:rFonts w:ascii="Arial" w:cs="Arial" w:eastAsia="Arial" w:hAnsi="Arial"/>
                <w:sz w:val="17"/>
                <w:szCs w:val="17"/>
                <w:color w:val="auto"/>
              </w:rPr>
              <w:t>Political subdivisions of</w:t>
            </w: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9"/>
        </w:trPr>
        <w:tc>
          <w:tcPr>
            <w:tcW w:w="2300" w:type="dxa"/>
            <w:vAlign w:val="bottom"/>
          </w:tcPr>
          <w:p>
            <w:pPr>
              <w:ind w:left="40"/>
              <w:spacing w:after="0"/>
              <w:rPr>
                <w:sz w:val="20"/>
                <w:szCs w:val="20"/>
                <w:color w:val="auto"/>
              </w:rPr>
            </w:pPr>
            <w:r>
              <w:rPr>
                <w:rFonts w:ascii="Arial" w:cs="Arial" w:eastAsia="Arial" w:hAnsi="Arial"/>
                <w:sz w:val="17"/>
                <w:szCs w:val="17"/>
                <w:color w:val="auto"/>
              </w:rPr>
              <w:t>States, Territories and</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2300" w:type="dxa"/>
            <w:vAlign w:val="bottom"/>
            <w:shd w:val="clear" w:color="auto" w:fill="CCEEFF"/>
          </w:tcPr>
          <w:p>
            <w:pPr>
              <w:ind w:left="40"/>
              <w:spacing w:after="0"/>
              <w:rPr>
                <w:sz w:val="20"/>
                <w:szCs w:val="20"/>
                <w:color w:val="auto"/>
              </w:rPr>
            </w:pPr>
            <w:r>
              <w:rPr>
                <w:rFonts w:ascii="Arial" w:cs="Arial" w:eastAsia="Arial" w:hAnsi="Arial"/>
                <w:sz w:val="17"/>
                <w:szCs w:val="17"/>
                <w:color w:val="auto"/>
              </w:rPr>
              <w:t>Possessions</w:t>
            </w: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302,880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(309)</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302,880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(309)</w:t>
            </w:r>
          </w:p>
        </w:tc>
      </w:tr>
      <w:tr>
        <w:trPr>
          <w:trHeight w:val="209"/>
        </w:trPr>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230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Corporate and other</w:t>
            </w: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9"/>
        </w:trPr>
        <w:tc>
          <w:tcPr>
            <w:tcW w:w="2300" w:type="dxa"/>
            <w:vAlign w:val="bottom"/>
          </w:tcPr>
          <w:p>
            <w:pPr>
              <w:ind w:left="40"/>
              <w:spacing w:after="0"/>
              <w:rPr>
                <w:sz w:val="20"/>
                <w:szCs w:val="20"/>
                <w:color w:val="auto"/>
              </w:rPr>
            </w:pPr>
            <w:r>
              <w:rPr>
                <w:rFonts w:ascii="Arial" w:cs="Arial" w:eastAsia="Arial" w:hAnsi="Arial"/>
                <w:sz w:val="17"/>
                <w:szCs w:val="17"/>
                <w:color w:val="auto"/>
              </w:rPr>
              <w:t>bonds industrial and</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2300" w:type="dxa"/>
            <w:vAlign w:val="bottom"/>
            <w:shd w:val="clear" w:color="auto" w:fill="CCEEFF"/>
          </w:tcPr>
          <w:p>
            <w:pPr>
              <w:ind w:left="40"/>
              <w:spacing w:after="0"/>
              <w:rPr>
                <w:sz w:val="20"/>
                <w:szCs w:val="20"/>
                <w:color w:val="auto"/>
              </w:rPr>
            </w:pPr>
            <w:r>
              <w:rPr>
                <w:rFonts w:ascii="Arial" w:cs="Arial" w:eastAsia="Arial" w:hAnsi="Arial"/>
                <w:sz w:val="17"/>
                <w:szCs w:val="17"/>
                <w:color w:val="auto"/>
              </w:rPr>
              <w:t>miscellaneous</w:t>
            </w: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1,959,040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(14,450)</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1"/>
              </w:rPr>
              <w:t>11,608,094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(84,187)</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1"/>
              </w:rPr>
              <w:t>13,567,134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(98,637)</w:t>
            </w:r>
          </w:p>
        </w:tc>
      </w:tr>
      <w:tr>
        <w:trPr>
          <w:trHeight w:val="209"/>
        </w:trPr>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2300" w:type="dxa"/>
            <w:vAlign w:val="bottom"/>
            <w:shd w:val="clear" w:color="auto" w:fill="CCEEFF"/>
          </w:tcPr>
          <w:p>
            <w:pPr>
              <w:ind w:left="40"/>
              <w:spacing w:after="0"/>
              <w:rPr>
                <w:sz w:val="20"/>
                <w:szCs w:val="20"/>
                <w:color w:val="auto"/>
              </w:rPr>
            </w:pPr>
            <w:r>
              <w:rPr>
                <w:rFonts w:ascii="Arial" w:cs="Arial" w:eastAsia="Arial" w:hAnsi="Arial"/>
                <w:sz w:val="17"/>
                <w:szCs w:val="17"/>
                <w:color w:val="auto"/>
                <w:w w:val="94"/>
              </w:rPr>
              <w:t>Residential mortgage and other</w:t>
            </w: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2300" w:type="dxa"/>
            <w:vAlign w:val="bottom"/>
          </w:tcPr>
          <w:p>
            <w:pPr>
              <w:ind w:left="40"/>
              <w:spacing w:after="0"/>
              <w:rPr>
                <w:sz w:val="20"/>
                <w:szCs w:val="20"/>
                <w:color w:val="auto"/>
              </w:rPr>
            </w:pPr>
            <w:r>
              <w:rPr>
                <w:rFonts w:ascii="Arial" w:cs="Arial" w:eastAsia="Arial" w:hAnsi="Arial"/>
                <w:sz w:val="17"/>
                <w:szCs w:val="17"/>
                <w:color w:val="auto"/>
              </w:rPr>
              <w:t>asset backed securities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591,845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(8,750)</w:t>
            </w:r>
          </w:p>
        </w:tc>
        <w:tc>
          <w:tcPr>
            <w:tcW w:w="900" w:type="dxa"/>
            <w:vAlign w:val="bottom"/>
          </w:tcPr>
          <w:p>
            <w:pPr>
              <w:jc w:val="right"/>
              <w:spacing w:after="0"/>
              <w:rPr>
                <w:sz w:val="20"/>
                <w:szCs w:val="20"/>
                <w:color w:val="auto"/>
              </w:rPr>
            </w:pPr>
            <w:r>
              <w:rPr>
                <w:rFonts w:ascii="Arial" w:cs="Arial" w:eastAsia="Arial" w:hAnsi="Arial"/>
                <w:sz w:val="17"/>
                <w:szCs w:val="17"/>
                <w:color w:val="auto"/>
              </w:rPr>
              <w:t>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91"/>
              </w:rPr>
              <w:t>15,983,171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(376,663)</w:t>
            </w:r>
          </w:p>
        </w:tc>
        <w:tc>
          <w:tcPr>
            <w:tcW w:w="920" w:type="dxa"/>
            <w:vAlign w:val="bottom"/>
          </w:tcPr>
          <w:p>
            <w:pPr>
              <w:jc w:val="right"/>
              <w:spacing w:after="0"/>
              <w:rPr>
                <w:sz w:val="20"/>
                <w:szCs w:val="20"/>
                <w:color w:val="auto"/>
              </w:rPr>
            </w:pPr>
            <w:r>
              <w:rPr>
                <w:rFonts w:ascii="Arial" w:cs="Arial" w:eastAsia="Arial" w:hAnsi="Arial"/>
                <w:sz w:val="17"/>
                <w:szCs w:val="17"/>
                <w:color w:val="auto"/>
              </w:rPr>
              <w:t>24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w w:val="91"/>
              </w:rPr>
              <w:t>16,575,016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(385,413)</w:t>
            </w:r>
          </w:p>
        </w:tc>
      </w:tr>
      <w:tr>
        <w:trPr>
          <w:trHeight w:val="209"/>
        </w:trPr>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9"/>
        </w:trPr>
        <w:tc>
          <w:tcPr>
            <w:tcW w:w="2300" w:type="dxa"/>
            <w:vAlign w:val="bottom"/>
          </w:tcPr>
          <w:p>
            <w:pPr>
              <w:ind w:left="40"/>
              <w:spacing w:after="0"/>
              <w:rPr>
                <w:sz w:val="20"/>
                <w:szCs w:val="20"/>
                <w:color w:val="auto"/>
              </w:rPr>
            </w:pPr>
            <w:r>
              <w:rPr>
                <w:rFonts w:ascii="Arial" w:cs="Arial" w:eastAsia="Arial" w:hAnsi="Arial"/>
                <w:sz w:val="17"/>
                <w:szCs w:val="17"/>
                <w:color w:val="auto"/>
              </w:rPr>
              <w:t>Total fixed-maturity</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2300" w:type="dxa"/>
            <w:vAlign w:val="bottom"/>
            <w:shd w:val="clear" w:color="auto" w:fill="CCEEFF"/>
          </w:tcPr>
          <w:p>
            <w:pPr>
              <w:ind w:left="40"/>
              <w:spacing w:after="0"/>
              <w:rPr>
                <w:sz w:val="20"/>
                <w:szCs w:val="20"/>
                <w:color w:val="auto"/>
              </w:rPr>
            </w:pPr>
            <w:r>
              <w:rPr>
                <w:rFonts w:ascii="Arial" w:cs="Arial" w:eastAsia="Arial" w:hAnsi="Arial"/>
                <w:sz w:val="17"/>
                <w:szCs w:val="17"/>
                <w:color w:val="auto"/>
              </w:rPr>
              <w:t>securities</w:t>
            </w: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2,550,885</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(23,200)</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1"/>
              </w:rPr>
              <w:t>29,886,485</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(462,716)</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24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$ 32,437,370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(485,916)</w:t>
            </w:r>
          </w:p>
        </w:tc>
      </w:tr>
      <w:tr>
        <w:trPr>
          <w:trHeight w:val="20"/>
        </w:trPr>
        <w:tc>
          <w:tcPr>
            <w:tcW w:w="2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391"/>
        </w:trPr>
        <w:tc>
          <w:tcPr>
            <w:tcW w:w="2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5"/>
          </w:tcPr>
          <w:p>
            <w:pPr>
              <w:jc w:val="right"/>
              <w:ind w:right="680"/>
              <w:spacing w:after="0"/>
              <w:rPr>
                <w:sz w:val="20"/>
                <w:szCs w:val="20"/>
                <w:color w:val="auto"/>
              </w:rPr>
            </w:pPr>
            <w:r>
              <w:rPr>
                <w:rFonts w:ascii="Arial" w:cs="Arial" w:eastAsia="Arial" w:hAnsi="Arial"/>
                <w:sz w:val="14"/>
                <w:szCs w:val="14"/>
                <w:b w:val="1"/>
                <w:bCs w:val="1"/>
                <w:color w:val="auto"/>
              </w:rPr>
              <w:t>December 31, 2018</w:t>
            </w: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89"/>
        </w:trPr>
        <w:tc>
          <w:tcPr>
            <w:tcW w:w="2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right"/>
              <w:ind w:right="80"/>
              <w:spacing w:after="0" w:line="137" w:lineRule="exact"/>
              <w:rPr>
                <w:sz w:val="20"/>
                <w:szCs w:val="20"/>
                <w:color w:val="auto"/>
              </w:rPr>
            </w:pPr>
            <w:r>
              <w:rPr>
                <w:rFonts w:ascii="Arial" w:cs="Arial" w:eastAsia="Arial" w:hAnsi="Arial"/>
                <w:sz w:val="14"/>
                <w:szCs w:val="14"/>
                <w:b w:val="1"/>
                <w:bCs w:val="1"/>
                <w:color w:val="auto"/>
                <w:w w:val="90"/>
              </w:rPr>
              <w:t>Less than 12 months</w:t>
            </w:r>
          </w:p>
        </w:tc>
        <w:tc>
          <w:tcPr>
            <w:tcW w:w="9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jc w:val="center"/>
              <w:ind w:right="40"/>
              <w:spacing w:after="0" w:line="137" w:lineRule="exact"/>
              <w:rPr>
                <w:sz w:val="20"/>
                <w:szCs w:val="20"/>
                <w:color w:val="auto"/>
              </w:rPr>
            </w:pPr>
            <w:r>
              <w:rPr>
                <w:rFonts w:ascii="Arial" w:cs="Arial" w:eastAsia="Arial" w:hAnsi="Arial"/>
                <w:sz w:val="14"/>
                <w:szCs w:val="14"/>
                <w:b w:val="1"/>
                <w:bCs w:val="1"/>
                <w:color w:val="auto"/>
                <w:w w:val="92"/>
              </w:rPr>
              <w:t>12 months or more</w:t>
            </w:r>
          </w:p>
        </w:tc>
        <w:tc>
          <w:tcPr>
            <w:tcW w:w="9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4"/>
          </w:tcPr>
          <w:p>
            <w:pPr>
              <w:jc w:val="right"/>
              <w:ind w:right="80"/>
              <w:spacing w:after="0" w:line="137" w:lineRule="exact"/>
              <w:rPr>
                <w:sz w:val="20"/>
                <w:szCs w:val="20"/>
                <w:color w:val="auto"/>
              </w:rPr>
            </w:pPr>
            <w:r>
              <w:rPr>
                <w:rFonts w:ascii="Arial" w:cs="Arial" w:eastAsia="Arial" w:hAnsi="Arial"/>
                <w:sz w:val="14"/>
                <w:szCs w:val="14"/>
                <w:b w:val="1"/>
                <w:bCs w:val="1"/>
                <w:color w:val="auto"/>
              </w:rPr>
              <w:t>Total</w:t>
            </w: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44"/>
        </w:trPr>
        <w:tc>
          <w:tcPr>
            <w:tcW w:w="2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0"/>
              <w:spacing w:after="0" w:line="144" w:lineRule="exact"/>
              <w:rPr>
                <w:sz w:val="20"/>
                <w:szCs w:val="20"/>
                <w:color w:val="auto"/>
              </w:rPr>
            </w:pPr>
            <w:r>
              <w:rPr>
                <w:rFonts w:ascii="Arial" w:cs="Arial" w:eastAsia="Arial" w:hAnsi="Arial"/>
                <w:sz w:val="14"/>
                <w:szCs w:val="14"/>
                <w:b w:val="1"/>
                <w:bCs w:val="1"/>
                <w:color w:val="auto"/>
                <w:w w:val="92"/>
              </w:rPr>
              <w:t>Estimated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0"/>
              </w:rPr>
              <w:t>No. of</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41"/>
              <w:spacing w:after="0" w:line="144" w:lineRule="exact"/>
              <w:rPr>
                <w:sz w:val="20"/>
                <w:szCs w:val="20"/>
                <w:color w:val="auto"/>
              </w:rPr>
            </w:pPr>
            <w:r>
              <w:rPr>
                <w:rFonts w:ascii="Arial" w:cs="Arial" w:eastAsia="Arial" w:hAnsi="Arial"/>
                <w:sz w:val="14"/>
                <w:szCs w:val="14"/>
                <w:b w:val="1"/>
                <w:bCs w:val="1"/>
                <w:color w:val="auto"/>
                <w:w w:val="95"/>
              </w:rPr>
              <w:t>Estimated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0"/>
              </w:rPr>
              <w:t>No. of</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00"/>
              <w:spacing w:after="0" w:line="144" w:lineRule="exact"/>
              <w:rPr>
                <w:sz w:val="20"/>
                <w:szCs w:val="20"/>
                <w:color w:val="auto"/>
              </w:rPr>
            </w:pPr>
            <w:r>
              <w:rPr>
                <w:rFonts w:ascii="Arial" w:cs="Arial" w:eastAsia="Arial" w:hAnsi="Arial"/>
                <w:sz w:val="14"/>
                <w:szCs w:val="14"/>
                <w:b w:val="1"/>
                <w:bCs w:val="1"/>
                <w:color w:val="auto"/>
                <w:w w:val="89"/>
              </w:rPr>
              <w:t>Aggregate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7"/>
        </w:trPr>
        <w:tc>
          <w:tcPr>
            <w:tcW w:w="2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center"/>
              <w:ind w:right="20"/>
              <w:spacing w:after="0" w:line="157" w:lineRule="exact"/>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320"/>
              <w:spacing w:after="0" w:line="157" w:lineRule="exact"/>
              <w:rPr>
                <w:sz w:val="20"/>
                <w:szCs w:val="20"/>
                <w:color w:val="auto"/>
              </w:rPr>
            </w:pPr>
            <w:r>
              <w:rPr>
                <w:rFonts w:ascii="Arial" w:cs="Arial" w:eastAsia="Arial" w:hAnsi="Arial"/>
                <w:sz w:val="14"/>
                <w:szCs w:val="14"/>
                <w:b w:val="1"/>
                <w:bCs w:val="1"/>
                <w:color w:val="auto"/>
                <w:w w:val="95"/>
              </w:rPr>
              <w:t>Unrealized</w:t>
            </w:r>
          </w:p>
        </w:tc>
        <w:tc>
          <w:tcPr>
            <w:tcW w:w="9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88"/>
              </w:rPr>
              <w:t>Positions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center"/>
              <w:ind w:right="41"/>
              <w:spacing w:after="0" w:line="157" w:lineRule="exact"/>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w w:val="95"/>
              </w:rPr>
              <w:t>Unrealized</w:t>
            </w:r>
          </w:p>
        </w:tc>
        <w:tc>
          <w:tcPr>
            <w:tcW w:w="9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88"/>
              </w:rPr>
              <w:t>Positions</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w w:val="93"/>
              </w:rPr>
              <w:t>Unrealized</w:t>
            </w:r>
          </w:p>
        </w:tc>
      </w:tr>
      <w:tr>
        <w:trPr>
          <w:trHeight w:val="177"/>
        </w:trPr>
        <w:tc>
          <w:tcPr>
            <w:tcW w:w="2300" w:type="dxa"/>
            <w:vAlign w:val="bottom"/>
          </w:tcPr>
          <w:p>
            <w:pPr>
              <w:ind w:left="40"/>
              <w:spacing w:after="0"/>
              <w:rPr>
                <w:sz w:val="20"/>
                <w:szCs w:val="20"/>
                <w:color w:val="auto"/>
              </w:rPr>
            </w:pPr>
            <w:r>
              <w:rPr>
                <w:rFonts w:ascii="Arial" w:cs="Arial" w:eastAsia="Arial" w:hAnsi="Arial"/>
                <w:sz w:val="14"/>
                <w:szCs w:val="14"/>
                <w:b w:val="1"/>
                <w:bCs w:val="1"/>
                <w:color w:val="auto"/>
              </w:rPr>
              <w:t>Categor</w:t>
            </w:r>
            <w:r>
              <w:rPr>
                <w:rFonts w:ascii="Arial" w:cs="Arial" w:eastAsia="Arial" w:hAnsi="Arial"/>
                <w:sz w:val="14"/>
                <w:szCs w:val="14"/>
                <w:color w:val="auto"/>
              </w:rPr>
              <w:t>y</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ind w:right="20"/>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2"/>
              </w:rPr>
              <w:t>Losses</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8"/>
              </w:rPr>
              <w:t>Held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ind w:right="41"/>
              <w:spacing w:after="0"/>
              <w:rPr>
                <w:sz w:val="20"/>
                <w:szCs w:val="20"/>
                <w:color w:val="auto"/>
              </w:rPr>
            </w:pPr>
            <w:r>
              <w:rPr>
                <w:rFonts w:ascii="Arial" w:cs="Arial" w:eastAsia="Arial" w:hAnsi="Arial"/>
                <w:sz w:val="14"/>
                <w:szCs w:val="14"/>
                <w:b w:val="1"/>
                <w:bCs w:val="1"/>
                <w:color w:val="auto"/>
                <w:w w:val="96"/>
              </w:rPr>
              <w:t>Value</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8"/>
              </w:rPr>
              <w:t>Held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2"/>
              </w:rPr>
              <w:t>Losses</w:t>
            </w:r>
          </w:p>
        </w:tc>
      </w:tr>
      <w:tr>
        <w:trPr>
          <w:trHeight w:val="469"/>
        </w:trPr>
        <w:tc>
          <w:tcPr>
            <w:tcW w:w="230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Fixed-Maturity Securities:</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35"/>
        </w:trPr>
        <w:tc>
          <w:tcPr>
            <w:tcW w:w="2300" w:type="dxa"/>
            <w:vAlign w:val="bottom"/>
          </w:tcPr>
          <w:p>
            <w:pPr>
              <w:ind w:left="40"/>
              <w:spacing w:after="0"/>
              <w:rPr>
                <w:sz w:val="20"/>
                <w:szCs w:val="20"/>
                <w:color w:val="auto"/>
              </w:rPr>
            </w:pPr>
            <w:r>
              <w:rPr>
                <w:rFonts w:ascii="Arial" w:cs="Arial" w:eastAsia="Arial" w:hAnsi="Arial"/>
                <w:sz w:val="17"/>
                <w:szCs w:val="17"/>
                <w:color w:val="auto"/>
              </w:rPr>
              <w:t>U.S. Treasury securities</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5"/>
        </w:trPr>
        <w:tc>
          <w:tcPr>
            <w:tcW w:w="2300" w:type="dxa"/>
            <w:vAlign w:val="bottom"/>
          </w:tcPr>
          <w:p>
            <w:pPr>
              <w:ind w:left="40"/>
              <w:spacing w:after="0"/>
              <w:rPr>
                <w:sz w:val="20"/>
                <w:szCs w:val="20"/>
                <w:color w:val="auto"/>
              </w:rPr>
            </w:pPr>
            <w:r>
              <w:rPr>
                <w:rFonts w:ascii="Arial" w:cs="Arial" w:eastAsia="Arial" w:hAnsi="Arial"/>
                <w:sz w:val="17"/>
                <w:szCs w:val="17"/>
                <w:color w:val="auto"/>
              </w:rPr>
              <w:t>and obligations of U.S.</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2300" w:type="dxa"/>
            <w:vAlign w:val="bottom"/>
          </w:tcPr>
          <w:p>
            <w:pPr>
              <w:ind w:left="40"/>
              <w:spacing w:after="0"/>
              <w:rPr>
                <w:sz w:val="20"/>
                <w:szCs w:val="20"/>
                <w:color w:val="auto"/>
              </w:rPr>
            </w:pPr>
            <w:r>
              <w:rPr>
                <w:rFonts w:ascii="Arial" w:cs="Arial" w:eastAsia="Arial" w:hAnsi="Arial"/>
                <w:sz w:val="17"/>
                <w:szCs w:val="17"/>
                <w:color w:val="auto"/>
              </w:rPr>
              <w:t>government corporations</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2300" w:type="dxa"/>
            <w:vAlign w:val="bottom"/>
            <w:shd w:val="clear" w:color="auto" w:fill="CCEEFF"/>
          </w:tcPr>
          <w:p>
            <w:pPr>
              <w:ind w:left="40"/>
              <w:spacing w:after="0"/>
              <w:rPr>
                <w:sz w:val="20"/>
                <w:szCs w:val="20"/>
                <w:color w:val="auto"/>
              </w:rPr>
            </w:pPr>
            <w:r>
              <w:rPr>
                <w:rFonts w:ascii="Arial" w:cs="Arial" w:eastAsia="Arial" w:hAnsi="Arial"/>
                <w:sz w:val="17"/>
                <w:szCs w:val="17"/>
                <w:color w:val="auto"/>
              </w:rPr>
              <w:t>and agencies</w:t>
            </w: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4,948,530</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(28,000)</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4,948,530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(28,000)</w:t>
            </w:r>
          </w:p>
        </w:tc>
      </w:tr>
      <w:tr>
        <w:trPr>
          <w:trHeight w:val="209"/>
        </w:trPr>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2300" w:type="dxa"/>
            <w:vAlign w:val="bottom"/>
            <w:shd w:val="clear" w:color="auto" w:fill="CCEEFF"/>
          </w:tcPr>
          <w:p>
            <w:pPr>
              <w:ind w:left="40"/>
              <w:spacing w:after="0"/>
              <w:rPr>
                <w:sz w:val="20"/>
                <w:szCs w:val="20"/>
                <w:color w:val="auto"/>
              </w:rPr>
            </w:pPr>
            <w:r>
              <w:rPr>
                <w:rFonts w:ascii="Arial" w:cs="Arial" w:eastAsia="Arial" w:hAnsi="Arial"/>
                <w:sz w:val="17"/>
                <w:szCs w:val="17"/>
                <w:color w:val="auto"/>
              </w:rPr>
              <w:t>Political subdivisions of</w:t>
            </w: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9"/>
        </w:trPr>
        <w:tc>
          <w:tcPr>
            <w:tcW w:w="2300" w:type="dxa"/>
            <w:vAlign w:val="bottom"/>
          </w:tcPr>
          <w:p>
            <w:pPr>
              <w:ind w:left="40"/>
              <w:spacing w:after="0"/>
              <w:rPr>
                <w:sz w:val="20"/>
                <w:szCs w:val="20"/>
                <w:color w:val="auto"/>
              </w:rPr>
            </w:pPr>
            <w:r>
              <w:rPr>
                <w:rFonts w:ascii="Arial" w:cs="Arial" w:eastAsia="Arial" w:hAnsi="Arial"/>
                <w:sz w:val="17"/>
                <w:szCs w:val="17"/>
                <w:color w:val="auto"/>
              </w:rPr>
              <w:t>States, Territories and</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2300" w:type="dxa"/>
            <w:vAlign w:val="bottom"/>
            <w:shd w:val="clear" w:color="auto" w:fill="CCEEFF"/>
          </w:tcPr>
          <w:p>
            <w:pPr>
              <w:ind w:left="40"/>
              <w:spacing w:after="0"/>
              <w:rPr>
                <w:sz w:val="20"/>
                <w:szCs w:val="20"/>
                <w:color w:val="auto"/>
              </w:rPr>
            </w:pPr>
            <w:r>
              <w:rPr>
                <w:rFonts w:ascii="Arial" w:cs="Arial" w:eastAsia="Arial" w:hAnsi="Arial"/>
                <w:sz w:val="17"/>
                <w:szCs w:val="17"/>
                <w:color w:val="auto"/>
              </w:rPr>
              <w:t>Possessions</w:t>
            </w: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555,375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(12,327)</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1,436,242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(36,508)</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1,991,617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(48,835)</w:t>
            </w:r>
          </w:p>
        </w:tc>
      </w:tr>
      <w:tr>
        <w:trPr>
          <w:trHeight w:val="209"/>
        </w:trPr>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230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Corporate and other</w:t>
            </w: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9"/>
        </w:trPr>
        <w:tc>
          <w:tcPr>
            <w:tcW w:w="2300" w:type="dxa"/>
            <w:vAlign w:val="bottom"/>
          </w:tcPr>
          <w:p>
            <w:pPr>
              <w:ind w:left="40"/>
              <w:spacing w:after="0"/>
              <w:rPr>
                <w:sz w:val="20"/>
                <w:szCs w:val="20"/>
                <w:color w:val="auto"/>
              </w:rPr>
            </w:pPr>
            <w:r>
              <w:rPr>
                <w:rFonts w:ascii="Arial" w:cs="Arial" w:eastAsia="Arial" w:hAnsi="Arial"/>
                <w:sz w:val="17"/>
                <w:szCs w:val="17"/>
                <w:color w:val="auto"/>
              </w:rPr>
              <w:t>bonds industrial and</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2300" w:type="dxa"/>
            <w:vAlign w:val="bottom"/>
            <w:shd w:val="clear" w:color="auto" w:fill="CCEEFF"/>
          </w:tcPr>
          <w:p>
            <w:pPr>
              <w:ind w:left="40"/>
              <w:spacing w:after="0"/>
              <w:rPr>
                <w:sz w:val="20"/>
                <w:szCs w:val="20"/>
                <w:color w:val="auto"/>
              </w:rPr>
            </w:pPr>
            <w:r>
              <w:rPr>
                <w:rFonts w:ascii="Arial" w:cs="Arial" w:eastAsia="Arial" w:hAnsi="Arial"/>
                <w:sz w:val="17"/>
                <w:szCs w:val="17"/>
                <w:color w:val="auto"/>
              </w:rPr>
              <w:t>miscellaneous</w:t>
            </w: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1"/>
              </w:rPr>
              <w:t>81,004,459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6"/>
              </w:rPr>
              <w:t>(2,775,540)</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1"/>
              </w:rPr>
              <w:t>13,424,888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(676,605)</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1"/>
              </w:rPr>
              <w:t>94,429,347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4"/>
              </w:rPr>
              <w:t>(3,452,145)</w:t>
            </w:r>
          </w:p>
        </w:tc>
      </w:tr>
      <w:tr>
        <w:trPr>
          <w:trHeight w:val="209"/>
        </w:trPr>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2300" w:type="dxa"/>
            <w:vAlign w:val="bottom"/>
            <w:shd w:val="clear" w:color="auto" w:fill="CCEEFF"/>
          </w:tcPr>
          <w:p>
            <w:pPr>
              <w:ind w:left="40"/>
              <w:spacing w:after="0"/>
              <w:rPr>
                <w:sz w:val="20"/>
                <w:szCs w:val="20"/>
                <w:color w:val="auto"/>
              </w:rPr>
            </w:pPr>
            <w:r>
              <w:rPr>
                <w:rFonts w:ascii="Arial" w:cs="Arial" w:eastAsia="Arial" w:hAnsi="Arial"/>
                <w:sz w:val="17"/>
                <w:szCs w:val="17"/>
                <w:color w:val="auto"/>
                <w:w w:val="94"/>
              </w:rPr>
              <w:t>Residential mortgage and other</w:t>
            </w: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2300" w:type="dxa"/>
            <w:vAlign w:val="bottom"/>
          </w:tcPr>
          <w:p>
            <w:pPr>
              <w:ind w:left="40"/>
              <w:spacing w:after="0"/>
              <w:rPr>
                <w:sz w:val="20"/>
                <w:szCs w:val="20"/>
                <w:color w:val="auto"/>
              </w:rPr>
            </w:pPr>
            <w:r>
              <w:rPr>
                <w:rFonts w:ascii="Arial" w:cs="Arial" w:eastAsia="Arial" w:hAnsi="Arial"/>
                <w:sz w:val="17"/>
                <w:szCs w:val="17"/>
                <w:color w:val="auto"/>
              </w:rPr>
              <w:t>asset backed securities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7,002,713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(231,229)</w:t>
            </w:r>
          </w:p>
        </w:tc>
        <w:tc>
          <w:tcPr>
            <w:tcW w:w="900" w:type="dxa"/>
            <w:vAlign w:val="bottom"/>
          </w:tcPr>
          <w:p>
            <w:pPr>
              <w:jc w:val="right"/>
              <w:spacing w:after="0"/>
              <w:rPr>
                <w:sz w:val="20"/>
                <w:szCs w:val="20"/>
                <w:color w:val="auto"/>
              </w:rPr>
            </w:pPr>
            <w:r>
              <w:rPr>
                <w:rFonts w:ascii="Arial" w:cs="Arial" w:eastAsia="Arial" w:hAnsi="Arial"/>
                <w:sz w:val="17"/>
                <w:szCs w:val="17"/>
                <w:color w:val="auto"/>
              </w:rPr>
              <w:t>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91"/>
              </w:rPr>
              <w:t>11,928,425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(331,012)</w:t>
            </w:r>
          </w:p>
        </w:tc>
        <w:tc>
          <w:tcPr>
            <w:tcW w:w="920" w:type="dxa"/>
            <w:vAlign w:val="bottom"/>
          </w:tcPr>
          <w:p>
            <w:pPr>
              <w:jc w:val="right"/>
              <w:spacing w:after="0"/>
              <w:rPr>
                <w:sz w:val="20"/>
                <w:szCs w:val="20"/>
                <w:color w:val="auto"/>
              </w:rPr>
            </w:pPr>
            <w:r>
              <w:rPr>
                <w:rFonts w:ascii="Arial" w:cs="Arial" w:eastAsia="Arial" w:hAnsi="Arial"/>
                <w:sz w:val="17"/>
                <w:szCs w:val="17"/>
                <w:color w:val="auto"/>
              </w:rPr>
              <w:t>19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w w:val="91"/>
              </w:rPr>
              <w:t>18,931,138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(562,241)</w:t>
            </w:r>
          </w:p>
        </w:tc>
      </w:tr>
      <w:tr>
        <w:trPr>
          <w:trHeight w:val="209"/>
        </w:trPr>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9"/>
        </w:trPr>
        <w:tc>
          <w:tcPr>
            <w:tcW w:w="2300" w:type="dxa"/>
            <w:vAlign w:val="bottom"/>
          </w:tcPr>
          <w:p>
            <w:pPr>
              <w:ind w:left="40"/>
              <w:spacing w:after="0"/>
              <w:rPr>
                <w:sz w:val="20"/>
                <w:szCs w:val="20"/>
                <w:color w:val="auto"/>
              </w:rPr>
            </w:pPr>
            <w:r>
              <w:rPr>
                <w:rFonts w:ascii="Arial" w:cs="Arial" w:eastAsia="Arial" w:hAnsi="Arial"/>
                <w:sz w:val="17"/>
                <w:szCs w:val="17"/>
                <w:color w:val="auto"/>
              </w:rPr>
              <w:t>Total fixed-maturity</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9"/>
        </w:trPr>
        <w:tc>
          <w:tcPr>
            <w:tcW w:w="2300" w:type="dxa"/>
            <w:vAlign w:val="bottom"/>
            <w:shd w:val="clear" w:color="auto" w:fill="CCEEFF"/>
          </w:tcPr>
          <w:p>
            <w:pPr>
              <w:ind w:left="40"/>
              <w:spacing w:after="0"/>
              <w:rPr>
                <w:sz w:val="20"/>
                <w:szCs w:val="20"/>
                <w:color w:val="auto"/>
              </w:rPr>
            </w:pPr>
            <w:r>
              <w:rPr>
                <w:rFonts w:ascii="Arial" w:cs="Arial" w:eastAsia="Arial" w:hAnsi="Arial"/>
                <w:sz w:val="17"/>
                <w:szCs w:val="17"/>
                <w:color w:val="auto"/>
              </w:rPr>
              <w:t>securities</w:t>
            </w: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1"/>
              </w:rPr>
              <w:t>93,511,077</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6"/>
              </w:rPr>
              <w:t>(3,047,096)</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1"/>
              </w:rPr>
              <w:t>26,789,555</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(1,044,125)</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24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120,300,632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4"/>
              </w:rPr>
              <w:t>(4,091,221)</w:t>
            </w:r>
          </w:p>
        </w:tc>
      </w:tr>
      <w:tr>
        <w:trPr>
          <w:trHeight w:val="645"/>
        </w:trPr>
        <w:tc>
          <w:tcPr>
            <w:tcW w:w="230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7"/>
                <w:szCs w:val="17"/>
                <w:color w:val="auto"/>
                <w:w w:val="84"/>
              </w:rPr>
              <w:t>69</w:t>
            </w:r>
          </w:p>
        </w:tc>
        <w:tc>
          <w:tcPr>
            <w:tcW w:w="10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72" w:name="page73"/>
    <w:bookmarkEnd w:id="72"/>
    <w:p>
      <w:pPr>
        <w:jc w:val="both"/>
        <w:ind w:firstLine="628"/>
        <w:spacing w:after="0" w:line="283" w:lineRule="auto"/>
        <w:rPr>
          <w:sz w:val="20"/>
          <w:szCs w:val="20"/>
          <w:color w:val="auto"/>
        </w:rPr>
      </w:pPr>
      <w:r>
        <w:rPr>
          <w:rFonts w:ascii="Arial" w:cs="Arial" w:eastAsia="Arial" w:hAnsi="Arial"/>
          <w:sz w:val="16"/>
          <w:szCs w:val="16"/>
          <w:color w:val="auto"/>
        </w:rPr>
        <w:t>There were 49 securities at June 30, 2019 that accounted for the gross unrealized loss of our fixed-maturity securities available-for-sale, none of which were deemed by us to be other than temporarily impaired. There were 156 securities at December 31, 2018 that accounted for the gross unrealized loss, none of which were deemed by us to be other than temporarily impaired. Significant factors influencing our determination that unrealized losses were temporary included the magnitude of the unrealized losses in relation to each security’s cost, the nature of the investment and management’s intent not to sell these securities and it being not more likely than not that we will be required to sell these investments before anticipated recovery of fair value to our cost basis.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Cash Flows</w:t>
      </w:r>
    </w:p>
    <w:p>
      <w:pPr>
        <w:spacing w:after="0" w:line="158" w:lineRule="exact"/>
        <w:rPr>
          <w:sz w:val="20"/>
          <w:szCs w:val="20"/>
          <w:color w:val="auto"/>
        </w:rPr>
      </w:pPr>
    </w:p>
    <w:p>
      <w:pPr>
        <w:jc w:val="both"/>
        <w:ind w:firstLine="628"/>
        <w:spacing w:after="0" w:line="263" w:lineRule="auto"/>
        <w:rPr>
          <w:sz w:val="20"/>
          <w:szCs w:val="20"/>
          <w:color w:val="auto"/>
        </w:rPr>
      </w:pPr>
      <w:r>
        <w:rPr>
          <w:rFonts w:ascii="Arial" w:cs="Arial" w:eastAsia="Arial" w:hAnsi="Arial"/>
          <w:sz w:val="17"/>
          <w:szCs w:val="17"/>
          <w:color w:val="auto"/>
        </w:rPr>
        <w:t>The primary sources of cash flow are from our insurance underwriting subsidiary, KICO, and include direct premiums written, ceding commissions from our quota share reinsurers, loss recovery payments from our reinsurers, investment income and proceeds from the sale or maturity of investments. Funds are used by KICO for ceded premium payments to reinsurers, which are paid on a net basis after subtracting losses paid on reinsured claims and reinsurance commissions. KICO also uses funds for loss payments and loss adjustment expenses on our net business, commissions to producers, salaries and other underwriting expenses as well as to purchase investments and fixed assets.</w:t>
      </w:r>
    </w:p>
    <w:p>
      <w:pPr>
        <w:spacing w:after="0" w:line="119"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For the six months ended June 30, 2019, the primary source of cash flow for our holding company was the dividends received from KICO, subject to statutory restrictions. For the six months ended June 30, 2019, KICO paid dividends of $4,000,000 to us.</w:t>
      </w:r>
    </w:p>
    <w:p>
      <w:pPr>
        <w:spacing w:after="0" w:line="105" w:lineRule="exact"/>
        <w:rPr>
          <w:sz w:val="20"/>
          <w:szCs w:val="20"/>
          <w:color w:val="auto"/>
        </w:rPr>
      </w:pPr>
    </w:p>
    <w:p>
      <w:pPr>
        <w:jc w:val="both"/>
        <w:ind w:firstLine="628"/>
        <w:spacing w:after="0" w:line="279" w:lineRule="auto"/>
        <w:rPr>
          <w:sz w:val="20"/>
          <w:szCs w:val="20"/>
          <w:color w:val="auto"/>
        </w:rPr>
      </w:pPr>
      <w:r>
        <w:rPr>
          <w:rFonts w:ascii="Arial" w:cs="Arial" w:eastAsia="Arial" w:hAnsi="Arial"/>
          <w:sz w:val="16"/>
          <w:szCs w:val="16"/>
          <w:color w:val="auto"/>
        </w:rPr>
        <w:t>KICO is a member of the Federal Home Loan Bank of New York, which provides additional access to liquidity. Members have access to a variety of flexible, low cost funding through FHLBNY’s credit products, enabling members to customize advances. Advances are to be fully collateralized; eligible collateral to pledge to FHLBNY includes residential and commercial mortgage backed securities, along with U.S. Treasury and agency securities. See Note 3 to our consolidated financial statements –Investments, for eligible collateral held in a designated custodian account available for future advances. Advances are limited to 5% of KICO’s net admitted assets as of March 31, 2019 and are due and payable within one year of borrowing. The maximum allowable advance as of June 30, 2019, based on the net admitted assets as of March 31, 2019, was approximately $11,060,000. Advances are limited to 90% of the amount of available collateral, which was approximately $4,819,000 as of June 30, 2019. There were no borrowings under this facility during the six months ended June 30, 2019.</w:t>
      </w:r>
    </w:p>
    <w:p>
      <w:pPr>
        <w:spacing w:after="0" w:line="112" w:lineRule="exact"/>
        <w:rPr>
          <w:sz w:val="20"/>
          <w:szCs w:val="20"/>
          <w:color w:val="auto"/>
        </w:rPr>
      </w:pPr>
    </w:p>
    <w:p>
      <w:pPr>
        <w:jc w:val="both"/>
        <w:ind w:firstLine="661"/>
        <w:spacing w:after="0" w:line="281" w:lineRule="auto"/>
        <w:rPr>
          <w:sz w:val="20"/>
          <w:szCs w:val="20"/>
          <w:color w:val="auto"/>
        </w:rPr>
      </w:pPr>
      <w:r>
        <w:rPr>
          <w:rFonts w:ascii="Arial" w:cs="Arial" w:eastAsia="Arial" w:hAnsi="Arial"/>
          <w:sz w:val="17"/>
          <w:szCs w:val="17"/>
          <w:color w:val="auto"/>
        </w:rPr>
        <w:t>As of June 30, 2019, invested assets and cash in our holding company totaled approximately $1,771,000. If the aforementioned sources of cash flow currently available are insufficient to cover our holding company cash requirements, we will seek to obtain additional financing.</w:t>
      </w:r>
    </w:p>
    <w:p>
      <w:pPr>
        <w:spacing w:after="0" w:line="170"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Our reconciliation of net income to net cash provided by operations is generally influenced by the collection of premiums in advance of paid losses, the timing of reinsurance, issuing company settlements and loss payments.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73" w:name="page74"/>
    <w:bookmarkEnd w:id="73"/>
    <w:p>
      <w:pPr>
        <w:ind w:firstLine="628"/>
        <w:spacing w:after="0" w:line="281" w:lineRule="auto"/>
        <w:rPr>
          <w:sz w:val="20"/>
          <w:szCs w:val="20"/>
          <w:color w:val="auto"/>
        </w:rPr>
      </w:pPr>
      <w:r>
        <w:rPr>
          <w:rFonts w:ascii="Arial" w:cs="Arial" w:eastAsia="Arial" w:hAnsi="Arial"/>
          <w:sz w:val="17"/>
          <w:szCs w:val="17"/>
          <w:color w:val="auto"/>
        </w:rPr>
        <w:t>Cash flow and liquidity are categorized into three sources: (1) operating activities; (2) investing activities; and (3) financing activities, which are shown in the following table:</w:t>
      </w:r>
    </w:p>
    <w:p>
      <w:pPr>
        <w:sectPr>
          <w:pgSz w:w="11900" w:h="16838" w:orient="portrait"/>
          <w:cols w:equalWidth="0" w:num="1">
            <w:col w:w="11420"/>
          </w:cols>
          <w:pgMar w:left="240" w:top="550" w:right="239" w:bottom="1440" w:gutter="0" w:footer="0" w:header="0"/>
        </w:sectPr>
      </w:pP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31115</wp:posOffset>
            </wp:positionV>
            <wp:extent cx="5514975" cy="16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514975" cy="16510"/>
                    </a:xfrm>
                    <a:prstGeom prst="rect">
                      <a:avLst/>
                    </a:prstGeom>
                    <a:noFill/>
                  </pic:spPr>
                </pic:pic>
              </a:graphicData>
            </a:graphic>
          </wp:anchor>
        </w:drawing>
      </w:r>
    </w:p>
    <w:p>
      <w:pPr>
        <w:spacing w:after="0" w:line="308" w:lineRule="exact"/>
        <w:rPr>
          <w:sz w:val="20"/>
          <w:szCs w:val="20"/>
          <w:color w:val="auto"/>
        </w:rPr>
      </w:pPr>
    </w:p>
    <w:p>
      <w:pPr>
        <w:ind w:left="40"/>
        <w:spacing w:after="0"/>
        <w:rPr>
          <w:sz w:val="20"/>
          <w:szCs w:val="20"/>
          <w:color w:val="auto"/>
        </w:rPr>
      </w:pPr>
      <w:r>
        <w:rPr>
          <w:rFonts w:ascii="Arial" w:cs="Arial" w:eastAsia="Arial" w:hAnsi="Arial"/>
          <w:sz w:val="15"/>
          <w:szCs w:val="15"/>
          <w:color w:val="auto"/>
        </w:rPr>
        <w:t>Cash flows provided by (used in):</w:t>
      </w:r>
    </w:p>
    <w:p>
      <w:pPr>
        <w:spacing w:after="0" w:line="4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Operating activities</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Investing activities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left="420"/>
        <w:spacing w:after="0"/>
        <w:tabs>
          <w:tab w:leader="none" w:pos="176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wp:posOffset>
            </wp:positionV>
            <wp:extent cx="1561465" cy="16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561465" cy="165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spacing w:after="0"/>
        <w:tabs>
          <w:tab w:leader="none" w:pos="320" w:val="left"/>
          <w:tab w:leader="none" w:pos="1360" w:val="left"/>
          <w:tab w:leader="none" w:pos="1760" w:val="left"/>
        </w:tabs>
        <w:rPr>
          <w:sz w:val="20"/>
          <w:szCs w:val="20"/>
          <w:color w:val="auto"/>
        </w:rPr>
      </w:pPr>
      <w:r>
        <w:rPr>
          <w:rFonts w:ascii="Arial" w:cs="Arial" w:eastAsia="Arial" w:hAnsi="Arial"/>
          <w:sz w:val="17"/>
          <w:szCs w:val="17"/>
          <w:color w:val="auto"/>
        </w:rPr>
        <w:t>$</w:t>
        <w:tab/>
        <w:t>10,800,684</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5,953,098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-5596890</wp:posOffset>
            </wp:positionH>
            <wp:positionV relativeFrom="paragraph">
              <wp:posOffset>-118110</wp:posOffset>
            </wp:positionV>
            <wp:extent cx="7251065" cy="132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jc w:val="both"/>
        <w:ind w:left="280"/>
        <w:spacing w:after="0"/>
        <w:tabs>
          <w:tab w:leader="none" w:pos="1620" w:val="left"/>
        </w:tabs>
        <w:rPr>
          <w:sz w:val="20"/>
          <w:szCs w:val="20"/>
          <w:color w:val="auto"/>
        </w:rPr>
      </w:pPr>
      <w:r>
        <w:rPr>
          <w:rFonts w:ascii="Arial" w:cs="Arial" w:eastAsia="Arial" w:hAnsi="Arial"/>
          <w:sz w:val="17"/>
          <w:szCs w:val="17"/>
          <w:color w:val="auto"/>
        </w:rPr>
        <w:t>(10,790,645)</w:t>
      </w:r>
      <w:r>
        <w:rPr>
          <w:sz w:val="20"/>
          <w:szCs w:val="20"/>
          <w:color w:val="auto"/>
        </w:rPr>
        <w:tab/>
      </w:r>
      <w:r>
        <w:rPr>
          <w:rFonts w:ascii="Arial" w:cs="Arial" w:eastAsia="Arial" w:hAnsi="Arial"/>
          <w:sz w:val="17"/>
          <w:szCs w:val="17"/>
          <w:color w:val="auto"/>
        </w:rPr>
        <w:t>(31,955,368)</w:t>
      </w:r>
    </w:p>
    <w:p>
      <w:pPr>
        <w:spacing w:after="0" w:line="30" w:lineRule="exact"/>
        <w:rPr>
          <w:sz w:val="20"/>
          <w:szCs w:val="20"/>
          <w:color w:val="auto"/>
        </w:rPr>
      </w:pPr>
    </w:p>
    <w:p>
      <w:pPr>
        <w:sectPr>
          <w:pgSz w:w="11900" w:h="16838" w:orient="portrait"/>
          <w:cols w:equalWidth="0" w:num="2">
            <w:col w:w="8100" w:space="720"/>
            <w:col w:w="2600"/>
          </w:cols>
          <w:pgMar w:left="240" w:top="550" w:right="23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88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Financing activities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(2,252,637)</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(2,991,392)</w:t>
            </w:r>
          </w:p>
        </w:tc>
      </w:tr>
      <w:tr>
        <w:trPr>
          <w:trHeight w:val="26"/>
        </w:trPr>
        <w:tc>
          <w:tcPr>
            <w:tcW w:w="8840" w:type="dxa"/>
            <w:vAlign w:val="bottom"/>
            <w:tcBorders>
              <w:right w:val="single" w:sz="8" w:color="CCEEFF"/>
            </w:tcBorders>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09"/>
        </w:trPr>
        <w:tc>
          <w:tcPr>
            <w:tcW w:w="8840" w:type="dxa"/>
            <w:vAlign w:val="bottom"/>
          </w:tcPr>
          <w:p>
            <w:pPr>
              <w:ind w:left="40"/>
              <w:spacing w:after="0"/>
              <w:rPr>
                <w:sz w:val="20"/>
                <w:szCs w:val="20"/>
                <w:color w:val="auto"/>
              </w:rPr>
            </w:pPr>
            <w:r>
              <w:rPr>
                <w:rFonts w:ascii="Arial" w:cs="Arial" w:eastAsia="Arial" w:hAnsi="Arial"/>
                <w:sz w:val="17"/>
                <w:szCs w:val="17"/>
                <w:b w:val="1"/>
                <w:bCs w:val="1"/>
                <w:color w:val="auto"/>
              </w:rPr>
              <w:t>Net decrease in cash and cash equivalents</w:t>
            </w: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(2,242,598)</w:t>
            </w: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(28,993,662)</w:t>
            </w:r>
          </w:p>
        </w:tc>
      </w:tr>
      <w:tr>
        <w:trPr>
          <w:trHeight w:val="215"/>
        </w:trPr>
        <w:tc>
          <w:tcPr>
            <w:tcW w:w="8840" w:type="dxa"/>
            <w:vAlign w:val="bottom"/>
            <w:tcBorders>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and cash equivalents, beginning of period</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21,138,403</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48,381,633</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8840" w:type="dxa"/>
            <w:vAlign w:val="bottom"/>
          </w:tcPr>
          <w:p>
            <w:pPr>
              <w:ind w:left="40"/>
              <w:spacing w:after="0"/>
              <w:rPr>
                <w:sz w:val="20"/>
                <w:szCs w:val="20"/>
                <w:color w:val="auto"/>
              </w:rPr>
            </w:pPr>
            <w:r>
              <w:rPr>
                <w:rFonts w:ascii="Arial" w:cs="Arial" w:eastAsia="Arial" w:hAnsi="Arial"/>
                <w:sz w:val="17"/>
                <w:szCs w:val="17"/>
                <w:b w:val="1"/>
                <w:bCs w:val="1"/>
                <w:color w:val="auto"/>
              </w:rPr>
              <w:t>Cash and cash equivalents, end of period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   18,895,805</w:t>
            </w:r>
          </w:p>
        </w:tc>
        <w:tc>
          <w:tcPr>
            <w:tcW w:w="26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   19,387,971</w:t>
            </w:r>
          </w:p>
        </w:tc>
        <w:tc>
          <w:tcPr>
            <w:tcW w:w="120" w:type="dxa"/>
            <w:vAlign w:val="bottom"/>
          </w:tcPr>
          <w:p>
            <w:pPr>
              <w:spacing w:after="0"/>
              <w:rPr>
                <w:sz w:val="18"/>
                <w:szCs w:val="18"/>
                <w:color w:val="auto"/>
              </w:rPr>
            </w:pPr>
          </w:p>
        </w:tc>
      </w:tr>
      <w:tr>
        <w:trPr>
          <w:trHeight w:val="20"/>
        </w:trPr>
        <w:tc>
          <w:tcPr>
            <w:tcW w:w="88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7" w:lineRule="exact"/>
        <w:rPr>
          <w:sz w:val="20"/>
          <w:szCs w:val="20"/>
          <w:color w:val="auto"/>
        </w:rPr>
      </w:pPr>
    </w:p>
    <w:p>
      <w:pPr>
        <w:jc w:val="both"/>
        <w:ind w:firstLine="628"/>
        <w:spacing w:after="0" w:line="265" w:lineRule="auto"/>
        <w:rPr>
          <w:sz w:val="20"/>
          <w:szCs w:val="20"/>
          <w:color w:val="auto"/>
        </w:rPr>
      </w:pPr>
      <w:r>
        <w:rPr>
          <w:rFonts w:ascii="Arial" w:cs="Arial" w:eastAsia="Arial" w:hAnsi="Arial"/>
          <w:sz w:val="17"/>
          <w:szCs w:val="17"/>
          <w:color w:val="auto"/>
        </w:rPr>
        <w:t>Net cash provided by operating activities was $10,801,000 in 2019 as compared to $5,953,000 provided in 2018. The $4,848,000 increase in cash flows provided by operating activities in 2019 was primarily a result of an increase in cash arising from net fluctuations in assets and liabilities, partially offset by a decrease in net income (adjusted for non-cash items) of $9,573,000. The net fluctuations in assets and liabilities are related to operating activities of KICO as affected by the growth in its operations which are described above.</w:t>
      </w:r>
    </w:p>
    <w:p>
      <w:pPr>
        <w:spacing w:after="0" w:line="118" w:lineRule="exact"/>
        <w:rPr>
          <w:sz w:val="20"/>
          <w:szCs w:val="20"/>
          <w:color w:val="auto"/>
        </w:rPr>
      </w:pPr>
    </w:p>
    <w:p>
      <w:pPr>
        <w:jc w:val="both"/>
        <w:ind w:firstLine="628"/>
        <w:spacing w:after="0" w:line="269" w:lineRule="auto"/>
        <w:rPr>
          <w:sz w:val="20"/>
          <w:szCs w:val="20"/>
          <w:color w:val="auto"/>
        </w:rPr>
      </w:pPr>
      <w:r>
        <w:rPr>
          <w:rFonts w:ascii="Arial" w:cs="Arial" w:eastAsia="Arial" w:hAnsi="Arial"/>
          <w:sz w:val="17"/>
          <w:szCs w:val="17"/>
          <w:color w:val="auto"/>
        </w:rPr>
        <w:t>Net cash used in investing activities was $10,791,000 in 2019 compared to $31,955,000 used in 2018. The $21,164,000 decrease in net cash used in investing activities was the result of a $34,198,000 decrease in acquisitions of invested assets, partially offset by a $12,028,000 decrease in sales or maturities of invested assets and a $718,000 increase in fixed asset acquisitions in 2019.</w:t>
      </w:r>
    </w:p>
    <w:p>
      <w:pPr>
        <w:spacing w:after="0" w:line="114"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Net cash used in financing activities was $2,253,000 in 2019 compared to $2,991,000 used in 2018. The $738,000 decrease in net cash used in financing activities was primarily attributable to the purchase of $540,000 in treasury stock in 2018 and none in 2019.</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Reinsurance</w:t>
      </w:r>
    </w:p>
    <w:p>
      <w:pPr>
        <w:spacing w:after="0" w:line="162"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Our quota share reinsurance treaties are on a July 1 through June 30 fiscal year basis; therefore, for year to date fiscal periods after June 30, two separate treaties will be included in such periods.</w:t>
      </w:r>
    </w:p>
    <w:p>
      <w:pPr>
        <w:spacing w:after="0" w:line="170" w:lineRule="exact"/>
        <w:rPr>
          <w:sz w:val="20"/>
          <w:szCs w:val="20"/>
          <w:color w:val="auto"/>
        </w:rPr>
      </w:pPr>
    </w:p>
    <w:p>
      <w:pPr>
        <w:jc w:val="both"/>
        <w:ind w:firstLine="628"/>
        <w:spacing w:after="0" w:line="286" w:lineRule="auto"/>
        <w:rPr>
          <w:sz w:val="20"/>
          <w:szCs w:val="20"/>
          <w:color w:val="auto"/>
        </w:rPr>
      </w:pPr>
      <w:r>
        <w:rPr>
          <w:rFonts w:ascii="Arial" w:cs="Arial" w:eastAsia="Arial" w:hAnsi="Arial"/>
          <w:sz w:val="16"/>
          <w:szCs w:val="16"/>
          <w:color w:val="auto"/>
        </w:rPr>
        <w:t>Our quota share reinsurance treaties in effect for the six months ended June 30, 2019 and 2018 for our personal lines business, which primarily consists of homeowners’ policies, were covered under a treaty covering a two-year period from July 1, 2017 through June 30, 2019 (“2017-2019 Treaty”). The treaty in effect for the six months ended June 30, 2019 is covered under the July 1, 2018 through June 30, 2019 treaty year (“2018/2019 Treaty Year”) and the treaty in effect for the six months ended June 30, 2018 was covered under the July 1, 2017 through June 30, 2018 treaty year (“2017/2018 Treaty Year”).</w:t>
      </w:r>
    </w:p>
    <w:p>
      <w:pPr>
        <w:spacing w:after="0" w:line="169" w:lineRule="exact"/>
        <w:rPr>
          <w:sz w:val="20"/>
          <w:szCs w:val="20"/>
          <w:color w:val="auto"/>
        </w:rPr>
      </w:pPr>
    </w:p>
    <w:p>
      <w:pPr>
        <w:jc w:val="both"/>
        <w:ind w:firstLine="628"/>
        <w:spacing w:after="0" w:line="314" w:lineRule="auto"/>
        <w:rPr>
          <w:sz w:val="20"/>
          <w:szCs w:val="20"/>
          <w:color w:val="auto"/>
        </w:rPr>
      </w:pPr>
      <w:r>
        <w:rPr>
          <w:rFonts w:ascii="Arial" w:cs="Arial" w:eastAsia="Arial" w:hAnsi="Arial"/>
          <w:sz w:val="16"/>
          <w:szCs w:val="16"/>
          <w:color w:val="auto"/>
        </w:rPr>
        <w:t>In August 2018, we terminated our contract with one of the reinsurers that was a party to the 2017/2019 Treaty. This termination was retroactive to July 1, 2018 and had the effect of reducing the quota share ceding rate to 10% under the 2018/2019 Treaty Year from 20% under the 2017/2018 Treaty Year.</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type w:val="continuous"/>
        </w:sectPr>
      </w:pPr>
    </w:p>
    <w:bookmarkStart w:id="74" w:name="page75"/>
    <w:bookmarkEnd w:id="74"/>
    <w:p>
      <w:pPr>
        <w:jc w:val="both"/>
        <w:ind w:firstLine="628"/>
        <w:spacing w:after="0" w:line="269" w:lineRule="auto"/>
        <w:rPr>
          <w:sz w:val="20"/>
          <w:szCs w:val="20"/>
          <w:color w:val="auto"/>
        </w:rPr>
      </w:pPr>
      <w:r>
        <w:rPr>
          <w:rFonts w:ascii="Arial" w:cs="Arial" w:eastAsia="Arial" w:hAnsi="Arial"/>
          <w:sz w:val="17"/>
          <w:szCs w:val="17"/>
          <w:color w:val="auto"/>
        </w:rPr>
        <w:t>Effective July 1, 2019, our 2017/2019 Treaty and commercial umbrella treaty expired on a run-off basis; these treaties were not renewed. We entered into new excess of loss and catastrophe reinsurance treaties effective July 1, 2019. Material terms for our reinsurance treaties in effect for the treaty years shown below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4"/>
              </w:rPr>
              <w:t>Treaty Year</w:t>
            </w:r>
          </w:p>
        </w:tc>
        <w:tc>
          <w:tcPr>
            <w:tcW w:w="13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480" w:type="dxa"/>
            <w:vAlign w:val="bottom"/>
            <w:gridSpan w:val="2"/>
          </w:tcPr>
          <w:p>
            <w:pPr>
              <w:jc w:val="center"/>
              <w:ind w:right="120"/>
              <w:spacing w:after="0" w:line="144" w:lineRule="exact"/>
              <w:rPr>
                <w:sz w:val="20"/>
                <w:szCs w:val="20"/>
                <w:color w:val="auto"/>
              </w:rPr>
            </w:pPr>
            <w:r>
              <w:rPr>
                <w:rFonts w:ascii="Arial" w:cs="Arial" w:eastAsia="Arial" w:hAnsi="Arial"/>
                <w:sz w:val="14"/>
                <w:szCs w:val="14"/>
                <w:b w:val="1"/>
                <w:bCs w:val="1"/>
                <w:color w:val="auto"/>
                <w:w w:val="91"/>
              </w:rPr>
              <w:t>July 1, 2019</w:t>
            </w:r>
          </w:p>
        </w:tc>
        <w:tc>
          <w:tcPr>
            <w:tcW w:w="1480" w:type="dxa"/>
            <w:vAlign w:val="bottom"/>
            <w:gridSpan w:val="2"/>
          </w:tcPr>
          <w:p>
            <w:pPr>
              <w:jc w:val="center"/>
              <w:ind w:right="100"/>
              <w:spacing w:after="0" w:line="144" w:lineRule="exact"/>
              <w:rPr>
                <w:sz w:val="20"/>
                <w:szCs w:val="20"/>
                <w:color w:val="auto"/>
              </w:rPr>
            </w:pPr>
            <w:r>
              <w:rPr>
                <w:rFonts w:ascii="Arial" w:cs="Arial" w:eastAsia="Arial" w:hAnsi="Arial"/>
                <w:sz w:val="14"/>
                <w:szCs w:val="14"/>
                <w:b w:val="1"/>
                <w:bCs w:val="1"/>
                <w:color w:val="auto"/>
                <w:w w:val="94"/>
              </w:rPr>
              <w:t>July 1, 2018</w:t>
            </w:r>
          </w:p>
        </w:tc>
        <w:tc>
          <w:tcPr>
            <w:tcW w:w="13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1"/>
              </w:rPr>
              <w:t>July 1, 2017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1480" w:type="dxa"/>
            <w:vAlign w:val="bottom"/>
            <w:gridSpan w:val="2"/>
          </w:tcPr>
          <w:p>
            <w:pPr>
              <w:jc w:val="center"/>
              <w:ind w:right="120"/>
              <w:spacing w:after="0" w:line="157" w:lineRule="exact"/>
              <w:rPr>
                <w:sz w:val="20"/>
                <w:szCs w:val="20"/>
                <w:color w:val="auto"/>
              </w:rPr>
            </w:pPr>
            <w:r>
              <w:rPr>
                <w:rFonts w:ascii="Arial" w:cs="Arial" w:eastAsia="Arial" w:hAnsi="Arial"/>
                <w:sz w:val="14"/>
                <w:szCs w:val="14"/>
                <w:b w:val="1"/>
                <w:bCs w:val="1"/>
                <w:color w:val="auto"/>
                <w:w w:val="90"/>
              </w:rPr>
              <w:t>to</w:t>
            </w:r>
          </w:p>
        </w:tc>
        <w:tc>
          <w:tcPr>
            <w:tcW w:w="1480" w:type="dxa"/>
            <w:vAlign w:val="bottom"/>
            <w:gridSpan w:val="2"/>
          </w:tcPr>
          <w:p>
            <w:pPr>
              <w:jc w:val="center"/>
              <w:ind w:right="80"/>
              <w:spacing w:after="0" w:line="157" w:lineRule="exact"/>
              <w:rPr>
                <w:sz w:val="20"/>
                <w:szCs w:val="20"/>
                <w:color w:val="auto"/>
              </w:rPr>
            </w:pPr>
            <w:r>
              <w:rPr>
                <w:rFonts w:ascii="Arial" w:cs="Arial" w:eastAsia="Arial" w:hAnsi="Arial"/>
                <w:sz w:val="14"/>
                <w:szCs w:val="14"/>
                <w:b w:val="1"/>
                <w:bCs w:val="1"/>
                <w:color w:val="auto"/>
                <w:w w:val="90"/>
              </w:rPr>
              <w:t>to</w:t>
            </w:r>
          </w:p>
        </w:tc>
        <w:tc>
          <w:tcPr>
            <w:tcW w:w="1380" w:type="dxa"/>
            <w:vAlign w:val="bottom"/>
            <w:gridSpan w:val="2"/>
          </w:tcPr>
          <w:p>
            <w:pPr>
              <w:jc w:val="center"/>
              <w:ind w:right="20"/>
              <w:spacing w:after="0" w:line="157" w:lineRule="exact"/>
              <w:rPr>
                <w:sz w:val="20"/>
                <w:szCs w:val="20"/>
                <w:color w:val="auto"/>
              </w:rPr>
            </w:pPr>
            <w:r>
              <w:rPr>
                <w:rFonts w:ascii="Arial" w:cs="Arial" w:eastAsia="Arial" w:hAnsi="Arial"/>
                <w:sz w:val="14"/>
                <w:szCs w:val="14"/>
                <w:b w:val="1"/>
                <w:bCs w:val="1"/>
                <w:color w:val="auto"/>
                <w:w w:val="90"/>
              </w:rPr>
              <w:t>to</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0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Line of Busines</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 2020</w:t>
            </w:r>
          </w:p>
        </w:tc>
        <w:tc>
          <w:tcPr>
            <w:tcW w:w="120" w:type="dxa"/>
            <w:vAlign w:val="bottom"/>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June 30, 2019</w:t>
            </w:r>
          </w:p>
        </w:tc>
        <w:tc>
          <w:tcPr>
            <w:tcW w:w="10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 2018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9"/>
        </w:trPr>
        <w:tc>
          <w:tcPr>
            <w:tcW w:w="1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w w:val="88"/>
              </w:rPr>
              <w:t>Personal Lines:</w:t>
            </w:r>
          </w:p>
        </w:tc>
        <w:tc>
          <w:tcPr>
            <w:tcW w:w="6040" w:type="dxa"/>
            <w:vAlign w:val="bottom"/>
            <w:gridSpan w:val="3"/>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100" w:type="dxa"/>
            <w:vAlign w:val="bottom"/>
            <w:gridSpan w:val="5"/>
          </w:tcPr>
          <w:p>
            <w:pPr>
              <w:spacing w:after="0"/>
              <w:rPr>
                <w:sz w:val="20"/>
                <w:szCs w:val="20"/>
                <w:color w:val="auto"/>
              </w:rPr>
            </w:pPr>
            <w:r>
              <w:rPr>
                <w:rFonts w:ascii="Arial" w:cs="Arial" w:eastAsia="Arial" w:hAnsi="Arial"/>
                <w:sz w:val="17"/>
                <w:szCs w:val="17"/>
                <w:color w:val="auto"/>
              </w:rPr>
              <w:t>Homeowners, dwelling fire and canine legal liability</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4"/>
          </w:tcPr>
          <w:p>
            <w:pPr>
              <w:ind w:left="20"/>
              <w:spacing w:after="0"/>
              <w:rPr>
                <w:sz w:val="20"/>
                <w:szCs w:val="20"/>
                <w:color w:val="auto"/>
              </w:rPr>
            </w:pPr>
            <w:r>
              <w:rPr>
                <w:rFonts w:ascii="Arial" w:cs="Arial" w:eastAsia="Arial" w:hAnsi="Arial"/>
                <w:sz w:val="17"/>
                <w:szCs w:val="17"/>
                <w:color w:val="auto"/>
              </w:rPr>
              <w:t>Quota share treaty:</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8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Percent ceded</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None</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gridSpan w:val="4"/>
          </w:tcPr>
          <w:p>
            <w:pPr>
              <w:ind w:left="20"/>
              <w:spacing w:after="0"/>
              <w:rPr>
                <w:sz w:val="20"/>
                <w:szCs w:val="20"/>
                <w:color w:val="auto"/>
              </w:rPr>
            </w:pPr>
            <w:r>
              <w:rPr>
                <w:rFonts w:ascii="Arial" w:cs="Arial" w:eastAsia="Arial" w:hAnsi="Arial"/>
                <w:sz w:val="17"/>
                <w:szCs w:val="17"/>
                <w:color w:val="auto"/>
              </w:rPr>
              <w:t>Risk retained</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$ 1,000,000</w:t>
            </w:r>
          </w:p>
        </w:tc>
        <w:tc>
          <w:tcPr>
            <w:tcW w:w="1380" w:type="dxa"/>
            <w:vAlign w:val="bottom"/>
          </w:tcPr>
          <w:p>
            <w:pPr>
              <w:jc w:val="right"/>
              <w:spacing w:after="0"/>
              <w:rPr>
                <w:sz w:val="20"/>
                <w:szCs w:val="20"/>
                <w:color w:val="auto"/>
              </w:rPr>
            </w:pPr>
            <w:r>
              <w:rPr>
                <w:rFonts w:ascii="Arial" w:cs="Arial" w:eastAsia="Arial" w:hAnsi="Arial"/>
                <w:sz w:val="17"/>
                <w:szCs w:val="17"/>
                <w:color w:val="auto"/>
              </w:rPr>
              <w:t>$ 900,000</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$ 800,000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Losses per occurrence subject to quota share reinsurance coverage</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None</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$ 1,000,000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$ 1,000,000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gridSpan w:val="4"/>
          </w:tcPr>
          <w:p>
            <w:pPr>
              <w:ind w:left="20"/>
              <w:spacing w:after="0"/>
              <w:rPr>
                <w:sz w:val="20"/>
                <w:szCs w:val="20"/>
                <w:color w:val="auto"/>
              </w:rPr>
            </w:pPr>
            <w:r>
              <w:rPr>
                <w:rFonts w:ascii="Arial" w:cs="Arial" w:eastAsia="Arial" w:hAnsi="Arial"/>
                <w:sz w:val="17"/>
                <w:szCs w:val="17"/>
                <w:color w:val="auto"/>
              </w:rPr>
              <w:t>Excess of loss coverage and facultative facility above quota share coverage (1)</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$ 10,000,000</w:t>
            </w:r>
          </w:p>
        </w:tc>
        <w:tc>
          <w:tcPr>
            <w:tcW w:w="1380" w:type="dxa"/>
            <w:vAlign w:val="bottom"/>
          </w:tcPr>
          <w:p>
            <w:pPr>
              <w:jc w:val="right"/>
              <w:spacing w:after="0"/>
              <w:rPr>
                <w:sz w:val="20"/>
                <w:szCs w:val="20"/>
                <w:color w:val="auto"/>
              </w:rPr>
            </w:pPr>
            <w:r>
              <w:rPr>
                <w:rFonts w:ascii="Arial" w:cs="Arial" w:eastAsia="Arial" w:hAnsi="Arial"/>
                <w:sz w:val="17"/>
                <w:szCs w:val="17"/>
                <w:color w:val="auto"/>
              </w:rPr>
              <w:t>$ 9,000,000</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$ 9,000,000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in excess of</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in excess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$ 1,000,000</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$ 1,000,000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Total reinsurance coverage per occurrence</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$ 9,000,000</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$ 9,100,000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$ 9,200,000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gridSpan w:val="4"/>
          </w:tcPr>
          <w:p>
            <w:pPr>
              <w:ind w:left="20"/>
              <w:spacing w:after="0"/>
              <w:rPr>
                <w:sz w:val="20"/>
                <w:szCs w:val="20"/>
                <w:color w:val="auto"/>
              </w:rPr>
            </w:pPr>
            <w:r>
              <w:rPr>
                <w:rFonts w:ascii="Arial" w:cs="Arial" w:eastAsia="Arial" w:hAnsi="Arial"/>
                <w:sz w:val="17"/>
                <w:szCs w:val="17"/>
                <w:color w:val="auto"/>
              </w:rPr>
              <w:t>Losses per occurrence subject to reinsurance coverage</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$ 10,000,000</w:t>
            </w:r>
          </w:p>
        </w:tc>
        <w:tc>
          <w:tcPr>
            <w:tcW w:w="1380" w:type="dxa"/>
            <w:vAlign w:val="bottom"/>
          </w:tcPr>
          <w:p>
            <w:pPr>
              <w:jc w:val="right"/>
              <w:spacing w:after="0"/>
              <w:rPr>
                <w:sz w:val="20"/>
                <w:szCs w:val="20"/>
                <w:color w:val="auto"/>
              </w:rPr>
            </w:pPr>
            <w:r>
              <w:rPr>
                <w:rFonts w:ascii="Arial" w:cs="Arial" w:eastAsia="Arial" w:hAnsi="Arial"/>
                <w:sz w:val="17"/>
                <w:szCs w:val="17"/>
                <w:color w:val="auto"/>
              </w:rPr>
              <w:t>$ 10,000,000</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$ 10,000,000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Expiration date</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June 30, 2020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June 30, 2019</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June 30, 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Personal Umbrella</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gridSpan w:val="4"/>
          </w:tcPr>
          <w:p>
            <w:pPr>
              <w:ind w:left="20"/>
              <w:spacing w:after="0"/>
              <w:rPr>
                <w:sz w:val="20"/>
                <w:szCs w:val="20"/>
                <w:color w:val="auto"/>
              </w:rPr>
            </w:pPr>
            <w:r>
              <w:rPr>
                <w:rFonts w:ascii="Arial" w:cs="Arial" w:eastAsia="Arial" w:hAnsi="Arial"/>
                <w:sz w:val="17"/>
                <w:szCs w:val="17"/>
                <w:color w:val="auto"/>
              </w:rPr>
              <w:t>Quota share treaty:</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Percent ceded - first $1,000,000 of coverage</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90%</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gridSpan w:val="4"/>
          </w:tcPr>
          <w:p>
            <w:pPr>
              <w:ind w:left="20"/>
              <w:spacing w:after="0"/>
              <w:rPr>
                <w:sz w:val="20"/>
                <w:szCs w:val="20"/>
                <w:color w:val="auto"/>
              </w:rPr>
            </w:pPr>
            <w:r>
              <w:rPr>
                <w:rFonts w:ascii="Arial" w:cs="Arial" w:eastAsia="Arial" w:hAnsi="Arial"/>
                <w:sz w:val="17"/>
                <w:szCs w:val="17"/>
                <w:color w:val="auto"/>
              </w:rPr>
              <w:t>Percent ceded - excess of $1,000,000 dollars of coverage</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100%</w:t>
            </w:r>
          </w:p>
        </w:tc>
        <w:tc>
          <w:tcPr>
            <w:tcW w:w="1380" w:type="dxa"/>
            <w:vAlign w:val="bottom"/>
          </w:tcPr>
          <w:p>
            <w:pPr>
              <w:jc w:val="right"/>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Risk retained</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$ 100,000</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$ 100,000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$ 100,000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gridSpan w:val="4"/>
          </w:tcPr>
          <w:p>
            <w:pPr>
              <w:ind w:left="20"/>
              <w:spacing w:after="0"/>
              <w:rPr>
                <w:sz w:val="20"/>
                <w:szCs w:val="20"/>
                <w:color w:val="auto"/>
              </w:rPr>
            </w:pPr>
            <w:r>
              <w:rPr>
                <w:rFonts w:ascii="Arial" w:cs="Arial" w:eastAsia="Arial" w:hAnsi="Arial"/>
                <w:sz w:val="17"/>
                <w:szCs w:val="17"/>
                <w:color w:val="auto"/>
              </w:rPr>
              <w:t>Total reinsurance coverage per occurrence</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$ 4,900,000</w:t>
            </w:r>
          </w:p>
        </w:tc>
        <w:tc>
          <w:tcPr>
            <w:tcW w:w="1380" w:type="dxa"/>
            <w:vAlign w:val="bottom"/>
          </w:tcPr>
          <w:p>
            <w:pPr>
              <w:jc w:val="right"/>
              <w:spacing w:after="0"/>
              <w:rPr>
                <w:sz w:val="20"/>
                <w:szCs w:val="20"/>
                <w:color w:val="auto"/>
              </w:rPr>
            </w:pPr>
            <w:r>
              <w:rPr>
                <w:rFonts w:ascii="Arial" w:cs="Arial" w:eastAsia="Arial" w:hAnsi="Arial"/>
                <w:sz w:val="17"/>
                <w:szCs w:val="17"/>
                <w:color w:val="auto"/>
              </w:rPr>
              <w:t>$ 4,900,000</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$ 4,900,000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Losses per occurrence subject to quota share reinsurance coverage</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$ 5,000,000</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$ 5,000,000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gridSpan w:val="4"/>
          </w:tcPr>
          <w:p>
            <w:pPr>
              <w:ind w:left="20"/>
              <w:spacing w:after="0"/>
              <w:rPr>
                <w:sz w:val="20"/>
                <w:szCs w:val="20"/>
                <w:color w:val="auto"/>
              </w:rPr>
            </w:pPr>
            <w:r>
              <w:rPr>
                <w:rFonts w:ascii="Arial" w:cs="Arial" w:eastAsia="Arial" w:hAnsi="Arial"/>
                <w:sz w:val="17"/>
                <w:szCs w:val="17"/>
                <w:color w:val="auto"/>
              </w:rPr>
              <w:t>Expiration date</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June 30, 2020</w:t>
            </w:r>
          </w:p>
        </w:tc>
        <w:tc>
          <w:tcPr>
            <w:tcW w:w="1480" w:type="dxa"/>
            <w:vAlign w:val="bottom"/>
            <w:gridSpan w:val="2"/>
          </w:tcPr>
          <w:p>
            <w:pPr>
              <w:jc w:val="right"/>
              <w:ind w:right="100"/>
              <w:spacing w:after="0"/>
              <w:rPr>
                <w:sz w:val="20"/>
                <w:szCs w:val="20"/>
                <w:color w:val="auto"/>
              </w:rPr>
            </w:pPr>
            <w:r>
              <w:rPr>
                <w:rFonts w:ascii="Arial" w:cs="Arial" w:eastAsia="Arial" w:hAnsi="Arial"/>
                <w:sz w:val="17"/>
                <w:szCs w:val="17"/>
                <w:color w:val="auto"/>
              </w:rPr>
              <w:t>June 30, 2019</w:t>
            </w:r>
          </w:p>
        </w:tc>
        <w:tc>
          <w:tcPr>
            <w:tcW w:w="1360" w:type="dxa"/>
            <w:vAlign w:val="bottom"/>
          </w:tcPr>
          <w:p>
            <w:pPr>
              <w:jc w:val="right"/>
              <w:spacing w:after="0"/>
              <w:rPr>
                <w:sz w:val="20"/>
                <w:szCs w:val="20"/>
                <w:color w:val="auto"/>
              </w:rPr>
            </w:pPr>
            <w:r>
              <w:rPr>
                <w:rFonts w:ascii="Arial" w:cs="Arial" w:eastAsia="Arial" w:hAnsi="Arial"/>
                <w:sz w:val="17"/>
                <w:szCs w:val="17"/>
                <w:color w:val="auto"/>
              </w:rPr>
              <w:t>June 30, 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300" w:type="dxa"/>
            <w:vAlign w:val="bottom"/>
            <w:tcBorders>
              <w:bottom w:val="single" w:sz="8" w:color="auto"/>
            </w:tcBorders>
            <w:gridSpan w:val="2"/>
          </w:tcPr>
          <w:p>
            <w:pPr>
              <w:spacing w:after="0" w:line="170" w:lineRule="exact"/>
              <w:rPr>
                <w:sz w:val="20"/>
                <w:szCs w:val="20"/>
                <w:color w:val="auto"/>
              </w:rPr>
            </w:pPr>
            <w:r>
              <w:rPr>
                <w:rFonts w:ascii="Arial" w:cs="Arial" w:eastAsia="Arial" w:hAnsi="Arial"/>
                <w:sz w:val="17"/>
                <w:szCs w:val="17"/>
                <w:color w:val="auto"/>
                <w:w w:val="90"/>
              </w:rPr>
              <w:t>Commercial Lines:</w:t>
            </w:r>
          </w:p>
        </w:tc>
        <w:tc>
          <w:tcPr>
            <w:tcW w:w="5780" w:type="dxa"/>
            <w:vAlign w:val="bottom"/>
            <w:gridSpan w:val="2"/>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8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General liability commercial policies</w:t>
            </w: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gridSpan w:val="4"/>
          </w:tcPr>
          <w:p>
            <w:pPr>
              <w:ind w:left="20"/>
              <w:spacing w:after="0"/>
              <w:rPr>
                <w:sz w:val="20"/>
                <w:szCs w:val="20"/>
                <w:color w:val="auto"/>
              </w:rPr>
            </w:pPr>
            <w:r>
              <w:rPr>
                <w:rFonts w:ascii="Arial" w:cs="Arial" w:eastAsia="Arial" w:hAnsi="Arial"/>
                <w:sz w:val="17"/>
                <w:szCs w:val="17"/>
                <w:color w:val="auto"/>
              </w:rPr>
              <w:t>Quota share treaty</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None</w:t>
            </w:r>
          </w:p>
        </w:tc>
        <w:tc>
          <w:tcPr>
            <w:tcW w:w="1480" w:type="dxa"/>
            <w:vAlign w:val="bottom"/>
            <w:gridSpan w:val="2"/>
          </w:tcPr>
          <w:p>
            <w:pPr>
              <w:jc w:val="right"/>
              <w:ind w:right="100"/>
              <w:spacing w:after="0"/>
              <w:rPr>
                <w:sz w:val="20"/>
                <w:szCs w:val="20"/>
                <w:color w:val="auto"/>
              </w:rPr>
            </w:pPr>
            <w:r>
              <w:rPr>
                <w:rFonts w:ascii="Arial" w:cs="Arial" w:eastAsia="Arial" w:hAnsi="Arial"/>
                <w:sz w:val="17"/>
                <w:szCs w:val="17"/>
                <w:color w:val="auto"/>
              </w:rPr>
              <w:t>None</w:t>
            </w:r>
          </w:p>
        </w:tc>
        <w:tc>
          <w:tcPr>
            <w:tcW w:w="1360" w:type="dxa"/>
            <w:vAlign w:val="bottom"/>
          </w:tcPr>
          <w:p>
            <w:pPr>
              <w:jc w:val="right"/>
              <w:spacing w:after="0"/>
              <w:rPr>
                <w:sz w:val="20"/>
                <w:szCs w:val="20"/>
                <w:color w:val="auto"/>
              </w:rPr>
            </w:pPr>
            <w:r>
              <w:rPr>
                <w:rFonts w:ascii="Arial" w:cs="Arial" w:eastAsia="Arial" w:hAnsi="Arial"/>
                <w:sz w:val="17"/>
                <w:szCs w:val="17"/>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Risk retained</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$ 750,000</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$ 750,000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$ 750,000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gridSpan w:val="4"/>
          </w:tcPr>
          <w:p>
            <w:pPr>
              <w:ind w:left="20"/>
              <w:spacing w:after="0"/>
              <w:rPr>
                <w:sz w:val="20"/>
                <w:szCs w:val="20"/>
                <w:color w:val="auto"/>
              </w:rPr>
            </w:pPr>
            <w:r>
              <w:rPr>
                <w:rFonts w:ascii="Arial" w:cs="Arial" w:eastAsia="Arial" w:hAnsi="Arial"/>
                <w:sz w:val="17"/>
                <w:szCs w:val="17"/>
                <w:color w:val="auto"/>
              </w:rPr>
              <w:t>Excess of loss coverage above risk retained</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$ 3,750,000</w:t>
            </w:r>
          </w:p>
        </w:tc>
        <w:tc>
          <w:tcPr>
            <w:tcW w:w="1380" w:type="dxa"/>
            <w:vAlign w:val="bottom"/>
          </w:tcPr>
          <w:p>
            <w:pPr>
              <w:jc w:val="right"/>
              <w:spacing w:after="0"/>
              <w:rPr>
                <w:sz w:val="20"/>
                <w:szCs w:val="20"/>
                <w:color w:val="auto"/>
              </w:rPr>
            </w:pPr>
            <w:r>
              <w:rPr>
                <w:rFonts w:ascii="Arial" w:cs="Arial" w:eastAsia="Arial" w:hAnsi="Arial"/>
                <w:sz w:val="17"/>
                <w:szCs w:val="17"/>
                <w:color w:val="auto"/>
              </w:rPr>
              <w:t>$ 3,750,000</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$ 3,750,000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in excess of</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in excess of</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in excess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$ 750,000</w:t>
            </w:r>
          </w:p>
        </w:tc>
        <w:tc>
          <w:tcPr>
            <w:tcW w:w="1380" w:type="dxa"/>
            <w:vAlign w:val="bottom"/>
          </w:tcPr>
          <w:p>
            <w:pPr>
              <w:jc w:val="right"/>
              <w:spacing w:after="0"/>
              <w:rPr>
                <w:sz w:val="20"/>
                <w:szCs w:val="20"/>
                <w:color w:val="auto"/>
              </w:rPr>
            </w:pPr>
            <w:r>
              <w:rPr>
                <w:rFonts w:ascii="Arial" w:cs="Arial" w:eastAsia="Arial" w:hAnsi="Arial"/>
                <w:sz w:val="17"/>
                <w:szCs w:val="17"/>
                <w:color w:val="auto"/>
              </w:rPr>
              <w:t>$ 750,000</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$ 750,000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Total reinsurance coverage per occurrence</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$ 3,750,000</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$ 3,750,000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$ 3,750,000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gridSpan w:val="4"/>
          </w:tcPr>
          <w:p>
            <w:pPr>
              <w:ind w:left="20"/>
              <w:spacing w:after="0"/>
              <w:rPr>
                <w:sz w:val="20"/>
                <w:szCs w:val="20"/>
                <w:color w:val="auto"/>
              </w:rPr>
            </w:pPr>
            <w:r>
              <w:rPr>
                <w:rFonts w:ascii="Arial" w:cs="Arial" w:eastAsia="Arial" w:hAnsi="Arial"/>
                <w:sz w:val="17"/>
                <w:szCs w:val="17"/>
                <w:color w:val="auto"/>
              </w:rPr>
              <w:t>Losses per occurrence subject to reinsurance coverage</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$ 4,500,000</w:t>
            </w:r>
          </w:p>
        </w:tc>
        <w:tc>
          <w:tcPr>
            <w:tcW w:w="1380" w:type="dxa"/>
            <w:vAlign w:val="bottom"/>
          </w:tcPr>
          <w:p>
            <w:pPr>
              <w:jc w:val="right"/>
              <w:spacing w:after="0"/>
              <w:rPr>
                <w:sz w:val="20"/>
                <w:szCs w:val="20"/>
                <w:color w:val="auto"/>
              </w:rPr>
            </w:pPr>
            <w:r>
              <w:rPr>
                <w:rFonts w:ascii="Arial" w:cs="Arial" w:eastAsia="Arial" w:hAnsi="Arial"/>
                <w:sz w:val="17"/>
                <w:szCs w:val="17"/>
                <w:color w:val="auto"/>
              </w:rPr>
              <w:t>$ 4,500,000</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$ 4,500,000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gridSpan w:val="4"/>
          </w:tcPr>
          <w:p>
            <w:pPr>
              <w:ind w:left="20"/>
              <w:spacing w:after="0"/>
              <w:rPr>
                <w:sz w:val="20"/>
                <w:szCs w:val="20"/>
                <w:color w:val="auto"/>
              </w:rPr>
            </w:pPr>
            <w:r>
              <w:rPr>
                <w:rFonts w:ascii="Arial" w:cs="Arial" w:eastAsia="Arial" w:hAnsi="Arial"/>
                <w:sz w:val="17"/>
                <w:szCs w:val="17"/>
                <w:color w:val="auto"/>
              </w:rPr>
              <w:t>Commercial Umbrella</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Quota share treaty:</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None</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gridSpan w:val="4"/>
          </w:tcPr>
          <w:p>
            <w:pPr>
              <w:ind w:left="20"/>
              <w:spacing w:after="0"/>
              <w:rPr>
                <w:sz w:val="20"/>
                <w:szCs w:val="20"/>
                <w:color w:val="auto"/>
              </w:rPr>
            </w:pPr>
            <w:r>
              <w:rPr>
                <w:rFonts w:ascii="Arial" w:cs="Arial" w:eastAsia="Arial" w:hAnsi="Arial"/>
                <w:sz w:val="17"/>
                <w:szCs w:val="17"/>
                <w:color w:val="auto"/>
              </w:rPr>
              <w:t>Percent ceded - first $1,000,000 of coverage</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90%</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Percent ceded - excess of $1,000,000 of coverage</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gridSpan w:val="4"/>
          </w:tcPr>
          <w:p>
            <w:pPr>
              <w:ind w:left="20"/>
              <w:spacing w:after="0"/>
              <w:rPr>
                <w:sz w:val="20"/>
                <w:szCs w:val="20"/>
                <w:color w:val="auto"/>
              </w:rPr>
            </w:pPr>
            <w:r>
              <w:rPr>
                <w:rFonts w:ascii="Arial" w:cs="Arial" w:eastAsia="Arial" w:hAnsi="Arial"/>
                <w:sz w:val="17"/>
                <w:szCs w:val="17"/>
                <w:color w:val="auto"/>
              </w:rPr>
              <w:t>Risk retained</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$ 100,000</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$ 100,000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Total reinsurance coverage per occurrence</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$ 4,900,000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$ 4,900,000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gridSpan w:val="4"/>
          </w:tcPr>
          <w:p>
            <w:pPr>
              <w:ind w:left="20"/>
              <w:spacing w:after="0"/>
              <w:rPr>
                <w:sz w:val="20"/>
                <w:szCs w:val="20"/>
                <w:color w:val="auto"/>
              </w:rPr>
            </w:pPr>
            <w:r>
              <w:rPr>
                <w:rFonts w:ascii="Arial" w:cs="Arial" w:eastAsia="Arial" w:hAnsi="Arial"/>
                <w:sz w:val="17"/>
                <w:szCs w:val="17"/>
                <w:color w:val="auto"/>
              </w:rPr>
              <w:t>Losses per occurrence subject to quota share reinsurance coverage</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$ 5,000,000</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$ 5,000,000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Expiration date</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June 30, 2019</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June 30, 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7080" w:type="dxa"/>
            <w:vAlign w:val="bottom"/>
            <w:gridSpan w:val="4"/>
            <w:shd w:val="clear" w:color="auto" w:fill="CCEEFF"/>
          </w:tcPr>
          <w:p>
            <w:pPr>
              <w:spacing w:after="0" w:line="170" w:lineRule="exact"/>
              <w:rPr>
                <w:sz w:val="20"/>
                <w:szCs w:val="20"/>
                <w:color w:val="auto"/>
              </w:rPr>
            </w:pPr>
            <w:r>
              <w:rPr>
                <w:rFonts w:ascii="Arial" w:cs="Arial" w:eastAsia="Arial" w:hAnsi="Arial"/>
                <w:sz w:val="17"/>
                <w:szCs w:val="17"/>
                <w:color w:val="auto"/>
              </w:rPr>
              <w:t>Catastrophe Reinsurance:</w:t>
            </w: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40" w:type="dxa"/>
            <w:vAlign w:val="bottom"/>
            <w:shd w:val="clear" w:color="auto" w:fill="000000"/>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420" w:type="dxa"/>
            <w:vAlign w:val="bottom"/>
            <w:shd w:val="clear" w:color="auto" w:fill="000000"/>
          </w:tcPr>
          <w:p>
            <w:pPr>
              <w:spacing w:after="0"/>
              <w:rPr>
                <w:sz w:val="3"/>
                <w:szCs w:val="3"/>
                <w:color w:val="auto"/>
              </w:rPr>
            </w:pPr>
          </w:p>
        </w:tc>
        <w:tc>
          <w:tcPr>
            <w:tcW w:w="536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gridSpan w:val="4"/>
          </w:tcPr>
          <w:p>
            <w:pPr>
              <w:spacing w:after="0"/>
              <w:rPr>
                <w:sz w:val="20"/>
                <w:szCs w:val="20"/>
                <w:color w:val="auto"/>
              </w:rPr>
            </w:pPr>
            <w:r>
              <w:rPr>
                <w:rFonts w:ascii="Arial" w:cs="Arial" w:eastAsia="Arial" w:hAnsi="Arial"/>
                <w:sz w:val="17"/>
                <w:szCs w:val="17"/>
                <w:color w:val="auto"/>
              </w:rPr>
              <w:t>Initial loss subject to personal lines quota share treaty</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None</w:t>
            </w:r>
          </w:p>
        </w:tc>
        <w:tc>
          <w:tcPr>
            <w:tcW w:w="1380" w:type="dxa"/>
            <w:vAlign w:val="bottom"/>
          </w:tcPr>
          <w:p>
            <w:pPr>
              <w:jc w:val="right"/>
              <w:spacing w:after="0"/>
              <w:rPr>
                <w:sz w:val="20"/>
                <w:szCs w:val="20"/>
                <w:color w:val="auto"/>
              </w:rPr>
            </w:pPr>
            <w:r>
              <w:rPr>
                <w:rFonts w:ascii="Arial" w:cs="Arial" w:eastAsia="Arial" w:hAnsi="Arial"/>
                <w:sz w:val="17"/>
                <w:szCs w:val="17"/>
                <w:color w:val="auto"/>
              </w:rPr>
              <w:t>$ 5,000,000</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$ 5,000,000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Risk retained per catastrophe occurrence (2)</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$ 7,500,000</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$ 4,500,000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$ 4,000,000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gridSpan w:val="4"/>
          </w:tcPr>
          <w:p>
            <w:pPr>
              <w:ind w:left="20"/>
              <w:spacing w:after="0"/>
              <w:rPr>
                <w:sz w:val="20"/>
                <w:szCs w:val="20"/>
                <w:color w:val="auto"/>
              </w:rPr>
            </w:pPr>
            <w:r>
              <w:rPr>
                <w:rFonts w:ascii="Arial" w:cs="Arial" w:eastAsia="Arial" w:hAnsi="Arial"/>
                <w:sz w:val="17"/>
                <w:szCs w:val="17"/>
                <w:color w:val="auto"/>
              </w:rPr>
              <w:t>Catastrophe loss coverage in excess of quota share coverage (3)</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$ 602,500,000</w:t>
            </w:r>
          </w:p>
        </w:tc>
        <w:tc>
          <w:tcPr>
            <w:tcW w:w="1380" w:type="dxa"/>
            <w:vAlign w:val="bottom"/>
          </w:tcPr>
          <w:p>
            <w:pPr>
              <w:jc w:val="right"/>
              <w:spacing w:after="0"/>
              <w:rPr>
                <w:sz w:val="20"/>
                <w:szCs w:val="20"/>
                <w:color w:val="auto"/>
              </w:rPr>
            </w:pPr>
            <w:r>
              <w:rPr>
                <w:rFonts w:ascii="Arial" w:cs="Arial" w:eastAsia="Arial" w:hAnsi="Arial"/>
                <w:sz w:val="17"/>
                <w:szCs w:val="17"/>
                <w:color w:val="auto"/>
              </w:rPr>
              <w:t>$ 445,000,000</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$ 315,000,000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Reinstatement premium protection (4)(5)(6)</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Yes</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Yes</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Yes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20" w:hanging="315"/>
        <w:spacing w:after="0" w:line="260" w:lineRule="auto"/>
        <w:tabs>
          <w:tab w:leader="none" w:pos="3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For personal lines, includes the addition of an automatic facultative facility allowing KICO to obtain homeowners single risk coverage up to $10,000,000 in total insured value, which covers direct losses from $3,500,000 to $10,000,000.</w:t>
      </w:r>
    </w:p>
    <w:p>
      <w:pPr>
        <w:spacing w:after="0" w:line="1" w:lineRule="exact"/>
        <w:rPr>
          <w:rFonts w:ascii="Arial" w:cs="Arial" w:eastAsia="Arial" w:hAnsi="Arial"/>
          <w:sz w:val="17"/>
          <w:szCs w:val="17"/>
          <w:color w:val="auto"/>
        </w:rPr>
      </w:pPr>
    </w:p>
    <w:p>
      <w:pPr>
        <w:ind w:left="320" w:hanging="315"/>
        <w:spacing w:after="0"/>
        <w:tabs>
          <w:tab w:leader="none" w:pos="3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Plus losses in excess of catastrophe coverage.</w:t>
      </w:r>
    </w:p>
    <w:p>
      <w:pPr>
        <w:spacing w:after="0" w:line="13" w:lineRule="exact"/>
        <w:rPr>
          <w:rFonts w:ascii="Arial" w:cs="Arial" w:eastAsia="Arial" w:hAnsi="Arial"/>
          <w:sz w:val="17"/>
          <w:szCs w:val="17"/>
          <w:color w:val="auto"/>
        </w:rPr>
      </w:pPr>
    </w:p>
    <w:p>
      <w:pPr>
        <w:ind w:left="320" w:hanging="315"/>
        <w:spacing w:after="0" w:line="256" w:lineRule="auto"/>
        <w:tabs>
          <w:tab w:leader="none" w:pos="3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Catastrophe coverage is limited on an annual basis to two times the per occurrence amounts. Duration of 168 consecutive hours for a catastrophe occurrence from windstorm, hail, tornado, hurricane, and cyclone.</w:t>
      </w:r>
    </w:p>
    <w:p>
      <w:pPr>
        <w:spacing w:after="0" w:line="1" w:lineRule="exact"/>
        <w:rPr>
          <w:rFonts w:ascii="Arial" w:cs="Arial" w:eastAsia="Arial" w:hAnsi="Arial"/>
          <w:sz w:val="17"/>
          <w:szCs w:val="17"/>
          <w:color w:val="auto"/>
        </w:rPr>
      </w:pPr>
    </w:p>
    <w:p>
      <w:pPr>
        <w:jc w:val="both"/>
        <w:ind w:left="320" w:right="2600" w:hanging="315"/>
        <w:spacing w:after="0" w:line="342" w:lineRule="auto"/>
        <w:tabs>
          <w:tab w:leader="none" w:pos="3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Effective July 1, 2017, reinstatement premium protection for $145,000,000 of catastrophe coverage in excess of $5,000,000.. Effective July 1, 2018, reinstatement premium protection for $210,000,000 of catastrophe coverage in excess of $5,000,000.</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Effective July 1, 2019, reinstatement premium protection for $292,500,000 of catastrophe coverage in excess of $7,500,000.</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75" w:name="page76"/>
    <w:bookmarkEnd w:id="75"/>
    <w:p>
      <w:pPr>
        <w:ind w:left="320"/>
        <w:spacing w:after="0"/>
        <w:rPr>
          <w:sz w:val="20"/>
          <w:szCs w:val="20"/>
          <w:color w:val="auto"/>
        </w:rPr>
      </w:pPr>
      <w:r>
        <w:rPr>
          <w:rFonts w:ascii="Arial" w:cs="Arial" w:eastAsia="Arial" w:hAnsi="Arial"/>
          <w:sz w:val="17"/>
          <w:szCs w:val="17"/>
          <w:color w:val="auto"/>
        </w:rPr>
        <w:t>The single maximum risks per occurrence to which the Company is subject under the treaties effective July 1, 2018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4100" w:type="dxa"/>
            <w:vAlign w:val="bottom"/>
            <w:vMerge w:val="restart"/>
          </w:tcPr>
          <w:p>
            <w:pPr>
              <w:ind w:left="1840"/>
              <w:spacing w:after="0"/>
              <w:rPr>
                <w:sz w:val="20"/>
                <w:szCs w:val="20"/>
                <w:color w:val="auto"/>
              </w:rPr>
            </w:pPr>
            <w:r>
              <w:rPr>
                <w:rFonts w:ascii="Arial" w:cs="Arial" w:eastAsia="Arial" w:hAnsi="Arial"/>
                <w:sz w:val="14"/>
                <w:szCs w:val="14"/>
                <w:b w:val="1"/>
                <w:bCs w:val="1"/>
                <w:color w:val="auto"/>
              </w:rPr>
              <w:t>Treaty</w:t>
            </w:r>
          </w:p>
        </w:tc>
        <w:tc>
          <w:tcPr>
            <w:tcW w:w="120" w:type="dxa"/>
            <w:vAlign w:val="bottom"/>
            <w:vMerge w:val="restart"/>
          </w:tcPr>
          <w:p>
            <w:pPr>
              <w:spacing w:after="0"/>
              <w:rPr>
                <w:sz w:val="15"/>
                <w:szCs w:val="15"/>
                <w:color w:val="auto"/>
              </w:rPr>
            </w:pPr>
          </w:p>
        </w:tc>
        <w:tc>
          <w:tcPr>
            <w:tcW w:w="3600" w:type="dxa"/>
            <w:vAlign w:val="bottom"/>
            <w:gridSpan w:val="4"/>
          </w:tcPr>
          <w:p>
            <w:pPr>
              <w:ind w:left="940"/>
              <w:spacing w:after="0"/>
              <w:rPr>
                <w:sz w:val="20"/>
                <w:szCs w:val="20"/>
                <w:color w:val="auto"/>
              </w:rPr>
            </w:pPr>
            <w:r>
              <w:rPr>
                <w:rFonts w:ascii="Arial" w:cs="Arial" w:eastAsia="Arial" w:hAnsi="Arial"/>
                <w:sz w:val="14"/>
                <w:szCs w:val="14"/>
                <w:b w:val="1"/>
                <w:bCs w:val="1"/>
                <w:color w:val="auto"/>
              </w:rPr>
              <w:t>July 1, 2018 - June 30, 2019</w:t>
            </w:r>
          </w:p>
        </w:tc>
        <w:tc>
          <w:tcPr>
            <w:tcW w:w="60" w:type="dxa"/>
            <w:vAlign w:val="bottom"/>
          </w:tcPr>
          <w:p>
            <w:pPr>
              <w:spacing w:after="0"/>
              <w:rPr>
                <w:sz w:val="15"/>
                <w:szCs w:val="15"/>
                <w:color w:val="auto"/>
              </w:rPr>
            </w:pPr>
          </w:p>
        </w:tc>
        <w:tc>
          <w:tcPr>
            <w:tcW w:w="3540" w:type="dxa"/>
            <w:vAlign w:val="bottom"/>
            <w:gridSpan w:val="4"/>
          </w:tcPr>
          <w:p>
            <w:pPr>
              <w:ind w:left="920"/>
              <w:spacing w:after="0"/>
              <w:rPr>
                <w:sz w:val="20"/>
                <w:szCs w:val="20"/>
                <w:color w:val="auto"/>
              </w:rPr>
            </w:pPr>
            <w:r>
              <w:rPr>
                <w:rFonts w:ascii="Arial" w:cs="Arial" w:eastAsia="Arial" w:hAnsi="Arial"/>
                <w:sz w:val="14"/>
                <w:szCs w:val="14"/>
                <w:b w:val="1"/>
                <w:bCs w:val="1"/>
                <w:color w:val="auto"/>
              </w:rPr>
              <w:t>July 1, 2017 - June 30, 2018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10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720" w:type="dxa"/>
            <w:vAlign w:val="bottom"/>
            <w:tcBorders>
              <w:top w:val="single" w:sz="8" w:color="auto"/>
              <w:bottom w:val="single" w:sz="8" w:color="auto"/>
            </w:tcBorders>
          </w:tcPr>
          <w:p>
            <w:pPr>
              <w:ind w:left="420"/>
              <w:spacing w:after="0" w:line="157" w:lineRule="exact"/>
              <w:rPr>
                <w:sz w:val="20"/>
                <w:szCs w:val="20"/>
                <w:color w:val="auto"/>
              </w:rPr>
            </w:pPr>
            <w:r>
              <w:rPr>
                <w:rFonts w:ascii="Arial" w:cs="Arial" w:eastAsia="Arial" w:hAnsi="Arial"/>
                <w:sz w:val="14"/>
                <w:szCs w:val="14"/>
                <w:b w:val="1"/>
                <w:bCs w:val="1"/>
                <w:color w:val="auto"/>
              </w:rPr>
              <w:t>Range of Loss</w:t>
            </w:r>
          </w:p>
        </w:tc>
        <w:tc>
          <w:tcPr>
            <w:tcW w:w="120" w:type="dxa"/>
            <w:vAlign w:val="bottom"/>
            <w:tcBorders>
              <w:top w:val="single" w:sz="8" w:color="auto"/>
            </w:tcBorders>
          </w:tcPr>
          <w:p>
            <w:pPr>
              <w:spacing w:after="0"/>
              <w:rPr>
                <w:sz w:val="14"/>
                <w:szCs w:val="14"/>
                <w:color w:val="auto"/>
              </w:rPr>
            </w:pPr>
          </w:p>
        </w:tc>
        <w:tc>
          <w:tcPr>
            <w:tcW w:w="1700" w:type="dxa"/>
            <w:vAlign w:val="bottom"/>
            <w:tcBorders>
              <w:top w:val="single" w:sz="8" w:color="auto"/>
              <w:bottom w:val="single" w:sz="8" w:color="auto"/>
            </w:tcBorders>
          </w:tcPr>
          <w:p>
            <w:pPr>
              <w:ind w:left="420"/>
              <w:spacing w:after="0" w:line="157" w:lineRule="exact"/>
              <w:rPr>
                <w:sz w:val="20"/>
                <w:szCs w:val="20"/>
                <w:color w:val="auto"/>
              </w:rPr>
            </w:pPr>
            <w:r>
              <w:rPr>
                <w:rFonts w:ascii="Arial" w:cs="Arial" w:eastAsia="Arial" w:hAnsi="Arial"/>
                <w:sz w:val="14"/>
                <w:szCs w:val="14"/>
                <w:b w:val="1"/>
                <w:bCs w:val="1"/>
                <w:color w:val="auto"/>
              </w:rPr>
              <w:t>Risk Retained</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20" w:type="dxa"/>
            <w:vAlign w:val="bottom"/>
            <w:tcBorders>
              <w:top w:val="single" w:sz="8" w:color="auto"/>
              <w:bottom w:val="single" w:sz="8" w:color="auto"/>
            </w:tcBorders>
          </w:tcPr>
          <w:p>
            <w:pPr>
              <w:ind w:left="440"/>
              <w:spacing w:after="0" w:line="157" w:lineRule="exact"/>
              <w:rPr>
                <w:sz w:val="20"/>
                <w:szCs w:val="20"/>
                <w:color w:val="auto"/>
              </w:rPr>
            </w:pPr>
            <w:r>
              <w:rPr>
                <w:rFonts w:ascii="Arial" w:cs="Arial" w:eastAsia="Arial" w:hAnsi="Arial"/>
                <w:sz w:val="14"/>
                <w:szCs w:val="14"/>
                <w:b w:val="1"/>
                <w:bCs w:val="1"/>
                <w:color w:val="auto"/>
              </w:rPr>
              <w:t>Range of Loss</w:t>
            </w:r>
          </w:p>
        </w:tc>
        <w:tc>
          <w:tcPr>
            <w:tcW w:w="100" w:type="dxa"/>
            <w:vAlign w:val="bottom"/>
            <w:tcBorders>
              <w:top w:val="single" w:sz="8" w:color="auto"/>
            </w:tcBorders>
          </w:tcPr>
          <w:p>
            <w:pPr>
              <w:spacing w:after="0"/>
              <w:rPr>
                <w:sz w:val="14"/>
                <w:szCs w:val="14"/>
                <w:color w:val="auto"/>
              </w:rPr>
            </w:pPr>
          </w:p>
        </w:tc>
        <w:tc>
          <w:tcPr>
            <w:tcW w:w="1700" w:type="dxa"/>
            <w:vAlign w:val="bottom"/>
            <w:tcBorders>
              <w:top w:val="single" w:sz="8" w:color="auto"/>
              <w:bottom w:val="single" w:sz="8" w:color="auto"/>
            </w:tcBorders>
          </w:tcPr>
          <w:p>
            <w:pPr>
              <w:jc w:val="right"/>
              <w:ind w:right="337"/>
              <w:spacing w:after="0" w:line="157" w:lineRule="exact"/>
              <w:rPr>
                <w:sz w:val="20"/>
                <w:szCs w:val="20"/>
                <w:color w:val="auto"/>
              </w:rPr>
            </w:pPr>
            <w:r>
              <w:rPr>
                <w:rFonts w:ascii="Arial" w:cs="Arial" w:eastAsia="Arial" w:hAnsi="Arial"/>
                <w:sz w:val="14"/>
                <w:szCs w:val="14"/>
                <w:b w:val="1"/>
                <w:bCs w:val="1"/>
                <w:color w:val="auto"/>
              </w:rPr>
              <w:t>Risk Retained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Personal Lines (1)</w:t>
            </w:r>
          </w:p>
        </w:tc>
        <w:tc>
          <w:tcPr>
            <w:tcW w:w="17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$1,000,000</w:t>
            </w:r>
          </w:p>
        </w:tc>
        <w:tc>
          <w:tcPr>
            <w:tcW w:w="1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$900,000</w:t>
            </w:r>
          </w:p>
        </w:tc>
        <w:tc>
          <w:tcPr>
            <w:tcW w:w="60" w:type="dxa"/>
            <w:vAlign w:val="bottom"/>
            <w:shd w:val="clear" w:color="auto" w:fill="CCEEFF"/>
          </w:tcPr>
          <w:p>
            <w:pPr>
              <w:spacing w:after="0"/>
              <w:rPr>
                <w:sz w:val="18"/>
                <w:szCs w:val="18"/>
                <w:color w:val="auto"/>
              </w:rPr>
            </w:pPr>
          </w:p>
        </w:tc>
        <w:tc>
          <w:tcPr>
            <w:tcW w:w="17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$1,000,000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ind w:left="40"/>
              <w:spacing w:after="0"/>
              <w:rPr>
                <w:sz w:val="20"/>
                <w:szCs w:val="20"/>
                <w:color w:val="auto"/>
              </w:rPr>
            </w:pPr>
            <w:r>
              <w:rPr>
                <w:rFonts w:ascii="Arial" w:cs="Arial" w:eastAsia="Arial" w:hAnsi="Arial"/>
                <w:sz w:val="17"/>
                <w:szCs w:val="17"/>
                <w:color w:val="auto"/>
              </w:rPr>
              <w:t>$1,000,000 -</w:t>
            </w:r>
          </w:p>
        </w:tc>
        <w:tc>
          <w:tcPr>
            <w:tcW w:w="120" w:type="dxa"/>
            <w:vAlign w:val="bottom"/>
          </w:tcPr>
          <w:p>
            <w:pPr>
              <w:spacing w:after="0"/>
              <w:rPr>
                <w:sz w:val="17"/>
                <w:szCs w:val="17"/>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7"/>
                <w:szCs w:val="17"/>
                <w:color w:val="auto"/>
              </w:rPr>
              <w:t>None(2)</w:t>
            </w:r>
          </w:p>
        </w:tc>
        <w:tc>
          <w:tcPr>
            <w:tcW w:w="1780" w:type="dxa"/>
            <w:vAlign w:val="bottom"/>
            <w:gridSpan w:val="2"/>
          </w:tcPr>
          <w:p>
            <w:pPr>
              <w:ind w:left="100"/>
              <w:spacing w:after="0"/>
              <w:rPr>
                <w:sz w:val="20"/>
                <w:szCs w:val="20"/>
                <w:color w:val="auto"/>
              </w:rPr>
            </w:pPr>
            <w:r>
              <w:rPr>
                <w:rFonts w:ascii="Arial" w:cs="Arial" w:eastAsia="Arial" w:hAnsi="Arial"/>
                <w:sz w:val="17"/>
                <w:szCs w:val="17"/>
                <w:color w:val="auto"/>
              </w:rPr>
              <w:t>$1,000,000 -</w:t>
            </w:r>
          </w:p>
        </w:tc>
        <w:tc>
          <w:tcPr>
            <w:tcW w:w="1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None(2)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7"/>
                <w:szCs w:val="17"/>
                <w:color w:val="auto"/>
              </w:rPr>
              <w:t>$10,000,000</w:t>
            </w: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auto"/>
              </w:rPr>
              <w:t>$10,000,000</w:t>
            </w: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$10,000,000</w:t>
            </w:r>
          </w:p>
        </w:tc>
        <w:tc>
          <w:tcPr>
            <w:tcW w:w="1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100%</w:t>
            </w:r>
          </w:p>
        </w:tc>
        <w:tc>
          <w:tcPr>
            <w:tcW w:w="60" w:type="dxa"/>
            <w:vAlign w:val="bottom"/>
            <w:shd w:val="clear" w:color="auto" w:fill="CCEEFF"/>
          </w:tcPr>
          <w:p>
            <w:pPr>
              <w:spacing w:after="0"/>
              <w:rPr>
                <w:sz w:val="18"/>
                <w:szCs w:val="18"/>
                <w:color w:val="auto"/>
              </w:rPr>
            </w:pPr>
          </w:p>
        </w:tc>
        <w:tc>
          <w:tcPr>
            <w:tcW w:w="17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$10,000,000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Personal Umbrella</w:t>
            </w:r>
          </w:p>
        </w:tc>
        <w:tc>
          <w:tcPr>
            <w:tcW w:w="17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$1,000,000</w:t>
            </w:r>
          </w:p>
        </w:tc>
        <w:tc>
          <w:tcPr>
            <w:tcW w:w="1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$100,000</w:t>
            </w:r>
          </w:p>
        </w:tc>
        <w:tc>
          <w:tcPr>
            <w:tcW w:w="60" w:type="dxa"/>
            <w:vAlign w:val="bottom"/>
            <w:shd w:val="clear" w:color="auto" w:fill="CCEEFF"/>
          </w:tcPr>
          <w:p>
            <w:pPr>
              <w:spacing w:after="0"/>
              <w:rPr>
                <w:sz w:val="18"/>
                <w:szCs w:val="18"/>
                <w:color w:val="auto"/>
              </w:rPr>
            </w:pPr>
          </w:p>
        </w:tc>
        <w:tc>
          <w:tcPr>
            <w:tcW w:w="17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$1,000,000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ind w:left="40"/>
              <w:spacing w:after="0"/>
              <w:rPr>
                <w:sz w:val="20"/>
                <w:szCs w:val="20"/>
                <w:color w:val="auto"/>
              </w:rPr>
            </w:pPr>
            <w:r>
              <w:rPr>
                <w:rFonts w:ascii="Arial" w:cs="Arial" w:eastAsia="Arial" w:hAnsi="Arial"/>
                <w:sz w:val="17"/>
                <w:szCs w:val="17"/>
                <w:color w:val="auto"/>
              </w:rPr>
              <w:t>$1,000,000 -</w:t>
            </w:r>
          </w:p>
        </w:tc>
        <w:tc>
          <w:tcPr>
            <w:tcW w:w="120" w:type="dxa"/>
            <w:vAlign w:val="bottom"/>
          </w:tcPr>
          <w:p>
            <w:pPr>
              <w:spacing w:after="0"/>
              <w:rPr>
                <w:sz w:val="17"/>
                <w:szCs w:val="17"/>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7"/>
                <w:szCs w:val="17"/>
                <w:color w:val="auto"/>
              </w:rPr>
              <w:t>None</w:t>
            </w:r>
          </w:p>
        </w:tc>
        <w:tc>
          <w:tcPr>
            <w:tcW w:w="1780" w:type="dxa"/>
            <w:vAlign w:val="bottom"/>
            <w:gridSpan w:val="2"/>
          </w:tcPr>
          <w:p>
            <w:pPr>
              <w:ind w:left="100"/>
              <w:spacing w:after="0"/>
              <w:rPr>
                <w:sz w:val="20"/>
                <w:szCs w:val="20"/>
                <w:color w:val="auto"/>
              </w:rPr>
            </w:pPr>
            <w:r>
              <w:rPr>
                <w:rFonts w:ascii="Arial" w:cs="Arial" w:eastAsia="Arial" w:hAnsi="Arial"/>
                <w:sz w:val="17"/>
                <w:szCs w:val="17"/>
                <w:color w:val="auto"/>
              </w:rPr>
              <w:t>$1,000,000 -</w:t>
            </w:r>
          </w:p>
        </w:tc>
        <w:tc>
          <w:tcPr>
            <w:tcW w:w="1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None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7"/>
                <w:szCs w:val="17"/>
                <w:color w:val="auto"/>
              </w:rPr>
              <w:t>$5,000,000</w:t>
            </w: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auto"/>
              </w:rPr>
              <w:t>$5,000,000</w:t>
            </w: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$5,000,000</w:t>
            </w:r>
          </w:p>
        </w:tc>
        <w:tc>
          <w:tcPr>
            <w:tcW w:w="1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100%</w:t>
            </w:r>
          </w:p>
        </w:tc>
        <w:tc>
          <w:tcPr>
            <w:tcW w:w="60" w:type="dxa"/>
            <w:vAlign w:val="bottom"/>
            <w:shd w:val="clear" w:color="auto" w:fill="CCEEFF"/>
          </w:tcPr>
          <w:p>
            <w:pPr>
              <w:spacing w:after="0"/>
              <w:rPr>
                <w:sz w:val="18"/>
                <w:szCs w:val="18"/>
                <w:color w:val="auto"/>
              </w:rPr>
            </w:pPr>
          </w:p>
        </w:tc>
        <w:tc>
          <w:tcPr>
            <w:tcW w:w="17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$5,000,000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Commercial Lines</w:t>
            </w:r>
          </w:p>
        </w:tc>
        <w:tc>
          <w:tcPr>
            <w:tcW w:w="17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$750,000</w:t>
            </w:r>
          </w:p>
        </w:tc>
        <w:tc>
          <w:tcPr>
            <w:tcW w:w="1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$750,000</w:t>
            </w:r>
          </w:p>
        </w:tc>
        <w:tc>
          <w:tcPr>
            <w:tcW w:w="60" w:type="dxa"/>
            <w:vAlign w:val="bottom"/>
            <w:shd w:val="clear" w:color="auto" w:fill="CCEEFF"/>
          </w:tcPr>
          <w:p>
            <w:pPr>
              <w:spacing w:after="0"/>
              <w:rPr>
                <w:sz w:val="18"/>
                <w:szCs w:val="18"/>
                <w:color w:val="auto"/>
              </w:rPr>
            </w:pPr>
          </w:p>
        </w:tc>
        <w:tc>
          <w:tcPr>
            <w:tcW w:w="17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$750,000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$750,000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ind w:left="40"/>
              <w:spacing w:after="0"/>
              <w:rPr>
                <w:sz w:val="20"/>
                <w:szCs w:val="20"/>
                <w:color w:val="auto"/>
              </w:rPr>
            </w:pPr>
            <w:r>
              <w:rPr>
                <w:rFonts w:ascii="Arial" w:cs="Arial" w:eastAsia="Arial" w:hAnsi="Arial"/>
                <w:sz w:val="17"/>
                <w:szCs w:val="17"/>
                <w:color w:val="auto"/>
                <w:w w:val="97"/>
              </w:rPr>
              <w:t>$750,000 - $4,500,000</w:t>
            </w:r>
          </w:p>
        </w:tc>
        <w:tc>
          <w:tcPr>
            <w:tcW w:w="120" w:type="dxa"/>
            <w:vAlign w:val="bottom"/>
          </w:tcPr>
          <w:p>
            <w:pPr>
              <w:spacing w:after="0"/>
              <w:rPr>
                <w:sz w:val="18"/>
                <w:szCs w:val="18"/>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7"/>
                <w:szCs w:val="17"/>
                <w:color w:val="auto"/>
              </w:rPr>
              <w:t>None(3)</w:t>
            </w:r>
          </w:p>
        </w:tc>
        <w:tc>
          <w:tcPr>
            <w:tcW w:w="1780" w:type="dxa"/>
            <w:vAlign w:val="bottom"/>
            <w:gridSpan w:val="2"/>
          </w:tcPr>
          <w:p>
            <w:pPr>
              <w:ind w:left="100"/>
              <w:spacing w:after="0"/>
              <w:rPr>
                <w:sz w:val="20"/>
                <w:szCs w:val="20"/>
                <w:color w:val="auto"/>
              </w:rPr>
            </w:pPr>
            <w:r>
              <w:rPr>
                <w:rFonts w:ascii="Arial" w:cs="Arial" w:eastAsia="Arial" w:hAnsi="Arial"/>
                <w:sz w:val="17"/>
                <w:szCs w:val="17"/>
                <w:color w:val="auto"/>
                <w:w w:val="97"/>
              </w:rPr>
              <w:t>$750,000 - $4,500,000</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None(3)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$4,500,000</w:t>
            </w:r>
          </w:p>
        </w:tc>
        <w:tc>
          <w:tcPr>
            <w:tcW w:w="1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100%</w:t>
            </w:r>
          </w:p>
        </w:tc>
        <w:tc>
          <w:tcPr>
            <w:tcW w:w="60" w:type="dxa"/>
            <w:vAlign w:val="bottom"/>
            <w:shd w:val="clear" w:color="auto" w:fill="CCEEFF"/>
          </w:tcPr>
          <w:p>
            <w:pPr>
              <w:spacing w:after="0"/>
              <w:rPr>
                <w:sz w:val="18"/>
                <w:szCs w:val="18"/>
                <w:color w:val="auto"/>
              </w:rPr>
            </w:pPr>
          </w:p>
        </w:tc>
        <w:tc>
          <w:tcPr>
            <w:tcW w:w="17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$4,500,000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Commercial Umbrella</w:t>
            </w:r>
          </w:p>
        </w:tc>
        <w:tc>
          <w:tcPr>
            <w:tcW w:w="17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$1,000,000</w:t>
            </w:r>
          </w:p>
        </w:tc>
        <w:tc>
          <w:tcPr>
            <w:tcW w:w="1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$100,000</w:t>
            </w:r>
          </w:p>
        </w:tc>
        <w:tc>
          <w:tcPr>
            <w:tcW w:w="60" w:type="dxa"/>
            <w:vAlign w:val="bottom"/>
            <w:shd w:val="clear" w:color="auto" w:fill="CCEEFF"/>
          </w:tcPr>
          <w:p>
            <w:pPr>
              <w:spacing w:after="0"/>
              <w:rPr>
                <w:sz w:val="18"/>
                <w:szCs w:val="18"/>
                <w:color w:val="auto"/>
              </w:rPr>
            </w:pPr>
          </w:p>
        </w:tc>
        <w:tc>
          <w:tcPr>
            <w:tcW w:w="17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$1,000,000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ind w:left="40"/>
              <w:spacing w:after="0"/>
              <w:rPr>
                <w:sz w:val="20"/>
                <w:szCs w:val="20"/>
                <w:color w:val="auto"/>
              </w:rPr>
            </w:pPr>
            <w:r>
              <w:rPr>
                <w:rFonts w:ascii="Arial" w:cs="Arial" w:eastAsia="Arial" w:hAnsi="Arial"/>
                <w:sz w:val="17"/>
                <w:szCs w:val="17"/>
                <w:color w:val="auto"/>
              </w:rPr>
              <w:t>$1,000,000 -</w:t>
            </w:r>
          </w:p>
        </w:tc>
        <w:tc>
          <w:tcPr>
            <w:tcW w:w="120" w:type="dxa"/>
            <w:vAlign w:val="bottom"/>
          </w:tcPr>
          <w:p>
            <w:pPr>
              <w:spacing w:after="0"/>
              <w:rPr>
                <w:sz w:val="17"/>
                <w:szCs w:val="17"/>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7"/>
                <w:szCs w:val="17"/>
                <w:color w:val="auto"/>
              </w:rPr>
              <w:t>None</w:t>
            </w:r>
          </w:p>
        </w:tc>
        <w:tc>
          <w:tcPr>
            <w:tcW w:w="1780" w:type="dxa"/>
            <w:vAlign w:val="bottom"/>
            <w:gridSpan w:val="2"/>
          </w:tcPr>
          <w:p>
            <w:pPr>
              <w:ind w:left="100"/>
              <w:spacing w:after="0"/>
              <w:rPr>
                <w:sz w:val="20"/>
                <w:szCs w:val="20"/>
                <w:color w:val="auto"/>
              </w:rPr>
            </w:pPr>
            <w:r>
              <w:rPr>
                <w:rFonts w:ascii="Arial" w:cs="Arial" w:eastAsia="Arial" w:hAnsi="Arial"/>
                <w:sz w:val="17"/>
                <w:szCs w:val="17"/>
                <w:color w:val="auto"/>
              </w:rPr>
              <w:t>$1,000,000 -</w:t>
            </w:r>
          </w:p>
        </w:tc>
        <w:tc>
          <w:tcPr>
            <w:tcW w:w="1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None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7"/>
                <w:szCs w:val="17"/>
                <w:color w:val="auto"/>
              </w:rPr>
              <w:t>$5,000,000</w:t>
            </w: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auto"/>
              </w:rPr>
              <w:t>$5,000,000</w:t>
            </w: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$5,000,000</w:t>
            </w:r>
          </w:p>
        </w:tc>
        <w:tc>
          <w:tcPr>
            <w:tcW w:w="1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100%</w:t>
            </w:r>
          </w:p>
        </w:tc>
        <w:tc>
          <w:tcPr>
            <w:tcW w:w="60" w:type="dxa"/>
            <w:vAlign w:val="bottom"/>
            <w:shd w:val="clear" w:color="auto" w:fill="CCEEFF"/>
          </w:tcPr>
          <w:p>
            <w:pPr>
              <w:spacing w:after="0"/>
              <w:rPr>
                <w:sz w:val="18"/>
                <w:szCs w:val="18"/>
                <w:color w:val="auto"/>
              </w:rPr>
            </w:pPr>
          </w:p>
        </w:tc>
        <w:tc>
          <w:tcPr>
            <w:tcW w:w="17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$5,000,000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Catastrophe (4)</w:t>
            </w:r>
          </w:p>
        </w:tc>
        <w:tc>
          <w:tcPr>
            <w:tcW w:w="17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$5,000,000</w:t>
            </w:r>
          </w:p>
        </w:tc>
        <w:tc>
          <w:tcPr>
            <w:tcW w:w="1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$4,500,000</w:t>
            </w:r>
          </w:p>
        </w:tc>
        <w:tc>
          <w:tcPr>
            <w:tcW w:w="60" w:type="dxa"/>
            <w:vAlign w:val="bottom"/>
            <w:shd w:val="clear" w:color="auto" w:fill="CCEEFF"/>
          </w:tcPr>
          <w:p>
            <w:pPr>
              <w:spacing w:after="0"/>
              <w:rPr>
                <w:sz w:val="18"/>
                <w:szCs w:val="18"/>
                <w:color w:val="auto"/>
              </w:rPr>
            </w:pPr>
          </w:p>
        </w:tc>
        <w:tc>
          <w:tcPr>
            <w:tcW w:w="17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$5,000,000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ind w:left="40"/>
              <w:spacing w:after="0"/>
              <w:rPr>
                <w:sz w:val="20"/>
                <w:szCs w:val="20"/>
                <w:color w:val="auto"/>
              </w:rPr>
            </w:pPr>
            <w:r>
              <w:rPr>
                <w:rFonts w:ascii="Arial" w:cs="Arial" w:eastAsia="Arial" w:hAnsi="Arial"/>
                <w:sz w:val="17"/>
                <w:szCs w:val="17"/>
                <w:color w:val="auto"/>
              </w:rPr>
              <w:t>$5,000,000 -</w:t>
            </w:r>
          </w:p>
        </w:tc>
        <w:tc>
          <w:tcPr>
            <w:tcW w:w="120" w:type="dxa"/>
            <w:vAlign w:val="bottom"/>
          </w:tcPr>
          <w:p>
            <w:pPr>
              <w:spacing w:after="0"/>
              <w:rPr>
                <w:sz w:val="17"/>
                <w:szCs w:val="17"/>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7"/>
                <w:szCs w:val="17"/>
                <w:color w:val="auto"/>
              </w:rPr>
              <w:t>None</w:t>
            </w:r>
          </w:p>
        </w:tc>
        <w:tc>
          <w:tcPr>
            <w:tcW w:w="1780" w:type="dxa"/>
            <w:vAlign w:val="bottom"/>
            <w:gridSpan w:val="2"/>
          </w:tcPr>
          <w:p>
            <w:pPr>
              <w:ind w:left="100"/>
              <w:spacing w:after="0"/>
              <w:rPr>
                <w:sz w:val="20"/>
                <w:szCs w:val="20"/>
                <w:color w:val="auto"/>
              </w:rPr>
            </w:pPr>
            <w:r>
              <w:rPr>
                <w:rFonts w:ascii="Arial" w:cs="Arial" w:eastAsia="Arial" w:hAnsi="Arial"/>
                <w:sz w:val="17"/>
                <w:szCs w:val="17"/>
                <w:color w:val="auto"/>
              </w:rPr>
              <w:t>$5,000,000 -</w:t>
            </w:r>
          </w:p>
        </w:tc>
        <w:tc>
          <w:tcPr>
            <w:tcW w:w="1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None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7"/>
                <w:szCs w:val="17"/>
                <w:color w:val="auto"/>
              </w:rPr>
              <w:t>$450,000,000</w:t>
            </w: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auto"/>
              </w:rPr>
              <w:t>$320,000,000</w:t>
            </w: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$450,000,000</w:t>
            </w:r>
          </w:p>
        </w:tc>
        <w:tc>
          <w:tcPr>
            <w:tcW w:w="1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100%</w:t>
            </w:r>
          </w:p>
        </w:tc>
        <w:tc>
          <w:tcPr>
            <w:tcW w:w="60" w:type="dxa"/>
            <w:vAlign w:val="bottom"/>
            <w:shd w:val="clear" w:color="auto" w:fill="CCEEFF"/>
          </w:tcPr>
          <w:p>
            <w:pPr>
              <w:spacing w:after="0"/>
              <w:rPr>
                <w:sz w:val="18"/>
                <w:szCs w:val="18"/>
                <w:color w:val="auto"/>
              </w:rPr>
            </w:pPr>
          </w:p>
        </w:tc>
        <w:tc>
          <w:tcPr>
            <w:tcW w:w="17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$320,000,000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320" w:hanging="315"/>
        <w:spacing w:after="0"/>
        <w:tabs>
          <w:tab w:leader="none" w:pos="3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Treaty for July 1, 2017 – June 30, 2018 and July 1, 2018 – June 30, 2019 is a two-year treaty with expiration date of June 30, 2019.</w:t>
      </w:r>
    </w:p>
    <w:p>
      <w:pPr>
        <w:spacing w:after="0" w:line="20" w:lineRule="exact"/>
        <w:rPr>
          <w:rFonts w:ascii="Arial" w:cs="Arial" w:eastAsia="Arial" w:hAnsi="Arial"/>
          <w:sz w:val="17"/>
          <w:szCs w:val="17"/>
          <w:color w:val="auto"/>
        </w:rPr>
      </w:pPr>
    </w:p>
    <w:p>
      <w:pPr>
        <w:ind w:left="320" w:hanging="315"/>
        <w:spacing w:after="0"/>
        <w:tabs>
          <w:tab w:leader="none" w:pos="3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Covered by excess of loss treaties up to $3,500,000 and by facultative facility from $3,500,000 to $10,000,000.</w:t>
      </w:r>
    </w:p>
    <w:p>
      <w:pPr>
        <w:spacing w:after="0" w:line="13" w:lineRule="exact"/>
        <w:rPr>
          <w:rFonts w:ascii="Arial" w:cs="Arial" w:eastAsia="Arial" w:hAnsi="Arial"/>
          <w:sz w:val="17"/>
          <w:szCs w:val="17"/>
          <w:color w:val="auto"/>
        </w:rPr>
      </w:pPr>
    </w:p>
    <w:p>
      <w:pPr>
        <w:ind w:left="320" w:hanging="315"/>
        <w:spacing w:after="0"/>
        <w:tabs>
          <w:tab w:leader="none" w:pos="3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Covered by excess of loss treaties.</w:t>
      </w:r>
    </w:p>
    <w:p>
      <w:pPr>
        <w:spacing w:after="0" w:line="13" w:lineRule="exact"/>
        <w:rPr>
          <w:rFonts w:ascii="Arial" w:cs="Arial" w:eastAsia="Arial" w:hAnsi="Arial"/>
          <w:sz w:val="17"/>
          <w:szCs w:val="17"/>
          <w:color w:val="auto"/>
        </w:rPr>
      </w:pPr>
    </w:p>
    <w:p>
      <w:pPr>
        <w:ind w:left="320" w:hanging="315"/>
        <w:spacing w:after="0"/>
        <w:tabs>
          <w:tab w:leader="none" w:pos="3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Catastrophe coverage is limited on an annual basis to two times the per occurrence amounts.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76" w:name="page77"/>
    <w:bookmarkEnd w:id="76"/>
    <w:p>
      <w:pPr>
        <w:ind w:left="640"/>
        <w:spacing w:after="0"/>
        <w:rPr>
          <w:sz w:val="20"/>
          <w:szCs w:val="20"/>
          <w:color w:val="auto"/>
        </w:rPr>
      </w:pPr>
      <w:r>
        <w:rPr>
          <w:rFonts w:ascii="Arial" w:cs="Arial" w:eastAsia="Arial" w:hAnsi="Arial"/>
          <w:sz w:val="17"/>
          <w:szCs w:val="17"/>
          <w:color w:val="auto"/>
        </w:rPr>
        <w:t>The single maximum risks per occurrence to which the Company is subject under the treaty years shown below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7760" w:type="dxa"/>
            <w:vAlign w:val="bottom"/>
            <w:vMerge w:val="restart"/>
          </w:tcPr>
          <w:p>
            <w:pPr>
              <w:ind w:left="3660"/>
              <w:spacing w:after="0"/>
              <w:rPr>
                <w:sz w:val="20"/>
                <w:szCs w:val="20"/>
                <w:color w:val="auto"/>
              </w:rPr>
            </w:pPr>
            <w:r>
              <w:rPr>
                <w:rFonts w:ascii="Arial" w:cs="Arial" w:eastAsia="Arial" w:hAnsi="Arial"/>
                <w:sz w:val="14"/>
                <w:szCs w:val="14"/>
                <w:b w:val="1"/>
                <w:bCs w:val="1"/>
                <w:color w:val="auto"/>
              </w:rPr>
              <w:t>Treaty</w:t>
            </w:r>
          </w:p>
        </w:tc>
        <w:tc>
          <w:tcPr>
            <w:tcW w:w="120" w:type="dxa"/>
            <w:vAlign w:val="bottom"/>
            <w:vMerge w:val="restart"/>
          </w:tcPr>
          <w:p>
            <w:pPr>
              <w:spacing w:after="0"/>
              <w:rPr>
                <w:sz w:val="15"/>
                <w:szCs w:val="15"/>
                <w:color w:val="auto"/>
              </w:rPr>
            </w:pPr>
          </w:p>
        </w:tc>
        <w:tc>
          <w:tcPr>
            <w:tcW w:w="3540" w:type="dxa"/>
            <w:vAlign w:val="bottom"/>
            <w:gridSpan w:val="4"/>
          </w:tcPr>
          <w:p>
            <w:pPr>
              <w:ind w:left="920"/>
              <w:spacing w:after="0"/>
              <w:rPr>
                <w:sz w:val="20"/>
                <w:szCs w:val="20"/>
                <w:color w:val="auto"/>
              </w:rPr>
            </w:pPr>
            <w:r>
              <w:rPr>
                <w:rFonts w:ascii="Arial" w:cs="Arial" w:eastAsia="Arial" w:hAnsi="Arial"/>
                <w:sz w:val="14"/>
                <w:szCs w:val="14"/>
                <w:b w:val="1"/>
                <w:bCs w:val="1"/>
                <w:color w:val="auto"/>
              </w:rPr>
              <w:t>July 1, 2019 - June 30, 2020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76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700" w:type="dxa"/>
            <w:vAlign w:val="bottom"/>
            <w:tcBorders>
              <w:top w:val="single" w:sz="8" w:color="auto"/>
              <w:bottom w:val="single" w:sz="8" w:color="auto"/>
            </w:tcBorders>
          </w:tcPr>
          <w:p>
            <w:pPr>
              <w:ind w:left="420"/>
              <w:spacing w:after="0" w:line="157" w:lineRule="exact"/>
              <w:rPr>
                <w:sz w:val="20"/>
                <w:szCs w:val="20"/>
                <w:color w:val="auto"/>
              </w:rPr>
            </w:pPr>
            <w:r>
              <w:rPr>
                <w:rFonts w:ascii="Arial" w:cs="Arial" w:eastAsia="Arial" w:hAnsi="Arial"/>
                <w:sz w:val="14"/>
                <w:szCs w:val="14"/>
                <w:b w:val="1"/>
                <w:bCs w:val="1"/>
                <w:color w:val="auto"/>
              </w:rPr>
              <w:t>Extent of Loss</w:t>
            </w:r>
          </w:p>
        </w:tc>
        <w:tc>
          <w:tcPr>
            <w:tcW w:w="120" w:type="dxa"/>
            <w:vAlign w:val="bottom"/>
            <w:tcBorders>
              <w:top w:val="single" w:sz="8" w:color="auto"/>
            </w:tcBorders>
          </w:tcPr>
          <w:p>
            <w:pPr>
              <w:spacing w:after="0"/>
              <w:rPr>
                <w:sz w:val="14"/>
                <w:szCs w:val="14"/>
                <w:color w:val="auto"/>
              </w:rPr>
            </w:pPr>
          </w:p>
        </w:tc>
        <w:tc>
          <w:tcPr>
            <w:tcW w:w="1700" w:type="dxa"/>
            <w:vAlign w:val="bottom"/>
            <w:tcBorders>
              <w:top w:val="single" w:sz="8" w:color="auto"/>
              <w:bottom w:val="single" w:sz="8" w:color="auto"/>
            </w:tcBorders>
          </w:tcPr>
          <w:p>
            <w:pPr>
              <w:jc w:val="right"/>
              <w:ind w:right="316"/>
              <w:spacing w:after="0" w:line="157" w:lineRule="exact"/>
              <w:rPr>
                <w:sz w:val="20"/>
                <w:szCs w:val="20"/>
                <w:color w:val="auto"/>
              </w:rPr>
            </w:pPr>
            <w:r>
              <w:rPr>
                <w:rFonts w:ascii="Arial" w:cs="Arial" w:eastAsia="Arial" w:hAnsi="Arial"/>
                <w:sz w:val="14"/>
                <w:szCs w:val="14"/>
                <w:b w:val="1"/>
                <w:bCs w:val="1"/>
                <w:color w:val="auto"/>
              </w:rPr>
              <w:t>Risk Retained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Personal Lines (1)</w:t>
            </w:r>
          </w:p>
        </w:tc>
        <w:tc>
          <w:tcPr>
            <w:tcW w:w="18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Initial $1,000,000</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ind w:left="40"/>
              <w:spacing w:after="0"/>
              <w:rPr>
                <w:sz w:val="20"/>
                <w:szCs w:val="20"/>
                <w:color w:val="auto"/>
              </w:rPr>
            </w:pPr>
            <w:r>
              <w:rPr>
                <w:rFonts w:ascii="Arial" w:cs="Arial" w:eastAsia="Arial" w:hAnsi="Arial"/>
                <w:sz w:val="17"/>
                <w:szCs w:val="17"/>
                <w:color w:val="auto"/>
                <w:w w:val="90"/>
              </w:rPr>
              <w:t>$1,000,000 - $10,000,000</w:t>
            </w:r>
          </w:p>
        </w:tc>
        <w:tc>
          <w:tcPr>
            <w:tcW w:w="1700" w:type="dxa"/>
            <w:vAlign w:val="bottom"/>
          </w:tcPr>
          <w:p>
            <w:pPr>
              <w:jc w:val="right"/>
              <w:spacing w:after="0"/>
              <w:rPr>
                <w:sz w:val="20"/>
                <w:szCs w:val="20"/>
                <w:color w:val="auto"/>
              </w:rPr>
            </w:pPr>
            <w:r>
              <w:rPr>
                <w:rFonts w:ascii="Arial" w:cs="Arial" w:eastAsia="Arial" w:hAnsi="Arial"/>
                <w:sz w:val="17"/>
                <w:szCs w:val="17"/>
                <w:color w:val="auto"/>
              </w:rPr>
              <w:t>None(2)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Over $10,000,000</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Personal Umbrella</w:t>
            </w:r>
          </w:p>
        </w:tc>
        <w:tc>
          <w:tcPr>
            <w:tcW w:w="18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Initial $1,000,000</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ind w:left="40"/>
              <w:spacing w:after="0"/>
              <w:rPr>
                <w:sz w:val="20"/>
                <w:szCs w:val="20"/>
                <w:color w:val="auto"/>
              </w:rPr>
            </w:pPr>
            <w:r>
              <w:rPr>
                <w:rFonts w:ascii="Arial" w:cs="Arial" w:eastAsia="Arial" w:hAnsi="Arial"/>
                <w:sz w:val="17"/>
                <w:szCs w:val="17"/>
                <w:color w:val="auto"/>
                <w:w w:val="94"/>
              </w:rPr>
              <w:t>$1,000,000 - $5,000,000</w:t>
            </w:r>
          </w:p>
        </w:tc>
        <w:tc>
          <w:tcPr>
            <w:tcW w:w="1700" w:type="dxa"/>
            <w:vAlign w:val="bottom"/>
          </w:tcPr>
          <w:p>
            <w:pPr>
              <w:jc w:val="right"/>
              <w:spacing w:after="0"/>
              <w:rPr>
                <w:sz w:val="20"/>
                <w:szCs w:val="20"/>
                <w:color w:val="auto"/>
              </w:rPr>
            </w:pPr>
            <w:r>
              <w:rPr>
                <w:rFonts w:ascii="Arial" w:cs="Arial" w:eastAsia="Arial" w:hAnsi="Arial"/>
                <w:sz w:val="17"/>
                <w:szCs w:val="17"/>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Over $5,000,000</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Commercial Lines</w:t>
            </w:r>
          </w:p>
        </w:tc>
        <w:tc>
          <w:tcPr>
            <w:tcW w:w="18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Initial $750,000</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ind w:left="40"/>
              <w:spacing w:after="0"/>
              <w:rPr>
                <w:sz w:val="20"/>
                <w:szCs w:val="20"/>
                <w:color w:val="auto"/>
              </w:rPr>
            </w:pPr>
            <w:r>
              <w:rPr>
                <w:rFonts w:ascii="Arial" w:cs="Arial" w:eastAsia="Arial" w:hAnsi="Arial"/>
                <w:sz w:val="17"/>
                <w:szCs w:val="17"/>
                <w:color w:val="auto"/>
                <w:w w:val="95"/>
              </w:rPr>
              <w:t>$750,000 - $3,750,000</w:t>
            </w: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None(3)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Over $4,500,000</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Catastrophe (4)</w:t>
            </w:r>
          </w:p>
        </w:tc>
        <w:tc>
          <w:tcPr>
            <w:tcW w:w="18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Initial $7,500,000</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ind w:left="40"/>
              <w:spacing w:after="0"/>
              <w:rPr>
                <w:sz w:val="20"/>
                <w:szCs w:val="20"/>
                <w:color w:val="auto"/>
              </w:rPr>
            </w:pPr>
            <w:r>
              <w:rPr>
                <w:rFonts w:ascii="Arial" w:cs="Arial" w:eastAsia="Arial" w:hAnsi="Arial"/>
                <w:sz w:val="17"/>
                <w:szCs w:val="17"/>
                <w:color w:val="auto"/>
              </w:rPr>
              <w:t>$7,500,000 -</w:t>
            </w:r>
          </w:p>
        </w:tc>
        <w:tc>
          <w:tcPr>
            <w:tcW w:w="1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None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7"/>
                <w:szCs w:val="17"/>
                <w:color w:val="auto"/>
              </w:rPr>
              <w:t>$610,000,000</w:t>
            </w: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Over $610,000,000</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320" w:hanging="315"/>
        <w:spacing w:after="0"/>
        <w:tabs>
          <w:tab w:leader="none" w:pos="3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Personal lines quota share treaty was eliminated effective July 1, 2019. The 2017/2019 Treaty expired on a run-off basis.</w:t>
      </w:r>
    </w:p>
    <w:p>
      <w:pPr>
        <w:spacing w:after="0" w:line="20" w:lineRule="exact"/>
        <w:rPr>
          <w:rFonts w:ascii="Arial" w:cs="Arial" w:eastAsia="Arial" w:hAnsi="Arial"/>
          <w:sz w:val="17"/>
          <w:szCs w:val="17"/>
          <w:color w:val="auto"/>
        </w:rPr>
      </w:pPr>
    </w:p>
    <w:p>
      <w:pPr>
        <w:ind w:left="320" w:hanging="315"/>
        <w:spacing w:after="0"/>
        <w:tabs>
          <w:tab w:leader="none" w:pos="3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Covered by excess of loss treaties up to $3,500,000 and by facultative facility from $3,500,000 to $10,000,000.</w:t>
      </w:r>
    </w:p>
    <w:p>
      <w:pPr>
        <w:spacing w:after="0" w:line="13" w:lineRule="exact"/>
        <w:rPr>
          <w:rFonts w:ascii="Arial" w:cs="Arial" w:eastAsia="Arial" w:hAnsi="Arial"/>
          <w:sz w:val="17"/>
          <w:szCs w:val="17"/>
          <w:color w:val="auto"/>
        </w:rPr>
      </w:pPr>
    </w:p>
    <w:p>
      <w:pPr>
        <w:ind w:left="320" w:hanging="315"/>
        <w:spacing w:after="0"/>
        <w:tabs>
          <w:tab w:leader="none" w:pos="3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Covered by excess of loss treaties.</w:t>
      </w:r>
    </w:p>
    <w:p>
      <w:pPr>
        <w:spacing w:after="0" w:line="13" w:lineRule="exact"/>
        <w:rPr>
          <w:rFonts w:ascii="Arial" w:cs="Arial" w:eastAsia="Arial" w:hAnsi="Arial"/>
          <w:sz w:val="17"/>
          <w:szCs w:val="17"/>
          <w:color w:val="auto"/>
        </w:rPr>
      </w:pPr>
    </w:p>
    <w:p>
      <w:pPr>
        <w:ind w:left="320" w:hanging="315"/>
        <w:spacing w:after="0"/>
        <w:tabs>
          <w:tab w:leader="none" w:pos="3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Catastrophe coverage is limited on an annual basis to two times the per occurrence amounts.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62" w:lineRule="exact"/>
        <w:rPr>
          <w:sz w:val="20"/>
          <w:szCs w:val="20"/>
          <w:color w:val="auto"/>
        </w:rPr>
      </w:pPr>
    </w:p>
    <w:p>
      <w:pPr>
        <w:ind w:firstLine="628"/>
        <w:spacing w:after="0" w:line="314" w:lineRule="auto"/>
        <w:rPr>
          <w:sz w:val="20"/>
          <w:szCs w:val="20"/>
          <w:color w:val="auto"/>
        </w:rPr>
      </w:pPr>
      <w:r>
        <w:rPr>
          <w:rFonts w:ascii="Arial" w:cs="Arial" w:eastAsia="Arial" w:hAnsi="Arial"/>
          <w:sz w:val="16"/>
          <w:szCs w:val="16"/>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3. </w:t>
      </w:r>
      <w:r>
        <w:rPr>
          <w:rFonts w:ascii="Arial" w:cs="Arial" w:eastAsia="Arial" w:hAnsi="Arial"/>
          <w:sz w:val="17"/>
          <w:szCs w:val="17"/>
          <w:b w:val="1"/>
          <w:bCs w:val="1"/>
          <w:u w:val="single" w:color="auto"/>
          <w:color w:val="auto"/>
        </w:rPr>
        <w:t>Quantitative and Qualitative Disclosures About Market Risk</w:t>
      </w:r>
      <w:r>
        <w:rPr>
          <w:rFonts w:ascii="Arial" w:cs="Arial" w:eastAsia="Arial" w:hAnsi="Arial"/>
          <w:sz w:val="17"/>
          <w:szCs w:val="17"/>
          <w:color w:val="auto"/>
        </w:rPr>
        <w:t>.</w:t>
      </w:r>
    </w:p>
    <w:p>
      <w:pPr>
        <w:spacing w:after="0" w:line="22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This item is not applicable to smaller reporting companies.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77" w:name="page78"/>
    <w:bookmarkEnd w:id="77"/>
    <w:p>
      <w:pPr>
        <w:spacing w:after="0"/>
        <w:rPr>
          <w:sz w:val="20"/>
          <w:szCs w:val="20"/>
          <w:color w:val="auto"/>
        </w:rPr>
      </w:pPr>
      <w:r>
        <w:rPr>
          <w:rFonts w:ascii="Arial" w:cs="Arial" w:eastAsia="Arial" w:hAnsi="Arial"/>
          <w:sz w:val="17"/>
          <w:szCs w:val="17"/>
          <w:b w:val="1"/>
          <w:bCs w:val="1"/>
          <w:color w:val="auto"/>
        </w:rPr>
        <w:t xml:space="preserve">Item 4. </w:t>
      </w:r>
      <w:r>
        <w:rPr>
          <w:rFonts w:ascii="Arial" w:cs="Arial" w:eastAsia="Arial" w:hAnsi="Arial"/>
          <w:sz w:val="17"/>
          <w:szCs w:val="17"/>
          <w:b w:val="1"/>
          <w:bCs w:val="1"/>
          <w:u w:val="single" w:color="auto"/>
          <w:color w:val="auto"/>
        </w:rPr>
        <w:t>Controls and Procedures</w:t>
      </w:r>
      <w:r>
        <w:rPr>
          <w:rFonts w:ascii="Arial" w:cs="Arial" w:eastAsia="Arial" w:hAnsi="Arial"/>
          <w:sz w:val="17"/>
          <w:szCs w:val="17"/>
          <w:color w:val="auto"/>
        </w:rPr>
        <w:t>.</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Evaluation of Disclosure Controls and Procedures</w:t>
      </w:r>
    </w:p>
    <w:p>
      <w:pPr>
        <w:spacing w:after="0" w:line="223" w:lineRule="exact"/>
        <w:rPr>
          <w:sz w:val="20"/>
          <w:szCs w:val="20"/>
          <w:color w:val="auto"/>
        </w:rPr>
      </w:pPr>
    </w:p>
    <w:p>
      <w:pPr>
        <w:jc w:val="both"/>
        <w:ind w:firstLine="628"/>
        <w:spacing w:after="0" w:line="299" w:lineRule="auto"/>
        <w:rPr>
          <w:sz w:val="20"/>
          <w:szCs w:val="20"/>
          <w:color w:val="auto"/>
        </w:rPr>
      </w:pPr>
      <w:r>
        <w:rPr>
          <w:rFonts w:ascii="Arial" w:cs="Arial" w:eastAsia="Arial" w:hAnsi="Arial"/>
          <w:sz w:val="15"/>
          <w:szCs w:val="15"/>
          <w:color w:val="auto"/>
        </w:rPr>
        <w:t>We maintain a system of disclosure controls and procedures as defined in Rule 13a-15(e) under the Exchange Act that are designed to assure that information required to be disclosed in the reports we file or submit under the Exchange Act is recorded, processed, summarized and reported within the time periods specified in the SEC’s rules and forms, and that such information is accumulated and communicated to management, including our Chief Executive Officer and Chief Financial Officer, as appropriate, to allow timely decisions regarding required disclosures. Based on this evaluation, our Chief Executive Officer and Chief Financial Officer have concluded that, as of the end of such period, our disclosure controls and procedures are: (i) effective in recording, processing, summarizing, and reporting information on a timely basis that we are required to disclose in the reports that we file or submit under the Exchange Act, and (ii) effective in ensuring that information that we are required to disclose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99" w:lineRule="exact"/>
        <w:rPr>
          <w:sz w:val="20"/>
          <w:szCs w:val="20"/>
          <w:color w:val="auto"/>
        </w:rPr>
      </w:pPr>
    </w:p>
    <w:p>
      <w:pPr>
        <w:jc w:val="both"/>
        <w:ind w:firstLine="628"/>
        <w:spacing w:after="0" w:line="293" w:lineRule="auto"/>
        <w:rPr>
          <w:sz w:val="20"/>
          <w:szCs w:val="20"/>
          <w:color w:val="auto"/>
        </w:rPr>
      </w:pPr>
      <w:r>
        <w:rPr>
          <w:rFonts w:ascii="Arial" w:cs="Arial" w:eastAsia="Arial" w:hAnsi="Arial"/>
          <w:sz w:val="16"/>
          <w:szCs w:val="16"/>
          <w:color w:val="auto"/>
        </w:rPr>
        <w:t>As required by Exchange Act Rule 13a-15(b), as of the end of the period covered by this Quarterly Report, under the supervision and with the participation of our Chief Executive Officer and Chief Financial Officer, we evaluated the effectiveness of our disclosure controls and procedures. Based on this evaluation, our Chief Executive Officer and Chief Financial Officer concluded that our disclosure controls and procedures were effective as of June 30, 2019.</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158"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There was no change in our internal control over financial reporting during our most recently completed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7"/>
          <w:szCs w:val="17"/>
          <w:b w:val="1"/>
          <w:bCs w:val="1"/>
          <w:color w:val="auto"/>
        </w:rPr>
        <w:t xml:space="preserve">PART II. </w:t>
      </w:r>
      <w:r>
        <w:rPr>
          <w:rFonts w:ascii="Arial" w:cs="Arial" w:eastAsia="Arial" w:hAnsi="Arial"/>
          <w:sz w:val="17"/>
          <w:szCs w:val="17"/>
          <w:b w:val="1"/>
          <w:bCs w:val="1"/>
          <w:u w:val="single" w:color="auto"/>
          <w:color w:val="auto"/>
        </w:rPr>
        <w:t>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b w:val="1"/>
          <w:bCs w:val="1"/>
          <w:u w:val="single" w:color="auto"/>
          <w:color w:val="auto"/>
        </w:rPr>
        <w:t>Legal Proceedings</w:t>
      </w:r>
      <w:r>
        <w:rPr>
          <w:rFonts w:ascii="Arial" w:cs="Arial" w:eastAsia="Arial" w:hAnsi="Arial"/>
          <w:sz w:val="17"/>
          <w:szCs w:val="17"/>
          <w:color w:val="auto"/>
        </w:rPr>
        <w:t>.</w:t>
      </w:r>
    </w:p>
    <w:p>
      <w:pPr>
        <w:spacing w:after="0" w:line="227" w:lineRule="exact"/>
        <w:rPr>
          <w:sz w:val="20"/>
          <w:szCs w:val="20"/>
          <w:color w:val="auto"/>
        </w:rPr>
      </w:pPr>
    </w:p>
    <w:p>
      <w:pPr>
        <w:ind w:right="160" w:firstLine="628"/>
        <w:spacing w:after="0" w:line="301" w:lineRule="auto"/>
        <w:rPr>
          <w:sz w:val="20"/>
          <w:szCs w:val="20"/>
          <w:color w:val="auto"/>
        </w:rPr>
      </w:pPr>
      <w:r>
        <w:rPr>
          <w:rFonts w:ascii="Arial" w:cs="Arial" w:eastAsia="Arial" w:hAnsi="Arial"/>
          <w:sz w:val="15"/>
          <w:szCs w:val="15"/>
          <w:color w:val="auto"/>
        </w:rPr>
        <w:t xml:space="preserve">On June 12, 2019, Phillip Woolgar filed a suit naming the Company and certain present or former officers and directors as defendants in a putative class action captioned </w:t>
      </w:r>
      <w:r>
        <w:rPr>
          <w:rFonts w:ascii="Arial" w:cs="Arial" w:eastAsia="Arial" w:hAnsi="Arial"/>
          <w:sz w:val="15"/>
          <w:szCs w:val="15"/>
          <w:i w:val="1"/>
          <w:iCs w:val="1"/>
          <w:color w:val="auto"/>
        </w:rPr>
        <w:t>Woolgar v. Kingstone Companies et al.</w:t>
      </w:r>
      <w:r>
        <w:rPr>
          <w:rFonts w:ascii="Arial" w:cs="Arial" w:eastAsia="Arial" w:hAnsi="Arial"/>
          <w:sz w:val="15"/>
          <w:szCs w:val="15"/>
          <w:color w:val="auto"/>
        </w:rPr>
        <w:t>, 19 cv 05500 (S.D.N.Y.), asserting claims under Section 10(b) of the Exchange Act and SEC Rule 10b-5 promulgated thereunder and Section 20(a) of the Exchange Act. Plaintiff seeks to represent a class of persons or entities that purchased Kingstone securities between March 14, 2018, and April 29, 2019, and alleges violations of the federal securities law in connection with the Company’s April 29, 2019 announcement regarding losses related to winter catastrophe events. The lawsuit alleges that the Company failed to disclose that it did not adequately follow industry best practices related to claims handling and thus did not record sufficient claim reserves, and that as a result, Defendants’ positive statements about the Company’s business, operations and prospects misled investors. Plaintiff seeks, among other things, an undetermined amount of money damages. We believe the lawsuit to be without merit.</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1A. </w:t>
      </w:r>
      <w:r>
        <w:rPr>
          <w:rFonts w:ascii="Arial" w:cs="Arial" w:eastAsia="Arial" w:hAnsi="Arial"/>
          <w:sz w:val="17"/>
          <w:szCs w:val="17"/>
          <w:b w:val="1"/>
          <w:bCs w:val="1"/>
          <w:u w:val="single" w:color="auto"/>
          <w:color w:val="auto"/>
        </w:rPr>
        <w:t>Risk Factors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1043305</wp:posOffset>
            </wp:positionH>
            <wp:positionV relativeFrom="paragraph">
              <wp:posOffset>-7620</wp:posOffset>
            </wp:positionV>
            <wp:extent cx="2730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spacing w:after="0" w:line="207" w:lineRule="exact"/>
        <w:rPr>
          <w:sz w:val="20"/>
          <w:szCs w:val="20"/>
          <w:color w:val="auto"/>
        </w:rPr>
      </w:pPr>
    </w:p>
    <w:p>
      <w:pPr>
        <w:ind w:firstLine="628"/>
        <w:spacing w:after="0" w:line="281" w:lineRule="auto"/>
        <w:rPr>
          <w:sz w:val="20"/>
          <w:szCs w:val="20"/>
          <w:color w:val="auto"/>
        </w:rPr>
      </w:pPr>
      <w:r>
        <w:rPr>
          <w:rFonts w:ascii="Arial" w:cs="Arial" w:eastAsia="Arial" w:hAnsi="Arial"/>
          <w:sz w:val="17"/>
          <w:szCs w:val="17"/>
          <w:color w:val="auto"/>
        </w:rPr>
        <w:t>There have been no material changes from the risk factors previously disclosed in Part I Item 1A of our Annual Report on Form 10-K for the year ended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b w:val="1"/>
          <w:bCs w:val="1"/>
          <w:u w:val="single" w:color="auto"/>
          <w:color w:val="auto"/>
        </w:rPr>
        <w:t>Unregistered Sales of Equity Securities and Use of Proceeds</w:t>
      </w:r>
      <w:r>
        <w:rPr>
          <w:rFonts w:ascii="Arial" w:cs="Arial" w:eastAsia="Arial" w:hAnsi="Arial"/>
          <w:sz w:val="17"/>
          <w:szCs w:val="17"/>
          <w:color w:val="auto"/>
        </w:rPr>
        <w:t>.</w:t>
      </w:r>
    </w:p>
    <w:p>
      <w:pPr>
        <w:spacing w:after="0" w:line="162" w:lineRule="exact"/>
        <w:rPr>
          <w:sz w:val="20"/>
          <w:szCs w:val="20"/>
          <w:color w:val="auto"/>
        </w:rPr>
      </w:pPr>
    </w:p>
    <w:p>
      <w:pPr>
        <w:ind w:left="900" w:hanging="268"/>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None.</w:t>
      </w:r>
    </w:p>
    <w:p>
      <w:pPr>
        <w:spacing w:after="0" w:line="223" w:lineRule="exact"/>
        <w:rPr>
          <w:rFonts w:ascii="Arial" w:cs="Arial" w:eastAsia="Arial" w:hAnsi="Arial"/>
          <w:sz w:val="17"/>
          <w:szCs w:val="17"/>
          <w:color w:val="auto"/>
        </w:rPr>
      </w:pPr>
    </w:p>
    <w:p>
      <w:pPr>
        <w:ind w:left="920" w:hanging="288"/>
        <w:spacing w:after="0"/>
        <w:tabs>
          <w:tab w:leader="none" w:pos="9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Not applicable.</w:t>
      </w:r>
    </w:p>
    <w:p>
      <w:pPr>
        <w:spacing w:after="0" w:line="223" w:lineRule="exact"/>
        <w:rPr>
          <w:rFonts w:ascii="Arial" w:cs="Arial" w:eastAsia="Arial" w:hAnsi="Arial"/>
          <w:sz w:val="17"/>
          <w:szCs w:val="17"/>
          <w:color w:val="auto"/>
        </w:rPr>
      </w:pPr>
    </w:p>
    <w:p>
      <w:pPr>
        <w:ind w:left="860" w:hanging="228"/>
        <w:spacing w:after="0"/>
        <w:tabs>
          <w:tab w:leader="none" w:pos="8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There were no purchases of common stock made by us or any “affiliated purchaser” during the quarter ended June 30, 2019.</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3. </w:t>
      </w:r>
      <w:r>
        <w:rPr>
          <w:rFonts w:ascii="Arial" w:cs="Arial" w:eastAsia="Arial" w:hAnsi="Arial"/>
          <w:sz w:val="17"/>
          <w:szCs w:val="17"/>
          <w:b w:val="1"/>
          <w:bCs w:val="1"/>
          <w:u w:val="single" w:color="auto"/>
          <w:color w:val="auto"/>
        </w:rPr>
        <w:t>Defaults Upon Senior Securities</w:t>
      </w:r>
      <w:r>
        <w:rPr>
          <w:rFonts w:ascii="Arial" w:cs="Arial" w:eastAsia="Arial" w:hAnsi="Arial"/>
          <w:sz w:val="17"/>
          <w:szCs w:val="17"/>
          <w:color w:val="auto"/>
        </w:rPr>
        <w:t>.</w:t>
      </w:r>
    </w:p>
    <w:p>
      <w:pPr>
        <w:spacing w:after="0" w:line="22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None.</w:t>
      </w:r>
    </w:p>
    <w:p>
      <w:pPr>
        <w:spacing w:after="0" w:line="219" w:lineRule="exact"/>
        <w:rPr>
          <w:sz w:val="20"/>
          <w:szCs w:val="20"/>
          <w:color w:val="auto"/>
        </w:rPr>
      </w:pPr>
    </w:p>
    <w:p>
      <w:pPr>
        <w:jc w:val="center"/>
        <w:ind w:right="9080"/>
        <w:spacing w:after="0"/>
        <w:rPr>
          <w:sz w:val="20"/>
          <w:szCs w:val="20"/>
          <w:color w:val="auto"/>
        </w:rPr>
      </w:pPr>
      <w:r>
        <w:rPr>
          <w:rFonts w:ascii="Arial" w:cs="Arial" w:eastAsia="Arial" w:hAnsi="Arial"/>
          <w:sz w:val="15"/>
          <w:szCs w:val="15"/>
          <w:b w:val="1"/>
          <w:bCs w:val="1"/>
          <w:color w:val="auto"/>
        </w:rPr>
        <w:t xml:space="preserve">Item 4. </w:t>
      </w:r>
      <w:r>
        <w:rPr>
          <w:rFonts w:ascii="Arial" w:cs="Arial" w:eastAsia="Arial" w:hAnsi="Arial"/>
          <w:sz w:val="15"/>
          <w:szCs w:val="15"/>
          <w:b w:val="1"/>
          <w:bCs w:val="1"/>
          <w:u w:val="single" w:color="auto"/>
          <w:color w:val="auto"/>
        </w:rPr>
        <w:t>Mine Safety Disclosures</w:t>
      </w:r>
      <w:r>
        <w:rPr>
          <w:rFonts w:ascii="Arial" w:cs="Arial" w:eastAsia="Arial" w:hAnsi="Arial"/>
          <w:sz w:val="15"/>
          <w:szCs w:val="15"/>
          <w:color w:val="auto"/>
        </w:rPr>
        <w:t>.</w:t>
      </w:r>
    </w:p>
    <w:p>
      <w:pPr>
        <w:spacing w:after="0" w:line="25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5. </w:t>
      </w:r>
      <w:r>
        <w:rPr>
          <w:rFonts w:ascii="Arial" w:cs="Arial" w:eastAsia="Arial" w:hAnsi="Arial"/>
          <w:sz w:val="17"/>
          <w:szCs w:val="17"/>
          <w:b w:val="1"/>
          <w:bCs w:val="1"/>
          <w:u w:val="single" w:color="auto"/>
          <w:color w:val="auto"/>
        </w:rPr>
        <w:t>Other Information</w:t>
      </w:r>
      <w:r>
        <w:rPr>
          <w:rFonts w:ascii="Arial" w:cs="Arial" w:eastAsia="Arial" w:hAnsi="Arial"/>
          <w:sz w:val="17"/>
          <w:szCs w:val="17"/>
          <w:color w:val="auto"/>
        </w:rPr>
        <w:t>.</w:t>
      </w:r>
    </w:p>
    <w:p>
      <w:pPr>
        <w:spacing w:after="0" w:line="22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79" w:name="page80"/>
    <w:bookmarkEnd w:id="79"/>
    <w:p>
      <w:pPr>
        <w:spacing w:after="0"/>
        <w:rPr>
          <w:sz w:val="20"/>
          <w:szCs w:val="20"/>
          <w:color w:val="auto"/>
        </w:rPr>
      </w:pPr>
      <w:r>
        <w:rPr>
          <w:rFonts w:ascii="Arial" w:cs="Arial" w:eastAsia="Arial" w:hAnsi="Arial"/>
          <w:sz w:val="17"/>
          <w:szCs w:val="17"/>
          <w:b w:val="1"/>
          <w:bCs w:val="1"/>
          <w:color w:val="auto"/>
        </w:rPr>
        <w:t xml:space="preserve">Item 6. </w:t>
      </w:r>
      <w:r>
        <w:rPr>
          <w:rFonts w:ascii="Arial" w:cs="Arial" w:eastAsia="Arial" w:hAnsi="Arial"/>
          <w:sz w:val="17"/>
          <w:szCs w:val="17"/>
          <w:b w:val="1"/>
          <w:bCs w:val="1"/>
          <w:u w:val="single" w:color="auto"/>
          <w:color w:val="auto"/>
        </w:rPr>
        <w:t>Exhibits</w:t>
      </w:r>
      <w:r>
        <w:rPr>
          <w:rFonts w:ascii="Arial" w:cs="Arial" w:eastAsia="Arial" w:hAnsi="Arial"/>
          <w:sz w:val="17"/>
          <w:szCs w:val="17"/>
          <w:color w:val="auto"/>
        </w:rPr>
        <w: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040" w:type="dxa"/>
            <w:vAlign w:val="bottom"/>
            <w:gridSpan w:val="4"/>
            <w:shd w:val="clear" w:color="auto" w:fill="CCEEFF"/>
          </w:tcPr>
          <w:p>
            <w:pPr>
              <w:spacing w:after="0"/>
              <w:rPr>
                <w:rFonts w:ascii="Arial" w:cs="Arial" w:eastAsia="Arial" w:hAnsi="Arial"/>
                <w:sz w:val="17"/>
                <w:szCs w:val="17"/>
                <w:color w:val="0000EE"/>
              </w:rPr>
            </w:pPr>
            <w:hyperlink r:id="rId87">
              <w:r>
                <w:rPr>
                  <w:rFonts w:ascii="Arial" w:cs="Arial" w:eastAsia="Arial" w:hAnsi="Arial"/>
                  <w:sz w:val="17"/>
                  <w:szCs w:val="17"/>
                  <w:color w:val="0000EE"/>
                </w:rPr>
                <w:t>3(a)</w:t>
              </w:r>
            </w:hyperlink>
          </w:p>
        </w:tc>
        <w:tc>
          <w:tcPr>
            <w:tcW w:w="10360" w:type="dxa"/>
            <w:vAlign w:val="bottom"/>
            <w:shd w:val="clear" w:color="auto" w:fill="CCEEFF"/>
          </w:tcPr>
          <w:p>
            <w:pPr>
              <w:ind w:left="440"/>
              <w:spacing w:after="0"/>
              <w:rPr>
                <w:sz w:val="20"/>
                <w:szCs w:val="20"/>
                <w:color w:val="auto"/>
              </w:rPr>
            </w:pPr>
            <w:r>
              <w:rPr>
                <w:rFonts w:ascii="Arial" w:cs="Arial" w:eastAsia="Arial" w:hAnsi="Arial"/>
                <w:sz w:val="17"/>
                <w:szCs w:val="17"/>
                <w:color w:val="auto"/>
                <w:w w:val="92"/>
              </w:rPr>
              <w:t>Restated Certificate of Incorporation, as amended (incorporated by reference to Exhibit 3(a) to the Company’s Quarterly Report on Form 10-Q</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6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CCEEFF"/>
            </w:tcBorders>
            <w:shd w:val="clear" w:color="auto" w:fill="CCEEFF"/>
          </w:tcPr>
          <w:p>
            <w:pPr>
              <w:spacing w:after="0"/>
              <w:rPr>
                <w:sz w:val="19"/>
                <w:szCs w:val="19"/>
                <w:color w:val="auto"/>
              </w:rPr>
            </w:pPr>
          </w:p>
        </w:tc>
        <w:tc>
          <w:tcPr>
            <w:tcW w:w="1036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for the period ended March 31, 2014 filed on May 15, 2014).</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040" w:type="dxa"/>
            <w:vAlign w:val="bottom"/>
            <w:gridSpan w:val="4"/>
            <w:shd w:val="clear" w:color="auto" w:fill="CCEEFF"/>
          </w:tcPr>
          <w:p>
            <w:pPr>
              <w:spacing w:after="0" w:line="170" w:lineRule="exact"/>
              <w:rPr>
                <w:rFonts w:ascii="Arial" w:cs="Arial" w:eastAsia="Arial" w:hAnsi="Arial"/>
                <w:sz w:val="17"/>
                <w:szCs w:val="17"/>
                <w:color w:val="0000EE"/>
              </w:rPr>
            </w:pPr>
            <w:hyperlink r:id="rId88">
              <w:r>
                <w:rPr>
                  <w:rFonts w:ascii="Arial" w:cs="Arial" w:eastAsia="Arial" w:hAnsi="Arial"/>
                  <w:sz w:val="17"/>
                  <w:szCs w:val="17"/>
                  <w:color w:val="0000EE"/>
                </w:rPr>
                <w:t>3(b)</w:t>
              </w:r>
            </w:hyperlink>
          </w:p>
        </w:tc>
        <w:tc>
          <w:tcPr>
            <w:tcW w:w="10360" w:type="dxa"/>
            <w:vAlign w:val="bottom"/>
            <w:shd w:val="clear" w:color="auto" w:fill="CCEEFF"/>
          </w:tcPr>
          <w:p>
            <w:pPr>
              <w:ind w:left="440"/>
              <w:spacing w:after="0" w:line="170" w:lineRule="exact"/>
              <w:rPr>
                <w:sz w:val="20"/>
                <w:szCs w:val="20"/>
                <w:color w:val="auto"/>
              </w:rPr>
            </w:pPr>
            <w:r>
              <w:rPr>
                <w:rFonts w:ascii="Arial" w:cs="Arial" w:eastAsia="Arial" w:hAnsi="Arial"/>
                <w:sz w:val="17"/>
                <w:szCs w:val="17"/>
                <w:color w:val="auto"/>
                <w:w w:val="95"/>
              </w:rPr>
              <w:t>By-laws, as amended (incorporated by reference to Exhibit 3.1 to the Company’s current Report on Form 8-K filed on November 9, 2009).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1040" w:type="dxa"/>
            <w:vAlign w:val="bottom"/>
            <w:gridSpan w:val="4"/>
            <w:shd w:val="clear" w:color="auto" w:fill="CCEEFF"/>
          </w:tcPr>
          <w:p>
            <w:pPr>
              <w:spacing w:after="0" w:line="170" w:lineRule="exact"/>
              <w:rPr>
                <w:rFonts w:ascii="Arial" w:cs="Arial" w:eastAsia="Arial" w:hAnsi="Arial"/>
                <w:sz w:val="17"/>
                <w:szCs w:val="17"/>
                <w:color w:val="0000EE"/>
              </w:rPr>
            </w:pPr>
            <w:hyperlink r:id="rId89">
              <w:r>
                <w:rPr>
                  <w:rFonts w:ascii="Arial" w:cs="Arial" w:eastAsia="Arial" w:hAnsi="Arial"/>
                  <w:sz w:val="17"/>
                  <w:szCs w:val="17"/>
                  <w:color w:val="0000EE"/>
                </w:rPr>
                <w:t>10(a)</w:t>
              </w:r>
            </w:hyperlink>
          </w:p>
        </w:tc>
        <w:tc>
          <w:tcPr>
            <w:tcW w:w="10360" w:type="dxa"/>
            <w:vAlign w:val="bottom"/>
            <w:shd w:val="clear" w:color="auto" w:fill="CCEEFF"/>
          </w:tcPr>
          <w:p>
            <w:pPr>
              <w:ind w:left="440"/>
              <w:spacing w:after="0" w:line="170" w:lineRule="exact"/>
              <w:rPr>
                <w:sz w:val="20"/>
                <w:szCs w:val="20"/>
                <w:color w:val="auto"/>
              </w:rPr>
            </w:pPr>
            <w:r>
              <w:rPr>
                <w:rFonts w:ascii="Arial" w:cs="Arial" w:eastAsia="Arial" w:hAnsi="Arial"/>
                <w:sz w:val="17"/>
                <w:szCs w:val="17"/>
                <w:color w:val="auto"/>
                <w:w w:val="91"/>
              </w:rPr>
              <w:t>Agreement and General Release, dated as of July 19, 2019, by and among Kingstone Companies, Inc., Kingstone Insurance Company and Dale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6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CCEEFF"/>
            </w:tcBorders>
            <w:shd w:val="clear" w:color="auto" w:fill="CCEEFF"/>
          </w:tcPr>
          <w:p>
            <w:pPr>
              <w:spacing w:after="0"/>
              <w:rPr>
                <w:sz w:val="19"/>
                <w:szCs w:val="19"/>
                <w:color w:val="auto"/>
              </w:rPr>
            </w:pPr>
          </w:p>
        </w:tc>
        <w:tc>
          <w:tcPr>
            <w:tcW w:w="1036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A. Thatcher (incorporated by reference to Exhibit 10.1 to the Company’s Current Report on Form 8-K filed on July 19, 2019).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040" w:type="dxa"/>
            <w:vAlign w:val="bottom"/>
            <w:gridSpan w:val="4"/>
            <w:shd w:val="clear" w:color="auto" w:fill="CCEEFF"/>
          </w:tcPr>
          <w:p>
            <w:pPr>
              <w:spacing w:after="0" w:line="170" w:lineRule="exact"/>
              <w:rPr>
                <w:sz w:val="20"/>
                <w:szCs w:val="20"/>
                <w:color w:val="auto"/>
              </w:rPr>
            </w:pPr>
            <w:r>
              <w:rPr>
                <w:rFonts w:ascii="Arial" w:cs="Arial" w:eastAsia="Arial" w:hAnsi="Arial"/>
                <w:sz w:val="17"/>
                <w:szCs w:val="17"/>
                <w:color w:val="0000EE"/>
              </w:rPr>
              <w:t>31(a)</w:t>
            </w:r>
          </w:p>
        </w:tc>
        <w:tc>
          <w:tcPr>
            <w:tcW w:w="10360" w:type="dxa"/>
            <w:vAlign w:val="bottom"/>
            <w:shd w:val="clear" w:color="auto" w:fill="CCEEFF"/>
          </w:tcPr>
          <w:p>
            <w:pPr>
              <w:ind w:left="440"/>
              <w:spacing w:after="0" w:line="170" w:lineRule="exact"/>
              <w:rPr>
                <w:sz w:val="20"/>
                <w:szCs w:val="20"/>
                <w:color w:val="auto"/>
              </w:rPr>
            </w:pPr>
            <w:r>
              <w:rPr>
                <w:rFonts w:ascii="Arial" w:cs="Arial" w:eastAsia="Arial" w:hAnsi="Arial"/>
                <w:sz w:val="17"/>
                <w:szCs w:val="17"/>
                <w:color w:val="auto"/>
                <w:w w:val="94"/>
              </w:rPr>
              <w:t>Rule 13a-14(a)/15d-14(a) Certification of Principal Executive Officer as adopted pursuant to Section 302 of the Sarbanes-Oxley Act of 2002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040" w:type="dxa"/>
            <w:vAlign w:val="bottom"/>
            <w:gridSpan w:val="4"/>
            <w:shd w:val="clear" w:color="auto" w:fill="CCEEFF"/>
          </w:tcPr>
          <w:p>
            <w:pPr>
              <w:spacing w:after="0" w:line="170" w:lineRule="exact"/>
              <w:rPr>
                <w:sz w:val="20"/>
                <w:szCs w:val="20"/>
                <w:color w:val="auto"/>
              </w:rPr>
            </w:pPr>
            <w:r>
              <w:rPr>
                <w:rFonts w:ascii="Arial" w:cs="Arial" w:eastAsia="Arial" w:hAnsi="Arial"/>
                <w:sz w:val="17"/>
                <w:szCs w:val="17"/>
                <w:color w:val="0000EE"/>
              </w:rPr>
              <w:t>31(b)</w:t>
            </w:r>
          </w:p>
        </w:tc>
        <w:tc>
          <w:tcPr>
            <w:tcW w:w="10360" w:type="dxa"/>
            <w:vAlign w:val="bottom"/>
            <w:shd w:val="clear" w:color="auto" w:fill="CCEEFF"/>
          </w:tcPr>
          <w:p>
            <w:pPr>
              <w:ind w:left="440"/>
              <w:spacing w:after="0" w:line="170" w:lineRule="exact"/>
              <w:rPr>
                <w:sz w:val="20"/>
                <w:szCs w:val="20"/>
                <w:color w:val="auto"/>
              </w:rPr>
            </w:pPr>
            <w:r>
              <w:rPr>
                <w:rFonts w:ascii="Arial" w:cs="Arial" w:eastAsia="Arial" w:hAnsi="Arial"/>
                <w:sz w:val="17"/>
                <w:szCs w:val="17"/>
                <w:color w:val="auto"/>
                <w:w w:val="95"/>
              </w:rPr>
              <w:t>Rule 13a-14(a)/15d-14(a) Certification of Principal Financial Officer as adopted pursuant to Section 302 of the Sarbanes-Oxley Act of 2002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60" w:type="dxa"/>
            <w:vAlign w:val="bottom"/>
            <w:tcBorders>
              <w:bottom w:val="single" w:sz="8" w:color="0000EE"/>
            </w:tcBorders>
            <w:shd w:val="clear" w:color="auto" w:fill="CCEEFF"/>
          </w:tcPr>
          <w:p>
            <w:pPr>
              <w:spacing w:after="0" w:line="170" w:lineRule="exact"/>
              <w:rPr>
                <w:sz w:val="20"/>
                <w:szCs w:val="20"/>
                <w:color w:val="auto"/>
              </w:rPr>
            </w:pPr>
            <w:r>
              <w:rPr>
                <w:rFonts w:ascii="Arial" w:cs="Arial" w:eastAsia="Arial" w:hAnsi="Arial"/>
                <w:sz w:val="17"/>
                <w:szCs w:val="17"/>
                <w:color w:val="0000EE"/>
                <w:w w:val="83"/>
              </w:rPr>
              <w:t>32+</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0360" w:type="dxa"/>
            <w:vAlign w:val="bottom"/>
            <w:tcBorders>
              <w:bottom w:val="single" w:sz="8" w:color="CCEEFF"/>
            </w:tcBorders>
            <w:shd w:val="clear" w:color="auto" w:fill="CCEEFF"/>
          </w:tcPr>
          <w:p>
            <w:pPr>
              <w:ind w:left="440"/>
              <w:spacing w:after="0" w:line="170" w:lineRule="exact"/>
              <w:rPr>
                <w:sz w:val="20"/>
                <w:szCs w:val="20"/>
                <w:color w:val="auto"/>
              </w:rPr>
            </w:pPr>
            <w:r>
              <w:rPr>
                <w:rFonts w:ascii="Arial" w:cs="Arial" w:eastAsia="Arial" w:hAnsi="Arial"/>
                <w:sz w:val="17"/>
                <w:szCs w:val="17"/>
                <w:color w:val="auto"/>
                <w:w w:val="92"/>
              </w:rPr>
              <w:t>Certification of Chief Executive Officer and Chief Financial Officer Pursuant to 18 U.S.C. Section 1350, as Adopted Pursuant to Section 906 of</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3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the Sarbanes-Oxley Act of 2002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0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101.INS</w:t>
            </w:r>
          </w:p>
        </w:tc>
        <w:tc>
          <w:tcPr>
            <w:tcW w:w="103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XBRL Instance Document</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0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101.SCH</w:t>
            </w:r>
          </w:p>
        </w:tc>
        <w:tc>
          <w:tcPr>
            <w:tcW w:w="103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101.SCH XBRL Taxonomy Extension Schema.</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0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101.CAL</w:t>
            </w:r>
          </w:p>
        </w:tc>
        <w:tc>
          <w:tcPr>
            <w:tcW w:w="103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101.CAL XBRL Taxonomy Extension Calculation Linkbase.</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0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101.DEF</w:t>
            </w:r>
          </w:p>
        </w:tc>
        <w:tc>
          <w:tcPr>
            <w:tcW w:w="103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101.DEF XBRL Taxonomy Extension Definition Linkbase.</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0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101.LAB</w:t>
            </w:r>
          </w:p>
        </w:tc>
        <w:tc>
          <w:tcPr>
            <w:tcW w:w="103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101.LAB XBRL Taxonomy Extension Label Linkbase.</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0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101.PRE</w:t>
            </w:r>
          </w:p>
        </w:tc>
        <w:tc>
          <w:tcPr>
            <w:tcW w:w="103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101.PRE XBRL Taxonomy Extension Presentation Linkbase.</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20" w:hanging="315"/>
        <w:spacing w:after="0" w:line="351" w:lineRule="auto"/>
        <w:tabs>
          <w:tab w:leader="none" w:pos="3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This exhibit will not be deemed “filed” for purposes of Section 18 of the Securities Exchange Act of 1934, as amended, or otherwise subject to the liability of that section. Such exhibit shall not be deemed incorporated into any filing under the Securities Act of 1933, as amended, or the Securities Act of 1934, as amended.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7"/>
          <w:szCs w:val="17"/>
          <w:b w:val="1"/>
          <w:bCs w:val="1"/>
          <w:u w:val="single" w:color="auto"/>
          <w:color w:val="auto"/>
        </w:rPr>
        <w:t>SIGNATURES</w:t>
      </w:r>
    </w:p>
    <w:p>
      <w:pPr>
        <w:spacing w:after="0" w:line="253" w:lineRule="exact"/>
        <w:rPr>
          <w:sz w:val="20"/>
          <w:szCs w:val="20"/>
          <w:color w:val="auto"/>
        </w:rPr>
      </w:pPr>
    </w:p>
    <w:p>
      <w:pPr>
        <w:ind w:firstLine="628"/>
        <w:spacing w:after="0" w:line="281"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40" w:type="dxa"/>
            <w:vAlign w:val="bottom"/>
          </w:tcPr>
          <w:p>
            <w:pPr>
              <w:spacing w:after="0"/>
              <w:rPr>
                <w:sz w:val="19"/>
                <w:szCs w:val="19"/>
                <w:color w:val="auto"/>
              </w:rPr>
            </w:pPr>
          </w:p>
        </w:tc>
        <w:tc>
          <w:tcPr>
            <w:tcW w:w="6420" w:type="dxa"/>
            <w:vAlign w:val="bottom"/>
            <w:gridSpan w:val="2"/>
          </w:tcPr>
          <w:p>
            <w:pPr>
              <w:ind w:left="2080"/>
              <w:spacing w:after="0"/>
              <w:rPr>
                <w:sz w:val="20"/>
                <w:szCs w:val="20"/>
                <w:color w:val="auto"/>
              </w:rPr>
            </w:pPr>
            <w:r>
              <w:rPr>
                <w:rFonts w:ascii="Arial" w:cs="Arial" w:eastAsia="Arial" w:hAnsi="Arial"/>
                <w:sz w:val="17"/>
                <w:szCs w:val="17"/>
                <w:b w:val="1"/>
                <w:bCs w:val="1"/>
                <w:color w:val="auto"/>
              </w:rPr>
              <w:t>KINGSTONE COMPANIES, INC.</w:t>
            </w:r>
          </w:p>
        </w:tc>
      </w:tr>
      <w:tr>
        <w:trPr>
          <w:trHeight w:val="440"/>
        </w:trPr>
        <w:tc>
          <w:tcPr>
            <w:tcW w:w="3640" w:type="dxa"/>
            <w:vAlign w:val="bottom"/>
          </w:tcPr>
          <w:p>
            <w:pPr>
              <w:spacing w:after="0"/>
              <w:rPr>
                <w:sz w:val="20"/>
                <w:szCs w:val="20"/>
                <w:color w:val="auto"/>
              </w:rPr>
            </w:pPr>
            <w:r>
              <w:rPr>
                <w:rFonts w:ascii="Arial" w:cs="Arial" w:eastAsia="Arial" w:hAnsi="Arial"/>
                <w:sz w:val="17"/>
                <w:szCs w:val="17"/>
                <w:color w:val="auto"/>
              </w:rPr>
              <w:t>Dated: August 9, 2019</w:t>
            </w:r>
          </w:p>
        </w:tc>
        <w:tc>
          <w:tcPr>
            <w:tcW w:w="6420" w:type="dxa"/>
            <w:vAlign w:val="bottom"/>
            <w:gridSpan w:val="2"/>
          </w:tcPr>
          <w:p>
            <w:pPr>
              <w:ind w:left="2080"/>
              <w:spacing w:after="0"/>
              <w:rPr>
                <w:sz w:val="20"/>
                <w:szCs w:val="20"/>
                <w:color w:val="auto"/>
              </w:rPr>
            </w:pPr>
            <w:r>
              <w:rPr>
                <w:rFonts w:ascii="Arial" w:cs="Arial" w:eastAsia="Arial" w:hAnsi="Arial"/>
                <w:sz w:val="17"/>
                <w:szCs w:val="17"/>
                <w:color w:val="auto"/>
              </w:rPr>
              <w:t>By:  /s/ Barry B. Goldstein</w:t>
            </w:r>
          </w:p>
        </w:tc>
      </w:tr>
      <w:tr>
        <w:trPr>
          <w:trHeight w:val="201"/>
        </w:trPr>
        <w:tc>
          <w:tcPr>
            <w:tcW w:w="36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398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Barry B. Goldstein</w:t>
            </w:r>
          </w:p>
        </w:tc>
      </w:tr>
      <w:tr>
        <w:trPr>
          <w:trHeight w:val="216"/>
        </w:trPr>
        <w:tc>
          <w:tcPr>
            <w:tcW w:w="36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rPr>
              <w:t>Chief Executive Officer</w:t>
            </w:r>
          </w:p>
        </w:tc>
      </w:tr>
      <w:tr>
        <w:trPr>
          <w:trHeight w:val="427"/>
        </w:trPr>
        <w:tc>
          <w:tcPr>
            <w:tcW w:w="3640" w:type="dxa"/>
            <w:vAlign w:val="bottom"/>
          </w:tcPr>
          <w:p>
            <w:pPr>
              <w:spacing w:after="0"/>
              <w:rPr>
                <w:sz w:val="20"/>
                <w:szCs w:val="20"/>
                <w:color w:val="auto"/>
              </w:rPr>
            </w:pPr>
            <w:r>
              <w:rPr>
                <w:rFonts w:ascii="Arial" w:cs="Arial" w:eastAsia="Arial" w:hAnsi="Arial"/>
                <w:sz w:val="17"/>
                <w:szCs w:val="17"/>
                <w:color w:val="auto"/>
              </w:rPr>
              <w:t>Dated: August 9, 2019</w:t>
            </w:r>
          </w:p>
        </w:tc>
        <w:tc>
          <w:tcPr>
            <w:tcW w:w="6420" w:type="dxa"/>
            <w:vAlign w:val="bottom"/>
            <w:gridSpan w:val="2"/>
          </w:tcPr>
          <w:p>
            <w:pPr>
              <w:ind w:left="2080"/>
              <w:spacing w:after="0"/>
              <w:rPr>
                <w:sz w:val="20"/>
                <w:szCs w:val="20"/>
                <w:color w:val="auto"/>
              </w:rPr>
            </w:pPr>
            <w:r>
              <w:rPr>
                <w:rFonts w:ascii="Arial" w:cs="Arial" w:eastAsia="Arial" w:hAnsi="Arial"/>
                <w:sz w:val="17"/>
                <w:szCs w:val="17"/>
                <w:color w:val="auto"/>
              </w:rPr>
              <w:t>By:  /s/ Victor Brodsky</w:t>
            </w:r>
          </w:p>
        </w:tc>
      </w:tr>
      <w:tr>
        <w:trPr>
          <w:trHeight w:val="201"/>
        </w:trPr>
        <w:tc>
          <w:tcPr>
            <w:tcW w:w="36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398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Victor Brodsky</w:t>
            </w:r>
          </w:p>
        </w:tc>
      </w:tr>
      <w:tr>
        <w:trPr>
          <w:trHeight w:val="216"/>
        </w:trPr>
        <w:tc>
          <w:tcPr>
            <w:tcW w:w="36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72"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7"/>
          <w:szCs w:val="17"/>
          <w:b w:val="1"/>
          <w:bCs w:val="1"/>
          <w:u w:val="single" w:color="auto"/>
          <w:color w:val="auto"/>
        </w:rPr>
        <w:t>Exhibit 31.1</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CERTIFICATION</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I, Barry B. Goldstein, certify that:</w:t>
      </w:r>
    </w:p>
    <w:p>
      <w:pPr>
        <w:spacing w:after="0" w:line="20" w:lineRule="exact"/>
        <w:rPr>
          <w:sz w:val="20"/>
          <w:szCs w:val="20"/>
          <w:color w:val="auto"/>
        </w:rPr>
      </w:pPr>
    </w:p>
    <w:p>
      <w:pPr>
        <w:ind w:left="320" w:hanging="315"/>
        <w:spacing w:after="0"/>
        <w:tabs>
          <w:tab w:leader="none" w:pos="3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Kingstone Companies, Inc.;</w:t>
      </w:r>
    </w:p>
    <w:p>
      <w:pPr>
        <w:spacing w:after="0" w:line="13" w:lineRule="exact"/>
        <w:rPr>
          <w:rFonts w:ascii="Arial" w:cs="Arial" w:eastAsia="Arial" w:hAnsi="Arial"/>
          <w:sz w:val="17"/>
          <w:szCs w:val="17"/>
          <w:color w:val="auto"/>
        </w:rPr>
      </w:pPr>
    </w:p>
    <w:p>
      <w:pPr>
        <w:ind w:left="320" w:hanging="315"/>
        <w:spacing w:after="0" w:line="272" w:lineRule="auto"/>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320" w:hanging="315"/>
        <w:spacing w:after="0" w:line="256" w:lineRule="auto"/>
        <w:tabs>
          <w:tab w:leader="none" w:pos="3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jc w:val="both"/>
        <w:ind w:left="320" w:hanging="315"/>
        <w:spacing w:after="0" w:line="256" w:lineRule="auto"/>
        <w:tabs>
          <w:tab w:leader="none" w:pos="3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 w:lineRule="exact"/>
        <w:rPr>
          <w:rFonts w:ascii="Arial" w:cs="Arial" w:eastAsia="Arial" w:hAnsi="Arial"/>
          <w:sz w:val="17"/>
          <w:szCs w:val="17"/>
          <w:color w:val="auto"/>
        </w:rPr>
      </w:pPr>
    </w:p>
    <w:p>
      <w:pPr>
        <w:jc w:val="both"/>
        <w:ind w:left="640" w:hanging="321"/>
        <w:spacing w:after="0" w:line="256" w:lineRule="auto"/>
        <w:tabs>
          <w:tab w:leader="none" w:pos="640"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7"/>
          <w:szCs w:val="17"/>
          <w:color w:val="auto"/>
        </w:rPr>
      </w:pPr>
    </w:p>
    <w:p>
      <w:pPr>
        <w:jc w:val="both"/>
        <w:ind w:left="640" w:hanging="321"/>
        <w:spacing w:after="0" w:line="256" w:lineRule="auto"/>
        <w:tabs>
          <w:tab w:leader="none" w:pos="640"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Arial" w:cs="Arial" w:eastAsia="Arial" w:hAnsi="Arial"/>
          <w:sz w:val="17"/>
          <w:szCs w:val="17"/>
          <w:color w:val="auto"/>
        </w:rPr>
      </w:pPr>
    </w:p>
    <w:p>
      <w:pPr>
        <w:ind w:left="640" w:hanging="321"/>
        <w:spacing w:after="0" w:line="256" w:lineRule="auto"/>
        <w:tabs>
          <w:tab w:leader="none" w:pos="640" w:val="left"/>
        </w:tabs>
        <w:numPr>
          <w:ilvl w:val="1"/>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7"/>
          <w:szCs w:val="17"/>
          <w:color w:val="auto"/>
        </w:rPr>
      </w:pPr>
    </w:p>
    <w:p>
      <w:pPr>
        <w:jc w:val="both"/>
        <w:ind w:left="640" w:hanging="321"/>
        <w:spacing w:after="0" w:line="256" w:lineRule="auto"/>
        <w:tabs>
          <w:tab w:leader="none" w:pos="640" w:val="left"/>
        </w:tabs>
        <w:numPr>
          <w:ilvl w:val="1"/>
          <w:numId w:val="2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 w:lineRule="exact"/>
        <w:rPr>
          <w:rFonts w:ascii="Arial" w:cs="Arial" w:eastAsia="Arial" w:hAnsi="Arial"/>
          <w:sz w:val="17"/>
          <w:szCs w:val="17"/>
          <w:color w:val="auto"/>
        </w:rPr>
      </w:pPr>
    </w:p>
    <w:p>
      <w:pPr>
        <w:ind w:left="320" w:hanging="315"/>
        <w:spacing w:after="0" w:line="256" w:lineRule="auto"/>
        <w:tabs>
          <w:tab w:leader="none" w:pos="3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640" w:hanging="321"/>
        <w:spacing w:after="0" w:line="256" w:lineRule="auto"/>
        <w:tabs>
          <w:tab w:leader="none" w:pos="640" w:val="left"/>
        </w:tabs>
        <w:numPr>
          <w:ilvl w:val="1"/>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640" w:hanging="321"/>
        <w:spacing w:after="0" w:line="273" w:lineRule="auto"/>
        <w:tabs>
          <w:tab w:leader="none" w:pos="640" w:val="left"/>
        </w:tabs>
        <w:numPr>
          <w:ilvl w:val="1"/>
          <w:numId w:val="2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color w:val="auto"/>
        </w:rPr>
        <w:t>Date: August 9, 2019</w:t>
      </w:r>
    </w:p>
    <w:p>
      <w:pPr>
        <w:spacing w:after="0" w:line="223" w:lineRule="exact"/>
        <w:rPr>
          <w:sz w:val="20"/>
          <w:szCs w:val="20"/>
          <w:color w:val="auto"/>
        </w:rPr>
      </w:pPr>
    </w:p>
    <w:p>
      <w:pPr>
        <w:ind w:left="5260"/>
        <w:spacing w:after="0"/>
        <w:rPr>
          <w:sz w:val="20"/>
          <w:szCs w:val="20"/>
          <w:color w:val="auto"/>
        </w:rPr>
      </w:pPr>
      <w:r>
        <w:rPr>
          <w:rFonts w:ascii="Arial" w:cs="Arial" w:eastAsia="Arial" w:hAnsi="Arial"/>
          <w:sz w:val="17"/>
          <w:szCs w:val="17"/>
          <w:u w:val="single" w:color="auto"/>
          <w:color w:val="auto"/>
        </w:rPr>
        <w:t>/s/ Barry B. Goldstein</w:t>
      </w:r>
    </w:p>
    <w:p>
      <w:pPr>
        <w:spacing w:after="0" w:line="20"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Barry B. Goldstein</w:t>
      </w:r>
    </w:p>
    <w:p>
      <w:pPr>
        <w:spacing w:after="0" w:line="14"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857250</wp:posOffset>
            </wp:positionV>
            <wp:extent cx="725106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7"/>
          <w:szCs w:val="17"/>
          <w:b w:val="1"/>
          <w:bCs w:val="1"/>
          <w:color w:val="auto"/>
        </w:rPr>
        <w:t>Exhibit 31.2</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I, Victor Brodsky, certify that:</w:t>
      </w:r>
    </w:p>
    <w:p>
      <w:pPr>
        <w:spacing w:after="0" w:line="223" w:lineRule="exact"/>
        <w:rPr>
          <w:sz w:val="20"/>
          <w:szCs w:val="20"/>
          <w:color w:val="auto"/>
        </w:rPr>
      </w:pPr>
    </w:p>
    <w:p>
      <w:pPr>
        <w:ind w:left="320" w:hanging="315"/>
        <w:spacing w:after="0"/>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Kingstone Companies, Inc.;</w:t>
      </w:r>
    </w:p>
    <w:p>
      <w:pPr>
        <w:spacing w:after="0" w:line="223" w:lineRule="exact"/>
        <w:rPr>
          <w:rFonts w:ascii="Arial" w:cs="Arial" w:eastAsia="Arial" w:hAnsi="Arial"/>
          <w:sz w:val="17"/>
          <w:szCs w:val="17"/>
          <w:color w:val="auto"/>
        </w:rPr>
      </w:pPr>
    </w:p>
    <w:p>
      <w:pPr>
        <w:ind w:left="320" w:hanging="315"/>
        <w:spacing w:after="0" w:line="314" w:lineRule="auto"/>
        <w:tabs>
          <w:tab w:leader="none" w:pos="3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6" w:lineRule="exact"/>
        <w:rPr>
          <w:rFonts w:ascii="Arial" w:cs="Arial" w:eastAsia="Arial" w:hAnsi="Arial"/>
          <w:sz w:val="16"/>
          <w:szCs w:val="16"/>
          <w:color w:val="auto"/>
        </w:rPr>
      </w:pPr>
    </w:p>
    <w:p>
      <w:pPr>
        <w:ind w:left="320" w:hanging="315"/>
        <w:spacing w:after="0" w:line="281" w:lineRule="auto"/>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7"/>
          <w:szCs w:val="17"/>
          <w:color w:val="auto"/>
        </w:rPr>
      </w:pPr>
    </w:p>
    <w:p>
      <w:pPr>
        <w:jc w:val="both"/>
        <w:ind w:left="320" w:hanging="315"/>
        <w:spacing w:after="0" w:line="269" w:lineRule="auto"/>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5" w:lineRule="exact"/>
        <w:rPr>
          <w:rFonts w:ascii="Arial" w:cs="Arial" w:eastAsia="Arial" w:hAnsi="Arial"/>
          <w:sz w:val="17"/>
          <w:szCs w:val="17"/>
          <w:color w:val="auto"/>
        </w:rPr>
      </w:pPr>
    </w:p>
    <w:p>
      <w:pPr>
        <w:jc w:val="both"/>
        <w:ind w:left="640" w:hanging="321"/>
        <w:spacing w:after="0" w:line="269" w:lineRule="auto"/>
        <w:tabs>
          <w:tab w:leader="none" w:pos="640" w:val="left"/>
        </w:tabs>
        <w:numPr>
          <w:ilvl w:val="1"/>
          <w:numId w:val="2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Arial" w:cs="Arial" w:eastAsia="Arial" w:hAnsi="Arial"/>
          <w:sz w:val="17"/>
          <w:szCs w:val="17"/>
          <w:color w:val="auto"/>
        </w:rPr>
      </w:pPr>
    </w:p>
    <w:p>
      <w:pPr>
        <w:jc w:val="both"/>
        <w:ind w:left="640" w:hanging="321"/>
        <w:spacing w:after="0" w:line="269" w:lineRule="auto"/>
        <w:tabs>
          <w:tab w:leader="none" w:pos="640" w:val="left"/>
        </w:tabs>
        <w:numPr>
          <w:ilvl w:val="1"/>
          <w:numId w:val="2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Arial" w:cs="Arial" w:eastAsia="Arial" w:hAnsi="Arial"/>
          <w:sz w:val="17"/>
          <w:szCs w:val="17"/>
          <w:color w:val="auto"/>
        </w:rPr>
      </w:pPr>
    </w:p>
    <w:p>
      <w:pPr>
        <w:ind w:left="640" w:hanging="321"/>
        <w:spacing w:after="0" w:line="281" w:lineRule="auto"/>
        <w:tabs>
          <w:tab w:leader="none" w:pos="640" w:val="left"/>
        </w:tabs>
        <w:numPr>
          <w:ilvl w:val="1"/>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7"/>
          <w:szCs w:val="17"/>
          <w:color w:val="auto"/>
        </w:rPr>
      </w:pPr>
    </w:p>
    <w:p>
      <w:pPr>
        <w:jc w:val="both"/>
        <w:ind w:left="640" w:hanging="321"/>
        <w:spacing w:after="0" w:line="269" w:lineRule="auto"/>
        <w:tabs>
          <w:tab w:leader="none" w:pos="640" w:val="left"/>
        </w:tabs>
        <w:numPr>
          <w:ilvl w:val="1"/>
          <w:numId w:val="2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Arial" w:cs="Arial" w:eastAsia="Arial" w:hAnsi="Arial"/>
          <w:sz w:val="17"/>
          <w:szCs w:val="17"/>
          <w:color w:val="auto"/>
        </w:rPr>
      </w:pPr>
    </w:p>
    <w:p>
      <w:pPr>
        <w:ind w:left="320" w:hanging="315"/>
        <w:spacing w:after="0" w:line="281" w:lineRule="auto"/>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7"/>
          <w:szCs w:val="17"/>
          <w:color w:val="auto"/>
        </w:rPr>
      </w:pPr>
    </w:p>
    <w:p>
      <w:pPr>
        <w:ind w:left="640" w:hanging="321"/>
        <w:spacing w:after="0" w:line="281" w:lineRule="auto"/>
        <w:tabs>
          <w:tab w:leader="none" w:pos="640" w:val="left"/>
        </w:tabs>
        <w:numPr>
          <w:ilvl w:val="1"/>
          <w:numId w:val="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7"/>
          <w:szCs w:val="17"/>
          <w:color w:val="auto"/>
        </w:rPr>
      </w:pPr>
    </w:p>
    <w:p>
      <w:pPr>
        <w:ind w:left="640" w:hanging="321"/>
        <w:spacing w:after="0" w:line="281" w:lineRule="auto"/>
        <w:tabs>
          <w:tab w:leader="none" w:pos="640" w:val="left"/>
        </w:tabs>
        <w:numPr>
          <w:ilvl w:val="1"/>
          <w:numId w:val="2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color w:val="auto"/>
        </w:rPr>
        <w:t>Date: August 9, 2019</w:t>
      </w:r>
    </w:p>
    <w:p>
      <w:pPr>
        <w:spacing w:after="0" w:line="20" w:lineRule="exact"/>
        <w:rPr>
          <w:sz w:val="20"/>
          <w:szCs w:val="20"/>
          <w:color w:val="auto"/>
        </w:rPr>
      </w:pPr>
    </w:p>
    <w:p>
      <w:pPr>
        <w:ind w:left="5260"/>
        <w:spacing w:after="0"/>
        <w:rPr>
          <w:sz w:val="20"/>
          <w:szCs w:val="20"/>
          <w:color w:val="auto"/>
        </w:rPr>
      </w:pPr>
      <w:r>
        <w:rPr>
          <w:rFonts w:ascii="Arial" w:cs="Arial" w:eastAsia="Arial" w:hAnsi="Arial"/>
          <w:sz w:val="17"/>
          <w:szCs w:val="17"/>
          <w:u w:val="single" w:color="auto"/>
          <w:color w:val="auto"/>
        </w:rPr>
        <w:t>/s/ Victor Brodsky</w:t>
      </w:r>
    </w:p>
    <w:p>
      <w:pPr>
        <w:spacing w:after="0" w:line="14"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Victor Brodsky</w:t>
      </w:r>
    </w:p>
    <w:p>
      <w:pPr>
        <w:spacing w:after="0" w:line="14"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724535</wp:posOffset>
            </wp:positionV>
            <wp:extent cx="725106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7"/>
          <w:szCs w:val="17"/>
          <w:b w:val="1"/>
          <w:bCs w:val="1"/>
          <w:color w:val="auto"/>
        </w:rPr>
        <w:t>Exhibit 31.2</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EXECUTIVE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CHIEF FINANCIAL OFFICER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17" w:lineRule="exact"/>
        <w:rPr>
          <w:sz w:val="20"/>
          <w:szCs w:val="20"/>
          <w:color w:val="auto"/>
        </w:rPr>
      </w:pPr>
    </w:p>
    <w:p>
      <w:pPr>
        <w:jc w:val="both"/>
        <w:ind w:firstLine="628"/>
        <w:spacing w:after="0" w:line="265" w:lineRule="auto"/>
        <w:rPr>
          <w:sz w:val="20"/>
          <w:szCs w:val="20"/>
          <w:color w:val="auto"/>
        </w:rPr>
      </w:pPr>
      <w:r>
        <w:rPr>
          <w:rFonts w:ascii="Arial" w:cs="Arial" w:eastAsia="Arial" w:hAnsi="Arial"/>
          <w:sz w:val="17"/>
          <w:szCs w:val="17"/>
          <w:color w:val="auto"/>
        </w:rPr>
        <w:t>The undersigned hereby certify, pursuant to, and as required by, 18 U.S.C. Section 1350, as adopted pursuant to Section 906 of the Sarbanes-Oxley Act of 2002, that the Quarterly Report of Kingstone Companies, Inc. (the “Company”) on Form 10-Q for the period ended June 30, 2019 fully complies with the requirements of Section 13(a) or 15(d) of the Securities Exchange Act of 1934, as amended, and that information contained in such Quarterly Report on Form 10-Q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tabs>
          <w:tab w:leader="none" w:pos="6060" w:val="left"/>
        </w:tabs>
        <w:rPr>
          <w:sz w:val="20"/>
          <w:szCs w:val="20"/>
          <w:color w:val="auto"/>
        </w:rPr>
      </w:pPr>
      <w:r>
        <w:rPr>
          <w:rFonts w:ascii="Arial" w:cs="Arial" w:eastAsia="Arial" w:hAnsi="Arial"/>
          <w:sz w:val="17"/>
          <w:szCs w:val="17"/>
          <w:color w:val="auto"/>
        </w:rPr>
        <w:t>Dated: August 9, 2019</w:t>
      </w:r>
      <w:r>
        <w:rPr>
          <w:sz w:val="20"/>
          <w:szCs w:val="20"/>
          <w:color w:val="auto"/>
        </w:rPr>
        <w:tab/>
      </w:r>
      <w:r>
        <w:rPr>
          <w:rFonts w:ascii="Arial" w:cs="Arial" w:eastAsia="Arial" w:hAnsi="Arial"/>
          <w:sz w:val="15"/>
          <w:szCs w:val="15"/>
          <w:color w:val="auto"/>
        </w:rPr>
        <w:t>/s/ Barry B.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39370</wp:posOffset>
            </wp:positionV>
            <wp:extent cx="2533015" cy="165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2533015" cy="16510"/>
                    </a:xfrm>
                    <a:prstGeom prst="rect">
                      <a:avLst/>
                    </a:prstGeom>
                    <a:noFill/>
                  </pic:spPr>
                </pic:pic>
              </a:graphicData>
            </a:graphic>
          </wp:anchor>
        </w:drawing>
      </w:r>
    </w:p>
    <w:p>
      <w:pPr>
        <w:spacing w:after="0" w:line="59"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Barry B. Goldstein</w:t>
      </w:r>
    </w:p>
    <w:p>
      <w:pPr>
        <w:spacing w:after="0" w:line="20"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Chief Executive Officer</w:t>
      </w:r>
    </w:p>
    <w:p>
      <w:pPr>
        <w:spacing w:after="0" w:line="217"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/s/ Victor Brodsky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13970</wp:posOffset>
            </wp:positionV>
            <wp:extent cx="2533015" cy="165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2533015" cy="16510"/>
                    </a:xfrm>
                    <a:prstGeom prst="rect">
                      <a:avLst/>
                    </a:prstGeom>
                    <a:noFill/>
                  </pic:spPr>
                </pic:pic>
              </a:graphicData>
            </a:graphic>
          </wp:anchor>
        </w:drawing>
      </w:r>
    </w:p>
    <w:p>
      <w:pPr>
        <w:spacing w:after="0" w:line="20"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Victor Brodsky</w:t>
      </w:r>
    </w:p>
    <w:p>
      <w:pPr>
        <w:spacing w:after="0" w:line="20"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915670</wp:posOffset>
            </wp:positionV>
            <wp:extent cx="725106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sectPr>
      <w:pgSz w:w="11900" w:h="16838" w:orient="portrait"/>
      <w:cols w:equalWidth="0" w:num="1">
        <w:col w:w="11420"/>
      </w:cols>
      <w:pgMar w:left="240" w:top="33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upperLetter"/>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lowerLetter"/>
      <w:start w:val="1"/>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87" Type="http://schemas.openxmlformats.org/officeDocument/2006/relationships/hyperlink" Target="http://www.sec.gov/Archives/edgar/data/33992/000135448814002619/kins_ex3a.htm" TargetMode="External"/><Relationship Id="rId88" Type="http://schemas.openxmlformats.org/officeDocument/2006/relationships/hyperlink" Target="http://www.sec.gov/Archives/edgar/data/33992/000102177109000069/ex3_1.htm" TargetMode="External"/><Relationship Id="rId89" Type="http://schemas.openxmlformats.org/officeDocument/2006/relationships/hyperlink" Target="http://www.sec.gov/Archives/edgar/data/33992/000134100419000438/exh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2019-11-30T05:04:33Z</dcterms:created>
  <dcterms:modified xsi:type="dcterms:W3CDTF">2019-11-30T05:04:33Z</dcterms:modified>
</cp:coreProperties>
</file>