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76" w:before="2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76" w:before="1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_________to _________</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0-1665</w:t>
      </w:r>
    </w:p>
    <w:tbl>
      <w:tblPr>
        <w:tblW w:w="5535" w:type="dxa"/>
        <w:jc w:val="center"/>
        <w:tblInd w:w="0" w:type="dxa"/>
        <w:tblLayout w:type="fixed"/>
        <w:tblCellMar>
          <w:top w:w="28" w:type="dxa"/>
          <w:left w:w="28" w:type="dxa"/>
          <w:bottom w:w="28" w:type="dxa"/>
          <w:right w:w="28" w:type="dxa"/>
        </w:tblCellMar>
      </w:tblPr>
      <w:tblGrid>
        <w:gridCol w:w="1772"/>
        <w:gridCol w:w="1557"/>
        <w:gridCol w:w="2206"/>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36"/>
              </w:rPr>
            </w:pPr>
            <w:r>
              <w:rPr>
                <w:rFonts w:ascii="Times New Roman;sans-serif" w:hAnsi="Times New Roman;sans-serif"/>
                <w:b/>
                <w:color w:val="000000"/>
                <w:sz w:val="36"/>
              </w:rPr>
              <w:t>KINGSTONE COMPANIES, INC.</w:t>
            </w:r>
          </w:p>
        </w:tc>
      </w:tr>
      <w:tr>
        <w:trPr/>
        <w:tc>
          <w:tcPr>
            <w:tcW w:w="55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bl>
    <w:tbl>
      <w:tblPr>
        <w:tblW w:w="5156" w:type="dxa"/>
        <w:jc w:val="center"/>
        <w:tblInd w:w="0" w:type="dxa"/>
        <w:tblLayout w:type="fixed"/>
        <w:tblCellMar>
          <w:top w:w="28" w:type="dxa"/>
          <w:left w:w="28" w:type="dxa"/>
          <w:bottom w:w="28" w:type="dxa"/>
          <w:right w:w="28" w:type="dxa"/>
        </w:tblCellMar>
      </w:tblPr>
      <w:tblGrid>
        <w:gridCol w:w="992"/>
        <w:gridCol w:w="872"/>
        <w:gridCol w:w="880"/>
        <w:gridCol w:w="109"/>
        <w:gridCol w:w="109"/>
        <w:gridCol w:w="109"/>
        <w:gridCol w:w="609"/>
        <w:gridCol w:w="609"/>
        <w:gridCol w:w="867"/>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36-2476480</w:t>
            </w:r>
          </w:p>
        </w:tc>
      </w:tr>
      <w:tr>
        <w:trPr/>
        <w:tc>
          <w:tcPr>
            <w:tcW w:w="27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Number)</w:t>
            </w:r>
          </w:p>
        </w:tc>
      </w:tr>
    </w:tbl>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15 Joys Lane</w:t>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Kingston, NY 12401</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lineRule="auto" w:line="276"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(845) 802-7900</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KINS</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12(g) of the Act: </w:t>
      </w:r>
    </w:p>
    <w:tbl>
      <w:tblPr>
        <w:tblW w:w="601" w:type="dxa"/>
        <w:jc w:val="left"/>
        <w:tblInd w:w="0" w:type="dxa"/>
        <w:tblLayout w:type="fixed"/>
        <w:tblCellMar>
          <w:top w:w="28" w:type="dxa"/>
          <w:left w:w="28" w:type="dxa"/>
          <w:bottom w:w="28" w:type="dxa"/>
          <w:right w:w="28" w:type="dxa"/>
        </w:tblCellMar>
      </w:tblPr>
      <w:tblGrid>
        <w:gridCol w:w="192"/>
        <w:gridCol w:w="169"/>
        <w:gridCol w:w="240"/>
      </w:tblGrid>
      <w:tr>
        <w:trPr/>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76" w:before="240" w:after="283"/>
        <w:jc w:val="both"/>
        <w:rPr/>
      </w:pPr>
      <w:r>
        <w:rPr>
          <w:rFonts w:ascii="Times New Roman;sans-serif" w:hAnsi="Times New Roman;sans-serif"/>
          <w:b/>
          <w:color w:val="000000"/>
          <w:sz w:val="20"/>
        </w:rPr>
        <w:t>Note</w:t>
      </w:r>
      <w:r>
        <w:rPr>
          <w:color w:val="000000"/>
        </w:rPr>
        <w:t xml:space="preserve"> – </w:t>
      </w:r>
      <w:r>
        <w:rPr>
          <w:rFonts w:ascii="Times New Roman;sans-serif" w:hAnsi="Times New Roman;sans-serif"/>
          <w:b w:val="false"/>
          <w:color w:val="000000"/>
          <w:sz w:val="20"/>
        </w:rPr>
        <w:t>Checking the box above will not relieve any registrant required to ﬁle reports pursuant to Section 13 or 15(d) of the Exchange Act from their obligations under those Sections.</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Persons who respond to the collection of information contained in this form are not</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required to respond unless the form displays a currently valid OMB control number.</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 1673 (04-20)</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999"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84"/>
        <w:gridCol w:w="784"/>
        <w:gridCol w:w="7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o</w:t>
      </w:r>
    </w:p>
    <w:p>
      <w:pPr>
        <w:pStyle w:val="TextBody"/>
        <w:bidi w:val="0"/>
        <w:spacing w:lineRule="auto" w:line="276" w:before="240" w:after="283"/>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the previously issued financial statements. </w:t>
      </w:r>
      <w:r>
        <w:rPr>
          <w:rFonts w:ascii="Wingdings;sans-serif" w:hAnsi="Wingdings;sans-serif"/>
          <w:b w:val="false"/>
          <w:color w:val="000000"/>
          <w:sz w:val="20"/>
        </w:rPr>
        <w:t>o</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aggregate market value of the registrant’s common stock held by non-affiliates of the registrant was $48,527,250 based on the closing sale price as reported on the Nasdaq Capital Market. </w:t>
      </w:r>
    </w:p>
    <w:p>
      <w:pPr>
        <w:pStyle w:val="TextBody"/>
        <w:bidi w:val="0"/>
        <w:spacing w:lineRule="auto" w:line="276" w:before="240" w:after="283"/>
        <w:jc w:val="both"/>
        <w:rPr/>
      </w:pPr>
      <w:r>
        <w:rPr>
          <w:rFonts w:ascii="Times New Roman;sans-serif" w:hAnsi="Times New Roman;sans-serif"/>
          <w:b/>
          <w:color w:val="000000"/>
          <w:sz w:val="20"/>
        </w:rPr>
        <w:t>Note.</w:t>
      </w:r>
      <w:r>
        <w:rPr>
          <w:color w:val="000000"/>
        </w:rPr>
        <w:t>—</w:t>
      </w:r>
      <w:r>
        <w:rPr>
          <w:rFonts w:ascii="Times New Roman;sans-serif" w:hAnsi="Times New Roman;sans-serif"/>
          <w:b w:val="false"/>
          <w:color w:val="000000"/>
          <w:sz w:val="20"/>
        </w:rPr>
        <w:t>If a determination as to whether a particular person or entity is an aﬃliate cannot be made without involving unreasonable eﬀort and expense, the aggregate market value of the common stock held by non-aﬃliates may be calculated on the basis of assumptions reasonable under the circumstances, provided that the assumptions are set forth in this Form.</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ONLY TO REGISTRANTS INVOLVED IN BANKRUPTCY PROCEEDINGS DURING THE PRECEDING FIVE YEARS:</w:t>
      </w:r>
    </w:p>
    <w:p>
      <w:pPr>
        <w:pStyle w:val="TextBody"/>
        <w:bidi w:val="0"/>
        <w:spacing w:lineRule="auto" w:line="276" w:before="240" w:after="283"/>
        <w:jc w:val="both"/>
        <w:rPr/>
      </w:pPr>
      <w:r>
        <w:rPr>
          <w:rFonts w:ascii="Times New Roman;sans-serif" w:hAnsi="Times New Roman;sans-serif"/>
          <w:b w:val="false"/>
          <w:color w:val="000000"/>
          <w:sz w:val="20"/>
        </w:rPr>
        <w:t xml:space="preserve">Indicate by check mark whether the registrant has ﬁled all documents and reports required to be ﬁled by Section 12, 13 or 15(d) of the Securities Exchange Act of 1934 subsequent to the distribution of securities under a plan conﬁrmed by a court.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ONLY TO CORPORATE REGISTRANTS)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shares outstanding of each of the registrant’s classes of common stock, as of the latest practicable date. As of March 12, 2025, there were 13,730,802 shares of common stock outstanding. </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458"/>
        <w:gridCol w:w="385"/>
        <w:gridCol w:w="374"/>
        <w:gridCol w:w="2634"/>
        <w:gridCol w:w="2578"/>
        <w:gridCol w:w="2604"/>
        <w:gridCol w:w="265"/>
        <w:gridCol w:w="265"/>
        <w:gridCol w:w="266"/>
        <w:gridCol w:w="109"/>
        <w:gridCol w:w="109"/>
        <w:gridCol w:w="158"/>
      </w:tblGrid>
      <w:tr>
        <w:trPr/>
        <w:tc>
          <w:tcPr>
            <w:tcW w:w="45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
              <w:r>
                <w:rPr>
                  <w:rStyle w:val="InternetLink"/>
                  <w:rFonts w:ascii="Times New Roman;sans-serif" w:hAnsi="Times New Roman;sans-serif"/>
                  <w:b w:val="false"/>
                  <w:color w:val="0000EE"/>
                  <w:sz w:val="20"/>
                  <w:u w:val="single"/>
                </w:rPr>
                <w:t>Forward-Looking Statements</w:t>
              </w:r>
            </w:hyperlink>
          </w:p>
        </w:tc>
        <w:tc>
          <w:tcPr>
            <w:tcW w:w="7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a1d559869f3348e89eea93a7b3c6d447_13">
              <w:r>
                <w:rPr>
                  <w:rStyle w:val="InternetLink"/>
                  <w:rFonts w:ascii="Times New Roman;sans-serif" w:hAnsi="Times New Roman;sans-serif"/>
                  <w:b w:val="false"/>
                  <w:strike w:val="false"/>
                  <w:dstrike w:val="false"/>
                  <w:color w:val="000000"/>
                  <w:sz w:val="20"/>
                  <w:u w:val="none"/>
                  <w:effect w:val="none"/>
                </w:rPr>
                <w:t>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1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
              <w:r>
                <w:rPr>
                  <w:rStyle w:val="InternetLink"/>
                  <w:rFonts w:ascii="Times New Roman;sans-serif" w:hAnsi="Times New Roman;sans-serif"/>
                  <w:b/>
                  <w:color w:val="0000EE"/>
                  <w:sz w:val="20"/>
                  <w:u w:val="single"/>
                </w:rPr>
                <w:t>PART I</w:t>
              </w:r>
            </w:hyperlink>
          </w:p>
        </w:tc>
        <w:tc>
          <w:tcPr>
            <w:tcW w:w="7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6">
              <w:r>
                <w:rPr>
                  <w:rStyle w:val="InternetLink"/>
                  <w:rFonts w:ascii="Times New Roman;sans-serif" w:hAnsi="Times New Roman;sans-serif"/>
                  <w:b w:val="false"/>
                  <w:color w:val="0000EE"/>
                  <w:sz w:val="20"/>
                  <w:u w:val="single"/>
                </w:rPr>
                <w:t>Item 1.</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6">
              <w:r>
                <w:rPr>
                  <w:rStyle w:val="InternetLink"/>
                  <w:rFonts w:ascii="Times New Roman;sans-serif" w:hAnsi="Times New Roman;sans-serif"/>
                  <w:b w:val="false"/>
                  <w:color w:val="0000EE"/>
                  <w:sz w:val="20"/>
                  <w:u w:val="single"/>
                </w:rPr>
                <w:t>Business.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6">
              <w:r>
                <w:rPr>
                  <w:rStyle w:val="InternetLink"/>
                  <w:rFonts w:ascii="Times New Roman;sans-serif" w:hAnsi="Times New Roman;sans-serif"/>
                  <w:b w:val="false"/>
                  <w:strike w:val="false"/>
                  <w:dstrike w:val="false"/>
                  <w:color w:val="000000"/>
                  <w:sz w:val="20"/>
                  <w:u w:val="none"/>
                  <w:effect w:val="none"/>
                </w:rPr>
                <w:t>4</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9">
              <w:r>
                <w:rPr>
                  <w:rStyle w:val="InternetLink"/>
                  <w:rFonts w:ascii="Times New Roman;sans-serif" w:hAnsi="Times New Roman;sans-serif"/>
                  <w:b w:val="false"/>
                  <w:color w:val="0000EE"/>
                  <w:sz w:val="20"/>
                  <w:u w:val="single"/>
                </w:rPr>
                <w:t>Item 1A.</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9">
              <w:r>
                <w:rPr>
                  <w:rStyle w:val="InternetLink"/>
                  <w:rFonts w:ascii="Times New Roman;sans-serif" w:hAnsi="Times New Roman;sans-serif"/>
                  <w:b w:val="false"/>
                  <w:color w:val="0000EE"/>
                  <w:sz w:val="20"/>
                  <w:u w:val="single"/>
                </w:rPr>
                <w:t>Risk Factors.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9">
              <w:r>
                <w:rPr>
                  <w:rStyle w:val="InternetLink"/>
                  <w:rFonts w:ascii="Times New Roman;sans-serif" w:hAnsi="Times New Roman;sans-serif"/>
                  <w:b w:val="false"/>
                  <w:strike w:val="false"/>
                  <w:dstrike w:val="false"/>
                  <w:color w:val="000000"/>
                  <w:sz w:val="20"/>
                  <w:u w:val="none"/>
                  <w:effect w:val="none"/>
                </w:rPr>
                <w:t>17</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22">
              <w:r>
                <w:rPr>
                  <w:rStyle w:val="InternetLink"/>
                  <w:rFonts w:ascii="Times New Roman;sans-serif" w:hAnsi="Times New Roman;sans-serif"/>
                  <w:b w:val="false"/>
                  <w:color w:val="0000EE"/>
                  <w:sz w:val="20"/>
                  <w:u w:val="single"/>
                </w:rPr>
                <w:t>Item 1B.</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22">
              <w:r>
                <w:rPr>
                  <w:rStyle w:val="InternetLink"/>
                  <w:rFonts w:ascii="Times New Roman;sans-serif" w:hAnsi="Times New Roman;sans-serif"/>
                  <w:b w:val="false"/>
                  <w:color w:val="0000EE"/>
                  <w:sz w:val="20"/>
                  <w:u w:val="single"/>
                </w:rPr>
                <w:t>Unresolved Staff Comments.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22">
              <w:r>
                <w:rPr>
                  <w:rStyle w:val="InternetLink"/>
                  <w:rFonts w:ascii="Times New Roman;sans-serif" w:hAnsi="Times New Roman;sans-serif"/>
                  <w:b w:val="false"/>
                  <w:strike w:val="false"/>
                  <w:dstrike w:val="false"/>
                  <w:color w:val="000000"/>
                  <w:sz w:val="20"/>
                  <w:u w:val="none"/>
                  <w:effect w:val="none"/>
                </w:rPr>
                <w:t>24</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25">
              <w:r>
                <w:rPr>
                  <w:rStyle w:val="InternetLink"/>
                  <w:rFonts w:ascii="Times New Roman;sans-serif" w:hAnsi="Times New Roman;sans-serif"/>
                  <w:b w:val="false"/>
                  <w:color w:val="0000EE"/>
                  <w:sz w:val="20"/>
                  <w:u w:val="single"/>
                </w:rPr>
                <w:t>Item 1C.</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25">
              <w:r>
                <w:rPr>
                  <w:rStyle w:val="InternetLink"/>
                  <w:rFonts w:ascii="Times New Roman;sans-serif" w:hAnsi="Times New Roman;sans-serif"/>
                  <w:b w:val="false"/>
                  <w:color w:val="0000EE"/>
                  <w:sz w:val="20"/>
                  <w:u w:val="single"/>
                </w:rPr>
                <w:t>Cybersecurity.</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25">
              <w:r>
                <w:rPr>
                  <w:rStyle w:val="InternetLink"/>
                  <w:rFonts w:ascii="Times New Roman;sans-serif" w:hAnsi="Times New Roman;sans-serif"/>
                  <w:b w:val="false"/>
                  <w:strike w:val="false"/>
                  <w:dstrike w:val="false"/>
                  <w:color w:val="000000"/>
                  <w:sz w:val="20"/>
                  <w:u w:val="none"/>
                  <w:effect w:val="none"/>
                </w:rPr>
                <w:t>24</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28">
              <w:r>
                <w:rPr>
                  <w:rStyle w:val="InternetLink"/>
                  <w:rFonts w:ascii="Times New Roman;sans-serif" w:hAnsi="Times New Roman;sans-serif"/>
                  <w:b w:val="false"/>
                  <w:color w:val="0000EE"/>
                  <w:sz w:val="20"/>
                  <w:u w:val="single"/>
                </w:rPr>
                <w:t>Item 2.</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28">
              <w:r>
                <w:rPr>
                  <w:rStyle w:val="InternetLink"/>
                  <w:rFonts w:ascii="Times New Roman;sans-serif" w:hAnsi="Times New Roman;sans-serif"/>
                  <w:b w:val="false"/>
                  <w:color w:val="0000EE"/>
                  <w:sz w:val="20"/>
                  <w:u w:val="single"/>
                </w:rPr>
                <w:t>Properties.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28">
              <w:r>
                <w:rPr>
                  <w:rStyle w:val="InternetLink"/>
                  <w:rFonts w:ascii="Times New Roman;sans-serif" w:hAnsi="Times New Roman;sans-serif"/>
                  <w:b w:val="false"/>
                  <w:strike w:val="false"/>
                  <w:dstrike w:val="false"/>
                  <w:color w:val="000000"/>
                  <w:sz w:val="20"/>
                  <w:u w:val="none"/>
                  <w:effect w:val="none"/>
                </w:rPr>
                <w:t>25</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31">
              <w:r>
                <w:rPr>
                  <w:rStyle w:val="InternetLink"/>
                  <w:rFonts w:ascii="Times New Roman;sans-serif" w:hAnsi="Times New Roman;sans-serif"/>
                  <w:b w:val="false"/>
                  <w:color w:val="0000EE"/>
                  <w:sz w:val="20"/>
                  <w:u w:val="single"/>
                </w:rPr>
                <w:t>Item 3.</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31">
              <w:r>
                <w:rPr>
                  <w:rStyle w:val="InternetLink"/>
                  <w:rFonts w:ascii="Times New Roman;sans-serif" w:hAnsi="Times New Roman;sans-serif"/>
                  <w:b w:val="false"/>
                  <w:color w:val="0000EE"/>
                  <w:sz w:val="20"/>
                  <w:u w:val="single"/>
                </w:rPr>
                <w:t>Legal Proceedings.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31">
              <w:r>
                <w:rPr>
                  <w:rStyle w:val="InternetLink"/>
                  <w:rFonts w:ascii="Times New Roman;sans-serif" w:hAnsi="Times New Roman;sans-serif"/>
                  <w:b w:val="false"/>
                  <w:strike w:val="false"/>
                  <w:dstrike w:val="false"/>
                  <w:color w:val="000000"/>
                  <w:sz w:val="20"/>
                  <w:u w:val="none"/>
                  <w:effect w:val="none"/>
                </w:rPr>
                <w:t>26</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34">
              <w:r>
                <w:rPr>
                  <w:rStyle w:val="InternetLink"/>
                  <w:rFonts w:ascii="Times New Roman;sans-serif" w:hAnsi="Times New Roman;sans-serif"/>
                  <w:b w:val="false"/>
                  <w:color w:val="0000EE"/>
                  <w:sz w:val="20"/>
                  <w:u w:val="single"/>
                </w:rPr>
                <w:t>Item 4.</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34">
              <w:r>
                <w:rPr>
                  <w:rStyle w:val="InternetLink"/>
                  <w:rFonts w:ascii="Times New Roman;sans-serif" w:hAnsi="Times New Roman;sans-serif"/>
                  <w:b w:val="false"/>
                  <w:color w:val="0000EE"/>
                  <w:sz w:val="20"/>
                  <w:u w:val="single"/>
                </w:rPr>
                <w:t>Mine Safety Disclosures.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34">
              <w:r>
                <w:rPr>
                  <w:rStyle w:val="InternetLink"/>
                  <w:rFonts w:ascii="Times New Roman;sans-serif" w:hAnsi="Times New Roman;sans-serif"/>
                  <w:b w:val="false"/>
                  <w:strike w:val="false"/>
                  <w:dstrike w:val="false"/>
                  <w:color w:val="000000"/>
                  <w:sz w:val="20"/>
                  <w:u w:val="none"/>
                  <w:effect w:val="none"/>
                </w:rPr>
                <w:t>26</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12">
              <w:r>
                <w:rPr>
                  <w:rStyle w:val="InternetLink"/>
                  <w:rFonts w:ascii="Times New Roman;sans-serif" w:hAnsi="Times New Roman;sans-serif"/>
                  <w:b/>
                  <w:color w:val="0000EE"/>
                  <w:sz w:val="20"/>
                  <w:u w:val="single"/>
                </w:rPr>
                <w:t>PART II</w:t>
              </w:r>
            </w:hyperlink>
          </w:p>
        </w:tc>
        <w:tc>
          <w:tcPr>
            <w:tcW w:w="7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40">
              <w:r>
                <w:rPr>
                  <w:rStyle w:val="InternetLink"/>
                  <w:rFonts w:ascii="Times New Roman;sans-serif" w:hAnsi="Times New Roman;sans-serif"/>
                  <w:b w:val="false"/>
                  <w:color w:val="0000EE"/>
                  <w:sz w:val="20"/>
                  <w:u w:val="single"/>
                </w:rPr>
                <w:t>Item 5.</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40">
              <w:r>
                <w:rPr>
                  <w:rStyle w:val="InternetLink"/>
                  <w:rFonts w:ascii="Times New Roman;sans-serif" w:hAnsi="Times New Roman;sans-serif"/>
                  <w:b w:val="false"/>
                  <w:color w:val="0000EE"/>
                  <w:sz w:val="20"/>
                  <w:u w:val="single"/>
                </w:rPr>
                <w:t>Market for Registrant’s Common Equity, Related Stockholder Matters and Issuer Purchases of Equity Securities.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40">
              <w:r>
                <w:rPr>
                  <w:rStyle w:val="InternetLink"/>
                  <w:rFonts w:ascii="Times New Roman;sans-serif" w:hAnsi="Times New Roman;sans-serif"/>
                  <w:b w:val="false"/>
                  <w:strike w:val="false"/>
                  <w:dstrike w:val="false"/>
                  <w:color w:val="000000"/>
                  <w:sz w:val="20"/>
                  <w:u w:val="none"/>
                  <w:effect w:val="none"/>
                </w:rPr>
                <w:t>27</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43">
              <w:r>
                <w:rPr>
                  <w:rStyle w:val="InternetLink"/>
                  <w:rFonts w:ascii="Times New Roman;sans-serif" w:hAnsi="Times New Roman;sans-serif"/>
                  <w:b w:val="false"/>
                  <w:color w:val="0000EE"/>
                  <w:sz w:val="20"/>
                  <w:u w:val="single"/>
                </w:rPr>
                <w:t>Item 6.</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43">
              <w:r>
                <w:rPr>
                  <w:rStyle w:val="InternetLink"/>
                  <w:rFonts w:ascii="Times New Roman;sans-serif" w:hAnsi="Times New Roman;sans-serif"/>
                  <w:b w:val="false"/>
                  <w:color w:val="0000EE"/>
                  <w:sz w:val="20"/>
                  <w:u w:val="single"/>
                </w:rPr>
                <w:t>Reserved.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43">
              <w:r>
                <w:rPr>
                  <w:rStyle w:val="InternetLink"/>
                  <w:rFonts w:ascii="Times New Roman;sans-serif" w:hAnsi="Times New Roman;sans-serif"/>
                  <w:b w:val="false"/>
                  <w:strike w:val="false"/>
                  <w:dstrike w:val="false"/>
                  <w:color w:val="000000"/>
                  <w:sz w:val="20"/>
                  <w:u w:val="none"/>
                  <w:effect w:val="none"/>
                </w:rPr>
                <w:t>27</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46">
              <w:r>
                <w:rPr>
                  <w:rStyle w:val="InternetLink"/>
                  <w:rFonts w:ascii="Times New Roman;sans-serif" w:hAnsi="Times New Roman;sans-serif"/>
                  <w:b w:val="false"/>
                  <w:color w:val="0000EE"/>
                  <w:sz w:val="20"/>
                  <w:u w:val="single"/>
                </w:rPr>
                <w:t>Item 7.</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46">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46">
              <w:r>
                <w:rPr>
                  <w:rStyle w:val="InternetLink"/>
                  <w:rFonts w:ascii="Times New Roman;sans-serif" w:hAnsi="Times New Roman;sans-serif"/>
                  <w:b w:val="false"/>
                  <w:strike w:val="false"/>
                  <w:dstrike w:val="false"/>
                  <w:color w:val="000000"/>
                  <w:sz w:val="20"/>
                  <w:u w:val="none"/>
                  <w:effect w:val="none"/>
                </w:rPr>
                <w:t>27</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94">
              <w:r>
                <w:rPr>
                  <w:rStyle w:val="InternetLink"/>
                  <w:rFonts w:ascii="Times New Roman;sans-serif" w:hAnsi="Times New Roman;sans-serif"/>
                  <w:b w:val="false"/>
                  <w:color w:val="0000EE"/>
                  <w:sz w:val="20"/>
                  <w:u w:val="single"/>
                </w:rPr>
                <w:t>Item 7A.</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94">
              <w:r>
                <w:rPr>
                  <w:rStyle w:val="InternetLink"/>
                  <w:rFonts w:ascii="Times New Roman;sans-serif" w:hAnsi="Times New Roman;sans-serif"/>
                  <w:b w:val="false"/>
                  <w:color w:val="0000EE"/>
                  <w:sz w:val="20"/>
                  <w:u w:val="single"/>
                </w:rPr>
                <w:t>Quantitative and Qualitative Disclosures About Market Risk.</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94">
              <w:r>
                <w:rPr>
                  <w:rStyle w:val="InternetLink"/>
                  <w:rFonts w:ascii="Times New Roman;sans-serif" w:hAnsi="Times New Roman;sans-serif"/>
                  <w:b w:val="false"/>
                  <w:strike w:val="false"/>
                  <w:dstrike w:val="false"/>
                  <w:color w:val="000000"/>
                  <w:sz w:val="20"/>
                  <w:u w:val="none"/>
                  <w:effect w:val="none"/>
                </w:rPr>
                <w:t>62</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97">
              <w:r>
                <w:rPr>
                  <w:rStyle w:val="InternetLink"/>
                  <w:rFonts w:ascii="Times New Roman;sans-serif" w:hAnsi="Times New Roman;sans-serif"/>
                  <w:b w:val="false"/>
                  <w:color w:val="0000EE"/>
                  <w:sz w:val="20"/>
                  <w:u w:val="single"/>
                </w:rPr>
                <w:t>Item 8.</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97">
              <w:r>
                <w:rPr>
                  <w:rStyle w:val="InternetLink"/>
                  <w:rFonts w:ascii="Times New Roman;sans-serif" w:hAnsi="Times New Roman;sans-serif"/>
                  <w:b w:val="false"/>
                  <w:color w:val="0000EE"/>
                  <w:sz w:val="20"/>
                  <w:u w:val="single"/>
                </w:rPr>
                <w:t>Financial Statements and Supplementary Data.</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97">
              <w:r>
                <w:rPr>
                  <w:rStyle w:val="InternetLink"/>
                  <w:rFonts w:ascii="Times New Roman;sans-serif" w:hAnsi="Times New Roman;sans-serif"/>
                  <w:b w:val="false"/>
                  <w:strike w:val="false"/>
                  <w:dstrike w:val="false"/>
                  <w:color w:val="000000"/>
                  <w:sz w:val="20"/>
                  <w:u w:val="none"/>
                  <w:effect w:val="none"/>
                </w:rPr>
                <w:t>62</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0">
              <w:r>
                <w:rPr>
                  <w:rStyle w:val="InternetLink"/>
                  <w:rFonts w:ascii="Times New Roman;sans-serif" w:hAnsi="Times New Roman;sans-serif"/>
                  <w:b w:val="false"/>
                  <w:color w:val="0000EE"/>
                  <w:sz w:val="20"/>
                  <w:u w:val="single"/>
                </w:rPr>
                <w:t>Item 9.</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0">
              <w:r>
                <w:rPr>
                  <w:rStyle w:val="InternetLink"/>
                  <w:rFonts w:ascii="Times New Roman;sans-serif" w:hAnsi="Times New Roman;sans-serif"/>
                  <w:b w:val="false"/>
                  <w:color w:val="0000EE"/>
                  <w:sz w:val="20"/>
                  <w:u w:val="single"/>
                </w:rPr>
                <w:t>Changes in and Disagreements With Accountants on Accounting and Financial Disclosure.</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00">
              <w:r>
                <w:rPr>
                  <w:rStyle w:val="InternetLink"/>
                  <w:rFonts w:ascii="Times New Roman;sans-serif" w:hAnsi="Times New Roman;sans-serif"/>
                  <w:b w:val="false"/>
                  <w:strike w:val="false"/>
                  <w:dstrike w:val="false"/>
                  <w:color w:val="000000"/>
                  <w:sz w:val="20"/>
                  <w:u w:val="none"/>
                  <w:effect w:val="none"/>
                </w:rPr>
                <w:t>62</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3">
              <w:r>
                <w:rPr>
                  <w:rStyle w:val="InternetLink"/>
                  <w:rFonts w:ascii="Times New Roman;sans-serif" w:hAnsi="Times New Roman;sans-serif"/>
                  <w:b w:val="false"/>
                  <w:color w:val="0000EE"/>
                  <w:sz w:val="20"/>
                  <w:u w:val="single"/>
                </w:rPr>
                <w:t>Item 9A.</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3">
              <w:r>
                <w:rPr>
                  <w:rStyle w:val="InternetLink"/>
                  <w:rFonts w:ascii="Times New Roman;sans-serif" w:hAnsi="Times New Roman;sans-serif"/>
                  <w:b w:val="false"/>
                  <w:color w:val="0000EE"/>
                  <w:sz w:val="20"/>
                  <w:u w:val="single"/>
                </w:rPr>
                <w:t>Controls and Procedures.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03">
              <w:r>
                <w:rPr>
                  <w:rStyle w:val="InternetLink"/>
                  <w:rFonts w:ascii="Times New Roman;sans-serif" w:hAnsi="Times New Roman;sans-serif"/>
                  <w:b w:val="false"/>
                  <w:strike w:val="false"/>
                  <w:dstrike w:val="false"/>
                  <w:color w:val="000000"/>
                  <w:sz w:val="20"/>
                  <w:u w:val="none"/>
                  <w:effect w:val="none"/>
                </w:rPr>
                <w:t>62</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6">
              <w:r>
                <w:rPr>
                  <w:rStyle w:val="InternetLink"/>
                  <w:rFonts w:ascii="Times New Roman;sans-serif" w:hAnsi="Times New Roman;sans-serif"/>
                  <w:b w:val="false"/>
                  <w:color w:val="0000EE"/>
                  <w:sz w:val="20"/>
                  <w:u w:val="single"/>
                </w:rPr>
                <w:t>Item 9B.</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6">
              <w:r>
                <w:rPr>
                  <w:rStyle w:val="InternetLink"/>
                  <w:rFonts w:ascii="Times New Roman;sans-serif" w:hAnsi="Times New Roman;sans-serif"/>
                  <w:b w:val="false"/>
                  <w:color w:val="0000EE"/>
                  <w:sz w:val="20"/>
                  <w:u w:val="single"/>
                </w:rPr>
                <w:t>Other Information.</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06">
              <w:r>
                <w:rPr>
                  <w:rStyle w:val="InternetLink"/>
                  <w:rFonts w:ascii="Times New Roman;sans-serif" w:hAnsi="Times New Roman;sans-serif"/>
                  <w:b w:val="false"/>
                  <w:strike w:val="false"/>
                  <w:dstrike w:val="false"/>
                  <w:color w:val="000000"/>
                  <w:sz w:val="20"/>
                  <w:u w:val="none"/>
                  <w:effect w:val="none"/>
                </w:rPr>
                <w:t>63</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9">
              <w:r>
                <w:rPr>
                  <w:rStyle w:val="InternetLink"/>
                  <w:rFonts w:ascii="Times New Roman;sans-serif" w:hAnsi="Times New Roman;sans-serif"/>
                  <w:b w:val="false"/>
                  <w:color w:val="0000EE"/>
                  <w:sz w:val="20"/>
                  <w:u w:val="single"/>
                </w:rPr>
                <w:t>Item 9C.</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09">
              <w:r>
                <w:rPr>
                  <w:rStyle w:val="InternetLink"/>
                  <w:rFonts w:ascii="Times New Roman;sans-serif" w:hAnsi="Times New Roman;sans-serif"/>
                  <w:b w:val="false"/>
                  <w:color w:val="0000EE"/>
                  <w:sz w:val="20"/>
                  <w:u w:val="single"/>
                </w:rPr>
                <w:t>Disclosures Regarding Foreign Jurisdictions that Prevent Inspections.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09">
              <w:r>
                <w:rPr>
                  <w:rStyle w:val="InternetLink"/>
                  <w:rFonts w:ascii="Times New Roman;sans-serif" w:hAnsi="Times New Roman;sans-serif"/>
                  <w:b w:val="false"/>
                  <w:strike w:val="false"/>
                  <w:dstrike w:val="false"/>
                  <w:color w:val="000000"/>
                  <w:sz w:val="20"/>
                  <w:u w:val="none"/>
                  <w:effect w:val="none"/>
                </w:rPr>
                <w:t>63</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EE"/>
              </w:rPr>
            </w:pPr>
            <w:r>
              <w:rPr>
                <w:color w:val="0000EE"/>
              </w:rPr>
              <w:t> </w:t>
            </w:r>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EE"/>
              </w:rPr>
            </w:pPr>
            <w:r>
              <w:rPr>
                <w:color w:val="0000EE"/>
              </w:rPr>
              <w:t> </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12">
              <w:r>
                <w:rPr>
                  <w:rStyle w:val="InternetLink"/>
                  <w:rFonts w:ascii="Times New Roman;sans-serif" w:hAnsi="Times New Roman;sans-serif"/>
                  <w:b/>
                  <w:color w:val="0000EE"/>
                  <w:sz w:val="20"/>
                  <w:u w:val="single"/>
                </w:rPr>
                <w:t>PART III</w:t>
              </w:r>
            </w:hyperlink>
          </w:p>
        </w:tc>
        <w:tc>
          <w:tcPr>
            <w:tcW w:w="7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15">
              <w:r>
                <w:rPr>
                  <w:rStyle w:val="InternetLink"/>
                  <w:rFonts w:ascii="Times New Roman;sans-serif" w:hAnsi="Times New Roman;sans-serif"/>
                  <w:b w:val="false"/>
                  <w:color w:val="0000EE"/>
                  <w:sz w:val="20"/>
                  <w:u w:val="single"/>
                </w:rPr>
                <w:t>Item 10.</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15">
              <w:r>
                <w:rPr>
                  <w:rStyle w:val="InternetLink"/>
                  <w:rFonts w:ascii="Times New Roman;sans-serif" w:hAnsi="Times New Roman;sans-serif"/>
                  <w:b w:val="false"/>
                  <w:color w:val="0000EE"/>
                  <w:sz w:val="20"/>
                  <w:u w:val="single"/>
                </w:rPr>
                <w:t>Directors, Executive Officers and Corporate Governance.</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15">
              <w:r>
                <w:rPr>
                  <w:rStyle w:val="InternetLink"/>
                  <w:rFonts w:ascii="Times New Roman;sans-serif" w:hAnsi="Times New Roman;sans-serif"/>
                  <w:b w:val="false"/>
                  <w:strike w:val="false"/>
                  <w:dstrike w:val="false"/>
                  <w:color w:val="000000"/>
                  <w:sz w:val="20"/>
                  <w:u w:val="none"/>
                  <w:effect w:val="none"/>
                </w:rPr>
                <w:t>64</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18">
              <w:r>
                <w:rPr>
                  <w:rStyle w:val="InternetLink"/>
                  <w:rFonts w:ascii="Times New Roman;sans-serif" w:hAnsi="Times New Roman;sans-serif"/>
                  <w:b w:val="false"/>
                  <w:color w:val="0000EE"/>
                  <w:sz w:val="20"/>
                  <w:u w:val="single"/>
                </w:rPr>
                <w:t>Item 11.</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18">
              <w:r>
                <w:rPr>
                  <w:rStyle w:val="InternetLink"/>
                  <w:rFonts w:ascii="Times New Roman;sans-serif" w:hAnsi="Times New Roman;sans-serif"/>
                  <w:b w:val="false"/>
                  <w:color w:val="0000EE"/>
                  <w:sz w:val="20"/>
                  <w:u w:val="single"/>
                </w:rPr>
                <w:t>Executive Compensation.</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18">
              <w:r>
                <w:rPr>
                  <w:rStyle w:val="InternetLink"/>
                  <w:rFonts w:ascii="Times New Roman;sans-serif" w:hAnsi="Times New Roman;sans-serif"/>
                  <w:b w:val="false"/>
                  <w:strike w:val="false"/>
                  <w:dstrike w:val="false"/>
                  <w:color w:val="000000"/>
                  <w:sz w:val="20"/>
                  <w:u w:val="none"/>
                  <w:effect w:val="none"/>
                </w:rPr>
                <w:t>68</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21">
              <w:r>
                <w:rPr>
                  <w:rStyle w:val="InternetLink"/>
                  <w:rFonts w:ascii="Times New Roman;sans-serif" w:hAnsi="Times New Roman;sans-serif"/>
                  <w:b w:val="false"/>
                  <w:color w:val="0000EE"/>
                  <w:sz w:val="20"/>
                  <w:u w:val="single"/>
                </w:rPr>
                <w:t>Item 12.</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21">
              <w:r>
                <w:rPr>
                  <w:rStyle w:val="InternetLink"/>
                  <w:rFonts w:ascii="Times New Roman;sans-serif" w:hAnsi="Times New Roman;sans-serif"/>
                  <w:b w:val="false"/>
                  <w:color w:val="0000EE"/>
                  <w:sz w:val="20"/>
                  <w:u w:val="single"/>
                </w:rPr>
                <w:t>Security Ownership of Certain Beneficial Owners and Management and Related Stockholder Matters.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21">
              <w:r>
                <w:rPr>
                  <w:rStyle w:val="InternetLink"/>
                  <w:rFonts w:ascii="Times New Roman;sans-serif" w:hAnsi="Times New Roman;sans-serif"/>
                  <w:b w:val="false"/>
                  <w:strike w:val="false"/>
                  <w:dstrike w:val="false"/>
                  <w:color w:val="000000"/>
                  <w:sz w:val="20"/>
                  <w:u w:val="none"/>
                  <w:effect w:val="none"/>
                </w:rPr>
                <w:t>73</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24">
              <w:r>
                <w:rPr>
                  <w:rStyle w:val="InternetLink"/>
                  <w:rFonts w:ascii="Times New Roman;sans-serif" w:hAnsi="Times New Roman;sans-serif"/>
                  <w:b w:val="false"/>
                  <w:color w:val="0000EE"/>
                  <w:sz w:val="20"/>
                  <w:u w:val="single"/>
                </w:rPr>
                <w:t>Item 13.</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24">
              <w:r>
                <w:rPr>
                  <w:rStyle w:val="InternetLink"/>
                  <w:rFonts w:ascii="Times New Roman;sans-serif" w:hAnsi="Times New Roman;sans-serif"/>
                  <w:b w:val="false"/>
                  <w:color w:val="0000EE"/>
                  <w:sz w:val="20"/>
                  <w:u w:val="single"/>
                </w:rPr>
                <w:t>Certain Relationships and Related Transactions, and Director Independence.</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24">
              <w:r>
                <w:rPr>
                  <w:rStyle w:val="InternetLink"/>
                  <w:rFonts w:ascii="Times New Roman;sans-serif" w:hAnsi="Times New Roman;sans-serif"/>
                  <w:b w:val="false"/>
                  <w:strike w:val="false"/>
                  <w:dstrike w:val="false"/>
                  <w:color w:val="000000"/>
                  <w:sz w:val="20"/>
                  <w:u w:val="none"/>
                  <w:effect w:val="none"/>
                </w:rPr>
                <w:t>75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27">
              <w:r>
                <w:rPr>
                  <w:rStyle w:val="InternetLink"/>
                  <w:rFonts w:ascii="Times New Roman;sans-serif" w:hAnsi="Times New Roman;sans-serif"/>
                  <w:b w:val="false"/>
                  <w:color w:val="0000EE"/>
                  <w:sz w:val="20"/>
                  <w:u w:val="single"/>
                </w:rPr>
                <w:t>Item 14.</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27">
              <w:r>
                <w:rPr>
                  <w:rStyle w:val="InternetLink"/>
                  <w:rFonts w:ascii="Times New Roman;sans-serif" w:hAnsi="Times New Roman;sans-serif"/>
                  <w:b w:val="false"/>
                  <w:color w:val="0000EE"/>
                  <w:sz w:val="20"/>
                  <w:u w:val="single"/>
                </w:rPr>
                <w:t>Principal Accountant Fees and Services.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27">
              <w:r>
                <w:rPr>
                  <w:rStyle w:val="InternetLink"/>
                  <w:rFonts w:ascii="Times New Roman;sans-serif" w:hAnsi="Times New Roman;sans-serif"/>
                  <w:b w:val="false"/>
                  <w:strike w:val="false"/>
                  <w:dstrike w:val="false"/>
                  <w:color w:val="000000"/>
                  <w:sz w:val="20"/>
                  <w:u w:val="none"/>
                  <w:effect w:val="none"/>
                </w:rPr>
                <w:t>75</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EE"/>
              </w:rPr>
            </w:pPr>
            <w:r>
              <w:rPr>
                <w:color w:val="0000EE"/>
              </w:rPr>
              <w:t> </w:t>
            </w:r>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EE"/>
              </w:rPr>
            </w:pPr>
            <w:r>
              <w:rPr>
                <w:color w:val="0000EE"/>
              </w:rPr>
              <w:t> </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0">
              <w:r>
                <w:rPr>
                  <w:rStyle w:val="InternetLink"/>
                  <w:rFonts w:ascii="Times New Roman;sans-serif" w:hAnsi="Times New Roman;sans-serif"/>
                  <w:b/>
                  <w:color w:val="0000EE"/>
                  <w:sz w:val="20"/>
                  <w:u w:val="single"/>
                </w:rPr>
                <w:t>PART IV</w:t>
              </w:r>
            </w:hyperlink>
          </w:p>
        </w:tc>
        <w:tc>
          <w:tcPr>
            <w:tcW w:w="7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3">
              <w:r>
                <w:rPr>
                  <w:rStyle w:val="InternetLink"/>
                  <w:rFonts w:ascii="Times New Roman;sans-serif" w:hAnsi="Times New Roman;sans-serif"/>
                  <w:b w:val="false"/>
                  <w:color w:val="0000EE"/>
                  <w:sz w:val="20"/>
                  <w:u w:val="single"/>
                </w:rPr>
                <w:t>Item 15.</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3">
              <w:r>
                <w:rPr>
                  <w:rStyle w:val="InternetLink"/>
                  <w:rFonts w:ascii="Times New Roman;sans-serif" w:hAnsi="Times New Roman;sans-serif"/>
                  <w:b w:val="false"/>
                  <w:color w:val="0000EE"/>
                  <w:sz w:val="20"/>
                  <w:u w:val="single"/>
                </w:rPr>
                <w:t>Exhibits and Financial Statement Schedules.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33">
              <w:r>
                <w:rPr>
                  <w:rStyle w:val="InternetLink"/>
                  <w:rFonts w:ascii="Times New Roman;sans-serif" w:hAnsi="Times New Roman;sans-serif"/>
                  <w:b w:val="false"/>
                  <w:strike w:val="false"/>
                  <w:dstrike w:val="false"/>
                  <w:color w:val="000000"/>
                  <w:sz w:val="20"/>
                  <w:u w:val="none"/>
                  <w:effect w:val="none"/>
                </w:rPr>
                <w:t>77</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6">
              <w:r>
                <w:rPr>
                  <w:rStyle w:val="InternetLink"/>
                  <w:rFonts w:ascii="Times New Roman;sans-serif" w:hAnsi="Times New Roman;sans-serif"/>
                  <w:b w:val="false"/>
                  <w:color w:val="0000EE"/>
                  <w:sz w:val="20"/>
                  <w:u w:val="single"/>
                </w:rPr>
                <w:t>Item 16.</w:t>
              </w:r>
            </w:hyperlink>
          </w:p>
        </w:tc>
        <w:tc>
          <w:tcPr>
            <w:tcW w:w="781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6">
              <w:r>
                <w:rPr>
                  <w:rStyle w:val="InternetLink"/>
                  <w:rFonts w:ascii="Times New Roman;sans-serif" w:hAnsi="Times New Roman;sans-serif"/>
                  <w:b w:val="false"/>
                  <w:color w:val="0000EE"/>
                  <w:sz w:val="20"/>
                  <w:u w:val="single"/>
                </w:rPr>
                <w:t>Form 10-K Summary.</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36">
              <w:r>
                <w:rPr>
                  <w:rStyle w:val="InternetLink"/>
                  <w:rFonts w:ascii="Times New Roman;sans-serif" w:hAnsi="Times New Roman;sans-serif"/>
                  <w:b w:val="false"/>
                  <w:strike w:val="false"/>
                  <w:dstrike w:val="false"/>
                  <w:color w:val="000000"/>
                  <w:sz w:val="20"/>
                  <w:u w:val="none"/>
                  <w:effect w:val="none"/>
                </w:rPr>
                <w:t>79</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39">
              <w:r>
                <w:rPr>
                  <w:rStyle w:val="InternetLink"/>
                  <w:rFonts w:ascii="Times New Roman;sans-serif" w:hAnsi="Times New Roman;sans-serif"/>
                  <w:b/>
                  <w:color w:val="0000EE"/>
                  <w:sz w:val="20"/>
                  <w:u w:val="single"/>
                </w:rPr>
                <w:t>Signatures</w:t>
              </w:r>
            </w:hyperlink>
          </w:p>
        </w:tc>
        <w:tc>
          <w:tcPr>
            <w:tcW w:w="7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a1d559869f3348e89eea93a7b3c6d447_139">
              <w:r>
                <w:rPr>
                  <w:rStyle w:val="InternetLink"/>
                  <w:rFonts w:ascii="Times New Roman;sans-serif" w:hAnsi="Times New Roman;sans-serif"/>
                  <w:b w:val="false"/>
                  <w:strike w:val="false"/>
                  <w:dstrike w:val="false"/>
                  <w:color w:val="000000"/>
                  <w:sz w:val="20"/>
                  <w:u w:val="none"/>
                  <w:effect w:val="none"/>
                </w:rPr>
                <w:t>80</w:t>
              </w:r>
            </w:hyperlink>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(the “Annual Report”) contains forward</w:t>
        <w:noBreakHyphen/>
        <w:t>looking statements within the meaning of the Private Securities Litigation Reform Act of 1995. The events described in forward</w:t>
        <w:noBreakHyphen/>
        <w:t>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noBreakHyphen/>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these uncertainties, risks and other influences could materially affect our results of operations and whether forward</w:t>
        <w:noBreakHyphen/>
        <w:t>looking statements made by us ultimately prove to be accurate. Our actual results, performance and achievements could differ materially from those expressed or implied in these forward</w:t>
        <w:noBreakHyphen/>
        <w:t>looking statements. We undertake no obligation to publicly update or revise any forward</w:t>
        <w:noBreakHyphen/>
        <w:t>looking statements, whether from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pPr>
      <w:r>
        <w:rPr>
          <w:rFonts w:ascii="Times New Roman;sans-serif" w:hAnsi="Times New Roman;sans-serif"/>
          <w:b/>
          <w:color w:val="000000"/>
          <w:sz w:val="20"/>
          <w:u w:val="single"/>
        </w:rPr>
        <w:t>ITEM 1.</w:t>
      </w:r>
      <w:r>
        <w:rPr>
          <w:color w:val="000000"/>
        </w:rPr>
        <w:t xml:space="preserve"> </w:t>
      </w:r>
      <w:r>
        <w:rPr>
          <w:rFonts w:ascii="Times New Roman;sans-serif" w:hAnsi="Times New Roman;sans-serif"/>
          <w:b/>
          <w:color w:val="000000"/>
          <w:sz w:val="20"/>
          <w:u w:val="single"/>
        </w:rPr>
        <w:t>BUSINESS</w:t>
      </w:r>
      <w:r>
        <w:rPr>
          <w:rFonts w:ascii="Times New Roman;sans-serif" w:hAnsi="Times New Roman;sans-serif"/>
          <w:b w:val="false"/>
          <w:color w:val="000000"/>
          <w:sz w:val="20"/>
        </w:rPr>
        <w:t>.</w:t>
      </w:r>
    </w:p>
    <w:p>
      <w:pPr>
        <w:pStyle w:val="TextBody"/>
        <w:bidi w:val="0"/>
        <w:spacing w:lineRule="auto" w:line="276" w:before="240" w:after="283"/>
        <w:ind w:left="0" w:right="0" w:hanging="288"/>
        <w:jc w:val="both"/>
        <w:rPr/>
      </w:pPr>
      <w:r>
        <w:rPr>
          <w:rFonts w:ascii="Times New Roman;sans-serif" w:hAnsi="Times New Roman;sans-serif"/>
          <w:b/>
          <w:color w:val="000000"/>
          <w:sz w:val="20"/>
        </w:rPr>
        <w:t>(a)</w:t>
      </w:r>
      <w:r>
        <w:rPr>
          <w:rFonts w:ascii="Times New Roman;sans-serif" w:hAnsi="Times New Roman;sans-serif"/>
          <w:b/>
          <w:color w:val="000000"/>
          <w:sz w:val="20"/>
          <w:u w:val="single"/>
        </w:rPr>
        <w:t>Business Development</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references to the “Company,” “we,” “us,” or “our” refer to Kingstone Companies, Inc. (“Kingstone”) and its subsidiaries.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years ended December 31, 2024 and 2023, respectively, 96.0% and 88.3% of KICO’s direct written premiums came from the New York policies. We refer to our New York business as our “Core” business and the business outside of New York as our “non-Core” business.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through our subsidiary, Cosi Agency, Inc. (“Cosi”), a multi-state licensed general agency, we access alternative distribution channels.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deducted against commission expense and Cosi-related expenses are included in other operating expenses. Cosi-related operating expenses are not included in our stand-alone insurance underwriting business and, accordingly, its expenses are not included in the calculation of our combined ratio as described below.</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Developments During 2024</w:t>
      </w:r>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Catastrophe Reinsurance Coverage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1, 2024, KICO decreased the top limit of its catastrophe reinsurance coverage from $325,000,000 to $280,000,000, which, at the time, equated to more than a 1-in-100 year storm event according to the primary industry catastrophe model that we follow.</w:t>
      </w:r>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Withdrawal from New Jersey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2023, the New Jersey Department of Banking &amp; Insurance acknowledged KICO’s request to withdraw from the state effective January 1, 2024. The Department requested that KICO complete the withdrawal over a two year period.</w:t>
      </w:r>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Change of Chairman of the Board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long-time Chairman of the Board of Directors, Barry Goldstein, retired on September 10, 2024. Thomas Newgarden, who joined our Board of Directors in 2024, became our Non-Executive Chairman concurrent with Mr. Goldstein's departure.</w:t>
      </w:r>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Debt Exchange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2024, we entered into a Note Exchange Agreement (the “2024 Exchange Agreement”) with the existing holders (the “2024 Exchanging Noteholders”) of our then outstanding 12.00% Senior Notes due 2024 in the aggregate principal amount of $19,500,000 (the “2022 Notes”).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Exchange Agreement, the Exchanging Noteholders exchanged their respective 2022 Notes for new 13.75% Senior Notes due June 30, 2026 in the aggregate principal amount of $14,950,000 (the “2024 Notes”), $5,000,000 in cash and an extension of the expiration date of the warrants previously issued to the Exchanging Noteholders to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Debt Prepayment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2024, we made three prepayments on the 2024 Notes. On September 30, 2024 we paid $3,000,000 in principal, plus accrued interest, on November 14, 2024 we paid $2,000,000 in principal, plus accrued interest, and on December 30, 2024 we paid $4,000,000 in principal, plus accrued interest. As a result of the prepayment, the remaining balance of the 2024 Notes was reduced to $5,950,000 at the end of 2024.</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Developments During 2025</w:t>
      </w:r>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Sale of Building</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15 Joys Lane LLC, our subsidiary, entered into a contract of sale with Ulster County, New York (the "County") for the sale to the County of our headquarters building in Kingston, New York, along with an adjacent mixed use property (collectively, the "Property"). The purchase price for the Property is $3,600,000. The closing of the sale is anticipated to take place in March 2025, subject to the satisfaction of the conditions to the closing.</w:t>
      </w:r>
    </w:p>
    <w:p>
      <w:pPr>
        <w:pStyle w:val="TextBody"/>
        <w:bidi w:val="0"/>
        <w:spacing w:lineRule="auto" w:line="276" w:before="240" w:after="283"/>
        <w:ind w:left="0" w:right="0" w:firstLine="315"/>
        <w:jc w:val="both"/>
        <w:rPr/>
      </w:pPr>
      <w:r>
        <w:rPr>
          <w:color w:val="000000"/>
        </w:rPr>
        <w:t>•</w:t>
      </w:r>
      <w:r>
        <w:rPr>
          <w:rFonts w:ascii="Times New Roman;sans-serif" w:hAnsi="Times New Roman;sans-serif"/>
          <w:b w:val="false"/>
          <w:i/>
          <w:color w:val="000000"/>
          <w:sz w:val="20"/>
        </w:rPr>
        <w:t>Debt Prepayment</w:t>
      </w:r>
    </w:p>
    <w:p>
      <w:pPr>
        <w:pStyle w:val="TextBody"/>
        <w:bidi w:val="0"/>
        <w:spacing w:lineRule="auto" w:line="276" w:before="240" w:after="283"/>
        <w:ind w:left="0" w:right="0" w:firstLine="675"/>
        <w:jc w:val="both"/>
        <w:rPr/>
      </w:pPr>
      <w:r>
        <w:rPr>
          <w:rFonts w:ascii="Times New Roman;sans-serif" w:hAnsi="Times New Roman;sans-serif"/>
          <w:b w:val="false"/>
          <w:color w:val="000000"/>
          <w:sz w:val="20"/>
        </w:rPr>
        <w:t>In 2025, we made two additional prepayments on the 2024 Notes. On January 31, 2025 we paid $3,500,000 in principal, plus accrued interest and on February 24, 2025 we paid $2,450,000 in principal, plus accrued interest. As a result of these additional prepayments, the 2024 Notes have been paid in full</w:t>
      </w:r>
      <w:r>
        <w:rPr>
          <w:rFonts w:ascii="Times New Roman;sans-serif" w:hAnsi="Times New Roman;sans-serif"/>
          <w:b w:val="false"/>
          <w:color w:val="000000"/>
          <w:sz w:val="20"/>
          <w:u w:val="single"/>
        </w:rPr>
        <w:t>.</w:t>
      </w:r>
    </w:p>
    <w:p>
      <w:pPr>
        <w:pStyle w:val="TextBody"/>
        <w:bidi w:val="0"/>
        <w:spacing w:lineRule="auto" w:line="276" w:before="240" w:after="283"/>
        <w:ind w:left="0" w:right="0" w:hanging="288"/>
        <w:jc w:val="both"/>
        <w:rPr>
          <w:rFonts w:ascii="Times New Roman;sans-serif" w:hAnsi="Times New Roman;sans-serif"/>
          <w:b/>
          <w:color w:val="000000"/>
          <w:sz w:val="20"/>
          <w:u w:val="single"/>
        </w:rPr>
      </w:pPr>
      <w:r>
        <w:rPr>
          <w:rFonts w:ascii="Times New Roman;sans-serif" w:hAnsi="Times New Roman;sans-serif"/>
          <w:b/>
          <w:color w:val="000000"/>
          <w:sz w:val="20"/>
          <w:u w:val="single"/>
        </w:rPr>
        <w:t>(b)Business</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Property and Casualty Insurance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derive substantially all of our revenue from KICO, including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insurance claims. During this time, KICO invests the premiums, earning investment income and generating net realized and unrealized gains and losses on associated investments. Our holding company earns investment income from its cash holdings.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our corporate expenses as a holding company. These corporate expenses include legal and auditing fees, executive employment costs, and other costs directly associated with being a public company.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measure of relative underwriting performance for an insurance company is the combined ratio. An insurance company’s combined ratio is calculated by taking the ratio of incurred loss and LAE to earned premiums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color w:val="000000"/>
        </w:rPr>
      </w:pPr>
      <w:r>
        <w:rPr>
          <w:color w:val="000000"/>
        </w:rPr>
        <w:t>“</w:t>
      </w:r>
      <w:r>
        <w:rPr>
          <w:rFonts w:ascii="Times New Roman;sans-serif" w:hAnsi="Times New Roman;sans-serif"/>
          <w:b w:val="false"/>
          <w:color w:val="000000"/>
          <w:sz w:val="20"/>
        </w:rPr>
        <w:t>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Business; Strategy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multi-line regional property and casualty insurance company writing business exclusively through retail and wholesale agents and brokers (“producers”) appointed by our wholly-owned subsidiary, KICO. We are licensed to write insurance policies in New York, New Jersey, Connecticut, Maine, Massachusetts, New Hampshire, Pennsylvania and Rhode Island. KICO is actively writing its property and casualty insurance products in New York. Additionally, our subsidiary, Cosi, a multi-state licensed general agency, receives commission revenue from KICO for the policies it places with others and pays commissions to these agencies.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broad underwriting appetite coupled with competitive rate and commission structures.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our gross written premiums totaled $242.0 million, an increase of 20.9% from the $200.2 million in gross written premiums for the year ended December 31, 2023.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Product Lines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lines include the following:</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rPr>
        <w:t xml:space="preserve">Personal lines - </w:t>
      </w:r>
      <w:r>
        <w:rPr>
          <w:rFonts w:ascii="Times New Roman;sans-serif" w:hAnsi="Times New Roman;sans-serif"/>
          <w:b w:val="false"/>
          <w:color w:val="000000"/>
          <w:sz w:val="20"/>
        </w:rPr>
        <w:t>Our largest line of business is personal lines, consisting of homeowners, dwelling fire, cooperative/condominium, renters, and personal umbrella policies. Personal lines policies accounted for 94.1% of our gross written premiums for the year ended December 31, 2024.</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rPr>
        <w:t xml:space="preserve">Livery physical damage - </w:t>
      </w:r>
      <w:r>
        <w:rPr>
          <w:rFonts w:ascii="Times New Roman;sans-serif" w:hAnsi="Times New Roman;sans-serif"/>
          <w:b w:val="false"/>
          <w:color w:val="000000"/>
          <w:sz w:val="20"/>
        </w:rPr>
        <w:t>We write for-hire vehicle physical damage only policies for livery and car service vehicles and taxicabs. These policies insure only the physical damage portion of insurance for such vehicles, with no liability coverage included. These policies accounted for 5.9% of our gross written premiums for the year ended December 31, 2024.</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rPr>
        <w:t>Other</w:t>
      </w:r>
      <w:r>
        <w:rPr>
          <w:color w:val="000000"/>
        </w:rPr>
        <w:t xml:space="preserve"> </w:t>
      </w:r>
      <w:r>
        <w:rPr>
          <w:rFonts w:ascii="Times New Roman;sans-serif" w:hAnsi="Times New Roman;sans-serif"/>
          <w:b w:val="false"/>
          <w:color w:val="000000"/>
          <w:sz w:val="20"/>
        </w:rPr>
        <w:t>- We write canine legal liability policies and have a small participation in mandatory state joint underwriting associations. These policies accounted for 0.03% of our gross written premiums for the year ended December 31, 2024.</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Our Competitive Strengths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Long History of Operations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KICO has been in operation in the State of New York since 1886. We have consistently sought to grow the amount of profitable business that we write by introducing new products, increasing volume written with our Select producers in existing markets, and developing new producer relationships and markets. The extensive heritage of our insurance company subsidiary and our commitment to the markets in which we operate is a competitive advantage with producers and insureds.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Strong Producer Relationships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Within our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Select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 producers, our broad product offerings, and our competitive prices provide a strong foundation for profitable growth.</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Sophisticated Pricing, Underwriting and Risk Management Practices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 significant underwriting advantage exists due to our local market presence and expertise. Our underwriting process evaluates and screens out certain risks based on their prior loss experience, cost of reinsurance, property condition, insurance scoring and driving record, and then is augmented by information collected from physical property inspections. We maintain certain policy exclusions that reduce our exposure to risks that can create severe losses. We target a preferred risk profile in order to reduce adverse selection from risks seeking the lowest premiums and minimal coverage levels.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underwriting procedures, premiums and policy terms support the goal of underwriting profitability of our personal lines policies. We adhere to a quarterly indication process and perform a rate review in each state and for each product at least annually. In 2022, we introduced our new Select homeowners, condo/tenant and dwelling fire programs in New York. This product incorporates by-peril rating and a host of new data sources to better match rate to risk. We also update property replacement costs to address inflation annually.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manage coastal risk exposure through the use of individual catastrophe risk scoring, the inclusion of hurricane deductibles, non-renewals and the prudent use of reinsurance. We measure our risk exposure regularly and adjust our underwriting to manage growth in our probable maximum loss (PML).</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Effective Utilization of Reinsurance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reinsurance program also provides income from ceding commissions earned pursuant to quota share reinsurance contracts. The income we earn from ceding commissions subsidizes our fixed operating costs, which consist of other underwriting expenses. Quota share reinsurance treaties transfer a portion of the profit (or loss) associated with the subject insurance policies to the reinsurers.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Scalable, Low-Cost Operations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remote workforce model provides a low-cost operating environment.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producers and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completed the implementation of Kingstone 2.0, an effort to modernize the Company. Kingstone 2.0 included strategic hiring, development of the Select product, investments in new systems and retirement of the legacy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systems. We also adopted a framework of stronger rating, underwriting and catastrophe management disciplines. As a result, Kingstone 2.0 positioned the Company to be better able to navigate today’s challenging environment. In 2023, we embarked on a new strategy to optimize our in-force business, which we coined as “Kingstone 3.0”. The four pillars of this new strategy entail:</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1.Aggressively reducing the non-Core book of business, which has had a disproportionately negative impact on underwriting results.</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2.Adjusting pricing to stay ahead of loss trends, including inflation.</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3.Tightly managing reinsurance requirements and costs, using risk selection and other underwriting capabilities to manage the growth rate of our PML.</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4.Continuing expense reduction focus with a goal of reducing the net expense ratio to 33% by year-end 2024.</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See detailed description of Kingstone 2.0 and Kingstone 3.0 in Part II, Item 7 (Management’s Discussion and Analysis of Financial Condition and Results of Operations) in this Annual Report.</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Underwriting and Claims Management Philosophy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underwriting philosophy is to target niche segments for which we have detailed expertise and can take advantage of market conditions. We monitor results on a regular basis and our Select producers are reviewed by management on at least a semi-annual basis.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rates are appropriately competitive with other carriers in our target markets. We do not seek to grow by competing based solely upon price. We seek to develop long-term relationships with our Select producers who understand and appreciate the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Distribution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business through our relationships with over 700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Each producer is assigned to a staff underwriter and the producer can call that underwriter directly on any matter. We believe that the close relationship and personal service received from their underwriters is one of the reasons producers place their business with us. Our producers have access to a KICO producer interface and website portal that provides them the ability to quote risks for various products and to review policy forms and underwriting guidelines for all lines of business. We send out frequent “Producer Grams” in order to inform our producers of updates at KICO.</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Competition; Market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insurance industry is highly competitive. We constantly assess and make projections of market conditions and appropriate prices for our products, but we cannot fully know our profitability until all claims have been reported and settled.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active policyholders are located primarily in the downstate regions of New York State, our Core business. Under Kingstone 3.0, we are reducing our non-Core Northeast markets, which include New Jersey, Rhode Island, Massachusetts and Connecticut. In addition, we are licensed to write insurance policies in Maine, New Hampshire and Pennsylvania.</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made the decision to reduce our footprint outside New York due to profitability concerns. We entered these states to diversify Kingstone’s footprint starting in 2017, and they have had a disproportionate impact on our underwriting results, especially in 2022. We have attempted to address these challenges and achieve profitability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series of rate and underwriting actions, but the impact we have worked towards was largely nullified by inflation. In addition to a new business moratorium in our non-Core states of Connecticut, Massachusetts, New Jersey and Rhode Island, we have been actively non-renewing policies subject to regulatory constraints and have materially lowered commission rates to our producers. Subject to our withdrawal agreement with the state of New Jersey, we will be non-renewing our entire book in such state over a two year period starting January 1, 2024. These actions reduced the size of our policies in force outside New York by 48% in 2023 and 65% in 2024.</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2024, KICO was the 12th largest writer of homeowners insurance in the State of New York, according to data compiled by S&amp;P Capital IQ. Based on the same data, in 2023, we had a 1.6% market share for this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 Additionally, some of our largest competitors stopped writing business in New York in 2024. In July 2024, the New York Department of Financial Services approved the withdrawal of two carriers, wherein all policies were required to be non-renewed or canceled by December 31, 2024. This resulted in a large volume of new business for KICO in the second half of 2024.</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Loss and Loss Adjustment Expense Reserves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Loss reserves fall into two categories: case reserves for reported losses and LAE associated with specific reported claims, and reserves for losses and LAE that are incurred but not reported. We establish these two categories of loss reserves as follows:</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rPr>
        <w:t>Reserves for reported losses</w:t>
      </w:r>
      <w:r>
        <w:rPr>
          <w:color w:val="000000"/>
        </w:rPr>
        <w:t xml:space="preserve"> </w:t>
      </w:r>
      <w:r>
        <w:rPr>
          <w:rFonts w:ascii="Times New Roman;sans-serif" w:hAnsi="Times New Roman;sans-serif"/>
          <w:b w:val="false"/>
          <w:color w:val="000000"/>
          <w:sz w:val="20"/>
        </w:rPr>
        <w:t>- When a claim is received, we establish a case reserve for the estimated amount of its ultimate settlement and its estimated loss expenses. We establish case reserves based upon the known facts about each claim at the time it is received and we may subsequently adjust case reserves as additional facts and information about the claim develops.</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rPr>
        <w:t>IBNR reserves</w:t>
      </w:r>
      <w:r>
        <w:rPr>
          <w:color w:val="000000"/>
        </w:rPr>
        <w:t xml:space="preserve"> </w:t>
      </w:r>
      <w:r>
        <w:rPr>
          <w:rFonts w:ascii="Times New Roman;sans-serif" w:hAnsi="Times New Roman;sans-serif"/>
          <w:b w:val="false"/>
          <w:color w:val="000000"/>
          <w:sz w:val="20"/>
        </w:rPr>
        <w:t>- We also estimate reserves for loss and LAE amounts incurred but not reported (“IBNR”). IBNR reserves are calculated in bulk as 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engage an independent external actuarial specialist (the “Appointed Actuary”) to opine on our recorded statutory reserves. The Appointed Actuary estimates a range of reasonable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Reconciliation of Loss and Loss Adjustment Expenses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reconciliation of loss and LAE on a gross and net basis, reflecting changes in losses incurred and paid losses:</w:t>
      </w:r>
    </w:p>
    <w:tbl>
      <w:tblPr>
        <w:tblW w:w="6501" w:type="dxa"/>
        <w:jc w:val="left"/>
        <w:tblInd w:w="0" w:type="dxa"/>
        <w:tblLayout w:type="fixed"/>
        <w:tblCellMar>
          <w:top w:w="28" w:type="dxa"/>
          <w:left w:w="28" w:type="dxa"/>
          <w:bottom w:w="28" w:type="dxa"/>
          <w:right w:w="28" w:type="dxa"/>
        </w:tblCellMar>
      </w:tblPr>
      <w:tblGrid>
        <w:gridCol w:w="1011"/>
        <w:gridCol w:w="888"/>
        <w:gridCol w:w="891"/>
        <w:gridCol w:w="211"/>
        <w:gridCol w:w="1186"/>
        <w:gridCol w:w="109"/>
        <w:gridCol w:w="109"/>
        <w:gridCol w:w="109"/>
        <w:gridCol w:w="109"/>
        <w:gridCol w:w="211"/>
        <w:gridCol w:w="1186"/>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beginning of period</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88,529,212 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90,680,013 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related to:</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related to:</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57,276,137 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85,000,011 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at end of period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126,210,428 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121,817,862 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claims reserving practices are designed to set reserves that, in the aggregate, are adequate to pay all claims at their ultimate settlement value.</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Loss and Loss Adjustment Expenses Development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net loss development of reserves held as of each calendar year-end from 2014 through 2024.</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$21,663,000 as of December 31, 2014 is as follows. By December 31, 2016 (two years later), $12,853,000 had actually been paid in settlement of the claims that relate to liabilities as of December 31, 2014. The re-estimated ultimate reserves two years later for those claims as of December 31, 2014 had decreased to $21,501,000.</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redundancy (deficiency)” represents, as of December 31, 2024, the difference between the latest re-estimated liability and the amounts as originally estimated. A redundancy means that the original estimate was higher than the current estimate. A deficiency means that the current estimate is higher than the original estimate.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13812" w:type="dxa"/>
        <w:jc w:val="left"/>
        <w:tblInd w:w="0" w:type="dxa"/>
        <w:tblLayout w:type="fixed"/>
        <w:tblCellMar>
          <w:top w:w="28" w:type="dxa"/>
          <w:left w:w="28" w:type="dxa"/>
          <w:bottom w:w="28" w:type="dxa"/>
          <w:right w:w="28" w:type="dxa"/>
        </w:tblCellMar>
      </w:tblPr>
      <w:tblGrid>
        <w:gridCol w:w="454"/>
        <w:gridCol w:w="268"/>
        <w:gridCol w:w="269"/>
        <w:gridCol w:w="109"/>
        <w:gridCol w:w="109"/>
        <w:gridCol w:w="109"/>
        <w:gridCol w:w="323"/>
        <w:gridCol w:w="323"/>
        <w:gridCol w:w="156"/>
        <w:gridCol w:w="109"/>
        <w:gridCol w:w="109"/>
        <w:gridCol w:w="109"/>
        <w:gridCol w:w="323"/>
        <w:gridCol w:w="323"/>
        <w:gridCol w:w="156"/>
        <w:gridCol w:w="109"/>
        <w:gridCol w:w="109"/>
        <w:gridCol w:w="109"/>
        <w:gridCol w:w="323"/>
        <w:gridCol w:w="323"/>
        <w:gridCol w:w="156"/>
        <w:gridCol w:w="109"/>
        <w:gridCol w:w="109"/>
        <w:gridCol w:w="109"/>
        <w:gridCol w:w="330"/>
        <w:gridCol w:w="331"/>
        <w:gridCol w:w="156"/>
        <w:gridCol w:w="109"/>
        <w:gridCol w:w="109"/>
        <w:gridCol w:w="109"/>
        <w:gridCol w:w="330"/>
        <w:gridCol w:w="331"/>
        <w:gridCol w:w="156"/>
        <w:gridCol w:w="109"/>
        <w:gridCol w:w="109"/>
        <w:gridCol w:w="109"/>
        <w:gridCol w:w="323"/>
        <w:gridCol w:w="323"/>
        <w:gridCol w:w="156"/>
        <w:gridCol w:w="109"/>
        <w:gridCol w:w="109"/>
        <w:gridCol w:w="109"/>
        <w:gridCol w:w="323"/>
        <w:gridCol w:w="323"/>
        <w:gridCol w:w="156"/>
        <w:gridCol w:w="109"/>
        <w:gridCol w:w="109"/>
        <w:gridCol w:w="109"/>
        <w:gridCol w:w="323"/>
        <w:gridCol w:w="323"/>
        <w:gridCol w:w="156"/>
        <w:gridCol w:w="109"/>
        <w:gridCol w:w="109"/>
        <w:gridCol w:w="109"/>
        <w:gridCol w:w="323"/>
        <w:gridCol w:w="323"/>
        <w:gridCol w:w="156"/>
        <w:gridCol w:w="109"/>
        <w:gridCol w:w="109"/>
        <w:gridCol w:w="109"/>
        <w:gridCol w:w="323"/>
        <w:gridCol w:w="323"/>
        <w:gridCol w:w="156"/>
        <w:gridCol w:w="327"/>
        <w:gridCol w:w="646"/>
        <w:gridCol w:w="156"/>
        <w:gridCol w:w="372"/>
      </w:tblGrid>
      <w:tr>
        <w:trPr/>
        <w:tc>
          <w:tcPr>
            <w:tcW w:w="4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Reserve for loss and loss adjustment expenses, net of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32,051 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40,526 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64,770 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62,647 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84,311 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90,680 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88,529 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93,888 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reserve estimated as of One year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Two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Three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Five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Six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Seven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Eight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Nine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Ten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cumulative redundancy (deficiency)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4292" w:type="dxa"/>
        <w:jc w:val="left"/>
        <w:tblInd w:w="0" w:type="dxa"/>
        <w:tblLayout w:type="fixed"/>
        <w:tblCellMar>
          <w:top w:w="28" w:type="dxa"/>
          <w:left w:w="28" w:type="dxa"/>
          <w:bottom w:w="28" w:type="dxa"/>
          <w:right w:w="28" w:type="dxa"/>
        </w:tblCellMar>
      </w:tblPr>
      <w:tblGrid>
        <w:gridCol w:w="559"/>
        <w:gridCol w:w="268"/>
        <w:gridCol w:w="269"/>
        <w:gridCol w:w="109"/>
        <w:gridCol w:w="109"/>
        <w:gridCol w:w="109"/>
        <w:gridCol w:w="323"/>
        <w:gridCol w:w="323"/>
        <w:gridCol w:w="156"/>
        <w:gridCol w:w="109"/>
        <w:gridCol w:w="109"/>
        <w:gridCol w:w="109"/>
        <w:gridCol w:w="323"/>
        <w:gridCol w:w="323"/>
        <w:gridCol w:w="156"/>
        <w:gridCol w:w="109"/>
        <w:gridCol w:w="109"/>
        <w:gridCol w:w="109"/>
        <w:gridCol w:w="330"/>
        <w:gridCol w:w="331"/>
        <w:gridCol w:w="156"/>
        <w:gridCol w:w="109"/>
        <w:gridCol w:w="109"/>
        <w:gridCol w:w="109"/>
        <w:gridCol w:w="330"/>
        <w:gridCol w:w="331"/>
        <w:gridCol w:w="156"/>
        <w:gridCol w:w="109"/>
        <w:gridCol w:w="109"/>
        <w:gridCol w:w="109"/>
        <w:gridCol w:w="330"/>
        <w:gridCol w:w="331"/>
        <w:gridCol w:w="156"/>
        <w:gridCol w:w="109"/>
        <w:gridCol w:w="109"/>
        <w:gridCol w:w="109"/>
        <w:gridCol w:w="323"/>
        <w:gridCol w:w="323"/>
        <w:gridCol w:w="156"/>
        <w:gridCol w:w="109"/>
        <w:gridCol w:w="109"/>
        <w:gridCol w:w="109"/>
        <w:gridCol w:w="323"/>
        <w:gridCol w:w="323"/>
        <w:gridCol w:w="156"/>
        <w:gridCol w:w="109"/>
        <w:gridCol w:w="109"/>
        <w:gridCol w:w="109"/>
        <w:gridCol w:w="368"/>
        <w:gridCol w:w="368"/>
        <w:gridCol w:w="156"/>
        <w:gridCol w:w="109"/>
        <w:gridCol w:w="109"/>
        <w:gridCol w:w="109"/>
        <w:gridCol w:w="368"/>
        <w:gridCol w:w="368"/>
        <w:gridCol w:w="156"/>
        <w:gridCol w:w="109"/>
        <w:gridCol w:w="109"/>
        <w:gridCol w:w="109"/>
        <w:gridCol w:w="368"/>
        <w:gridCol w:w="368"/>
        <w:gridCol w:w="156"/>
        <w:gridCol w:w="327"/>
        <w:gridCol w:w="736"/>
        <w:gridCol w:w="156"/>
        <w:gridCol w:w="372"/>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amount of reserve paid, net of reinsurance recoverable through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One year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Two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Three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Five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Six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Seven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Eight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Nine years later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Ten years later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Gross reserves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39,913 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41,737 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48,800 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80,499 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82,801 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94,949 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118,340 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121,818 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126,210 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re-estimated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Re-estimated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re-estimated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48,513 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49,736 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53,075 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77,837 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86,074 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90,909 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104,368 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120,914 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116,159 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cumulative redundancy (deficiency)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(8,600)</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(9,859)</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(11,338)</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(16,207)</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(21,640)</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(8,108)</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(2,574)</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5,659 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Reinsurance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we entered into a 30% quota share reinsurance treaty for our personal lines business, covering the period from January 1, 2023 through January 1, 2024 (“2023/2024 Treaty”). Upon the expiration of the 2023/2024 Treaty on January 1, 2024, we entered into a new 27% quota share reinsurance treaty for our personal lines business,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2021/2023 Treaty and excess of loss treaties for any one personal lines occurrence for dates of loss on or after December 31, 2021 through January 1, 2024 was $700,000. Effective January 1, 2024 through January 1, 2025, our maximum net retention under the 2024/2025 Treaty increased to $730,000. Effective January 1, 2022, we entered into an underlying excess of loss reinsurance treaty (“Underlying XOL Treaty”) covering the period from January 1, 2022 through January 1, 2023. The Underlying XOL Treaty provides 50% reinsurance coverage for losses, other than from a named storm, of $400,000 in excess of $600,000. Effective January 1, 2023, the Underlying XOL Treaty was renewed covering the period from January 1, 2023 through January 1, 2024. From January 1, 2022 through January 1, 2024, under the Underlying XOL Treaty, our maximum net retention for any one personal lines occurrence was further reduced from the retention of $700,000 under the 2021/2023 Treaty and the 2023/2024 Treaty to $500,000. From January 1, 2024 through January 1, 2025, under the Underlying XOL Treaty, our maximum net retention for any one personal lines occurrence was reduced from the retention of $730,000 under 2024/2025 Treaty to $530,000.</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previously earned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provided minimum and maximum ceding commission rates in relation to specified ultimate loss ratios. Under the 2023/24 Treaty, KICO received a fixed provisional rate with no adjustment for sliding scale contingent commissions. Under the 2024/2025 Treaty, KICO received a fixed provisional rate with no adjustment for sliding scale contingent commissions. For the 2025/2026 Treaty, KICO will have a portion of the coverage at a fixed provisional rate with no adjustment and a portion that has a sliding scale contingent commission.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2023/2024 Treaty, 2024/2025 Treaty and 2025/2026 Treaty are on a “net” of catastrophe reinsurance basis, as opposed to the “gross” arrangement that existed in prior treaties. Under a “net” arrangement, all catastrophe reinsurance coverage above our catastrophe retention is purchased directly by us.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we purchased catastrophe reinsurance to provide coverage of up to $280,000,000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one-in-100 year storm event. Effective January 1, 2023 through January 1, 2024, losses on personal lines policies were subject to the 2023/2024 Treaty, which covered 12.5% of catastrophe losses and resulted in a net retention by us of $8,750,000 of exposure per catastrophe occurrence. Effective January 1, 2024 through January 1, 2025, losses on personal lines policies were subject to the 2024/2025 Treaty, which will cover 5.0% of catastrophe losses and will result in a net retention by us of $4,750,000 of exposure for the first event of a named storm catastrophe occurrence. Our net retention for a second event of a named storm is $9,500,000. Effective July 1, 2022 and through June 30, 2023, we had reinstatement premium protection for $9,800,000 of catastrophe coverage in excess of $10,000,000. Effective July 1, 2023 and through June 30, 2024, we had reinstatement premium protection for $12,500,000 of catastrophe coverage in excess of $10,000,000. Effective July 1, 2024 and through June 30, 2025, we had reinstatement premium protection for $10,500,000 of catastrophe coverage in excess of $10,000,000. This protects us from having to pay an additional premium to reinstate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catastrophe coverage for an event up to this level. Additionally in 2024, we purchased winter storm specific catastrophe reinsurance that provides coverage to the extent of 71% of $4,500,000 of coverage after the first $5,500,000 of gross retention.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Principal Revenue and Expense Items” in Item 7 of this Annual Report and Note 2 and Note 11 in the accompanying consolidated financial statements for additional information.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Ratings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insurance buyers, agents, brokers and secured lenders use the ratings assigned by ratings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Financial strength ratings are intended to provide an independent opinion of an insurer’s ability to meet its obligations to policyholders and are not an evaluation directed at investors. We currently have a Demotech rating of A (Excellent) which qualifies our policies for banks and finance companies. Demotech is the rating agency most commonly used by carriers focused on coastal property risks. The previous ratings from A.M. Best and Kroll Rating Agency for KICO and Kingstone Companies, Inc. were withdrawn at our request.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Catastrophe Losses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2024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during 2024, one of which was a named storm, and one was a winter storm, and the remaining events were wind and thunderstorm. None of the catastrophe events in 2024 had a material impact on us. The effects of catastrophes during 2024 increased our net loss ratio by 1.9 percentage points. We were affected by several events during 2023, including a named storm and a major freezing event. The effects of catastrophes during 2023 increased our net loss ratio by 7.1 percentage points.</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Holding Company Regulation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Change of Control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however, the ownership of less than 10% of such voting securities could constitute control under certain circumstances.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State Insurance Regulation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and the commercial auto market in New York State in 2015.</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Federal and State Legislative and Regulatory Changes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DFS implemented new comprehensive cybersecurity regulations, which became effective on March 1, 2017, with transitional implementation periods. On November 1, 2023, the DFS adopted substantive amendments updating the 2017 cybersecurity regulations. The adopted regulations require that a covered entity’s chief information security officer (“CISO”) have sufficient authority to ensure that cybersecurity risks are appropriately managed and require the CISO to report material cybersecurity issues. Covered entities are further required under the amendments to implement asset inventory management, develop and implement a business continuity and disaster recovery plan, and maintain backups protected from unauthorized alterations or destruction. The regulations update certain cybersecurity event reporting requirements, including notice and explanation of extortion payments, and amends the April 15 annual reporting requirement to include a written acknowledgment of any areas of material noncompliance and remediation plans signed by the entity’s highest-ranking executive and the CISO. Finally, the regulations update the factors the Superintendent may consider in assessing violations.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newly-adopted regulations also apply newly enhanced requirements around periodic system testing, record keeping and maintenance of written incident and recovery plans. They further mandate specific technical approaches such as blocking common passwords and the use of multifactor authentication in certain instances. 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The FIO releases reports summarizing and analyzing the Office’s oversight efforts, and general activities.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the FIO report noted that since its last report in 2023, the FIO continued to advance its data-focused efforts to better understand climate-related issues facing the U.S. homeowners insurance market that were first publicly announced on October 18, 2022.It further noted that it issued the 2023 preemption report stating that it did not take any action regarding the preemption of any state insurance measures that were inconsistent with a covered agreement.</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2020, the Terrorism Risk Insurance Program Reauthorization Act of 2019 was enacted and is now scheduled to expire on December 31, 2027. The Terrorism Risk Insurance Program serves as a federal “backstop” for insurance claims related to acts of terrorism.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the DFS issued its final Guidance for New York Domestic Insurers On Managing the Financial Risks from Climate Change. On June 15, 2022, the DFS released its 2021 annual report. The report references the creation of a standalone Climate Division, which was the source of the aforementioned guidance. In 2021, the Governor of the State of New York signed into law, effective January 28, 2022 and subsequently clarified by law taking effect March 15, 2023, legislation that seeks to prevent homeowner insurers from discriminating solely on the basis of breed of dog.</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Comprehensive Insurance Disclosure Act was enacted in New York State. This law, as amended by a subsequent chapter amendment, requires any defendant to provide to the plaintiff, within a limited timeframe, proof of existence and the contents of any insurance agreement under which any person or entity may be liable to satisfy part or all of a judgment and details what the information and documentation includes. The new law applies to actions commenced on or after December 31, 2021.</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New York legislature passed legislation to greatly expand wrongful death actions. This bill sought to expand the categories of claimants and scope of losses for which a wrongful death lawsuit could be brought. The bill was vetoed in January 2023. It was again passed in identical form in 2023 and again vetoed in December 2023. The bill was reintroduced in identical form in February 2024 and following two-house passage, vetoed again in December 2024.</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2023, two related bills were chaptered amending the time periods available to an insurer for the investigation and settlement of claims arising out of states of emergency and disasters. This bill codified elements of existing regulations but shortened certain time periods and added additional reporting requirements. Specifically, the law requires that, within fifteen business days after receiving all the items, statements, and forms that the insurer required from the claimant for a non-commercial claim not suspected to be related to arson, the insurer advise the claimant in writing whether the insurer has accepted or rejected the claim. An insurer would be allowed two extensions of fifteen additional business days to continue its investigation, provided that the insurer notifies the claimant of the reasons additional time is needed for the investigation, with the second extension being available if the property is inaccessible. Commercial claims are granted a one-time thirty-day extension to determine whether the claim should be accepted or rejected, and additional thirty-day extensions are available if certain written notifications are made. If the insurer has accepted the claim, the claimant will have to be notified of the amount the insurer is offering to settle the claim and of all applicable policy provisions regarding the claimant's right to reject and appeal the insurer's offer. If the insurer rejects the claim, the insurer will have to inform the claimant of all applicable policy provisions regarding the claimant's right to appeal the decision including policy information, insurer contact information and DFS complaint filing procedure information. An insurer will be required to pay the claim not later than four business days from the settlement of the claim.</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New York State legislature passed a DFS program bill that sought to bar the use of certain anticoncurrent causation clauses in non-commercial policies. Specifically, it intended to prohibit an insurance policy from excluding coverage for any loss of or damage to property resulting from water or water-borne material that backs up through sewers or drains, or overflows or is discharged from a sump, sump pump, or related equipment, on the ground that the loss or damage also may have been caused directly or indirectly by an excluded peril contributing concurrently or in any sequence to cause the loss. The bill was vetoed by the Governor in a message suggesting it needs further consideration.</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legislation was passed, and signed into law which requires the Superintendent of Insurance to issue regulations providing standards for hurricane windstorm deductibles which create, to the greatest extent possible, uniformity in the operation of such deductibles with respect to the triggering event. The regulations must be adopted by August 19, 2025. </w:t>
      </w:r>
    </w:p>
    <w:p>
      <w:pPr>
        <w:pStyle w:val="TextBody"/>
        <w:bidi w:val="0"/>
        <w:spacing w:lineRule="auto" w:line="25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DFS adopted a circular letter in 2024 regarding the use of external consumer data and information sources (“ECDIS”) and artificial intelligence systems (“AIS”) by insurers. In broad strokes it reiterates the need to make sure that AI processes do not lead to outcomes that run afoul of the extensive body of existing anti-discrimination laws, including use of credit as governed by Insurance Law Article 28 credit usage. While this circular letter does not have the force of law, it articulated DFS’ expectations about the use of AIS and ECDIS. In the past, the release of a circular letter has preceded the issuance of draft and eventually final regulations in the area addressed.</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State Regulatory Examinations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DFS commenced its examination of KICO in 2023 for the years 2019 through 2022. The examination was completed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Risk-Based Capital Regulations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RBC guidelines define specific capital levels based on a company’s ACL that are determined by the ratio of the company’s total adjusted capital (“TAC”) to its ACL. TAC is equal to statutory capital, plus or minus certain other specified adjustments. KICO’s TAC is above its ACL. As of December 31, 2024, the ratio of TAC to ACL was 5.62 and is in compliance with New York’s RBC requirements.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Dividend Limitations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receive dividends from KICO is restricted by the state laws and insurance regulations of New York. These restrictions are related to surplus and net investment income. Dividends may be paid, without the need for DFS approval, from unassigned surplus and are restricted to the lesser of 10% of surplus or 100% of investment income (on a statutory accounting basis) for the trailing 36 months, less dividends by KICO paid during such period. At December 31, 2024, unassigned surplus was $13,658,183. KICO has an agreement with DFS that KICO may only pay dividends to us for purposes of paying operating expenses and debt obligations, and the maximum amount of dividends that can be paid in 12 months is $12 million without prior approval. See Item 5 (“Market for Registrant’s Common Equity, Related Stockholder Matters and Issuer Purchases of Equity Securities – Dividends”) of this Annual Report for a further discussion as to KICO’s ability to pay dividends to us.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Insurance Regulatory Information System Ratios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2024, KICO had three ratios outside the usual range.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Principles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Statutory accounting practices established by the NAIC and adopted in part by New York insurance regulators determine, among other things, the amount of statutory surplus and statutory net income of KICO and thus determine, in part, the amount of funds that are available for KICO to pay dividends to Kingstone Companies, Inc.</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Legal Structure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in 1961 and assumed the name DCAP Group, Inc. in 1999. On July 1, 2009, we changed our name to Kingstone Companies,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Employees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99 employees. None of our employees are covered by a collective bargaining agreement. We believe that our relationship with our employees is good.</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Availability of Information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1A</w:t>
      </w:r>
      <w:r>
        <w:rPr>
          <w:rFonts w:ascii="Times New Roman;sans-serif" w:hAnsi="Times New Roman;sans-serif"/>
          <w:b w:val="false"/>
          <w:color w:val="000000"/>
          <w:sz w:val="20"/>
        </w:rPr>
        <w:t xml:space="preserve">. </w:t>
      </w:r>
      <w:r>
        <w:rPr>
          <w:rFonts w:ascii="Times New Roman;sans-serif" w:hAnsi="Times New Roman;sans-serif"/>
          <w:b/>
          <w:color w:val="000000"/>
          <w:sz w:val="20"/>
          <w:u w:val="single"/>
        </w:rPr>
        <w:t>RISK FACTORS</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pStyle w:val="TextBody"/>
        <w:bidi w:val="0"/>
        <w:spacing w:lineRule="auto" w:line="276" w:before="240" w:after="283"/>
        <w:ind w:left="0" w:right="0" w:firstLine="675"/>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Risks Related to Our Business</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As a property and casualty insurer, we may face significant losses from catastrophes and severe weather events.</w:t>
      </w:r>
      <w:r>
        <w:rPr>
          <w:color w:val="000000"/>
        </w:rPr>
        <w:t xml:space="preser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exposure of our property and casualty business to catastrophic events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$285,000,000 ($275,000,000 in excess of $10,000,000). Effective January 1, 2025, $5,000,000 of losses in a catastrophe are subject to a quota share reinsurance treaty, which covers 10.0% of catastrophe losses such that we retain $4,250,000 of risk per catastrophe occurrence. With respect to any additional catastrophe losses of up to $275,000,000,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Unanticipated increases in the severity or frequency of claims may adversely affect our operating results and financial condition.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A financial strength rating assigned to our insurance subsidiary was withdrawn at its request; this may impact our revenues and earnings.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A.M. Best withdrew the financial strength rating and long-term issuer credit rating of KICO at KICO’s request. Previously, A.M. Best’s public rating for Kingstone Companies, Inc. was withdrawn.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A.M. Best’s financial strength rating is more significant with regard to commercial liability insurance, as opposed to personal lines business. Since we have discontinued our commercial lines business, we believe that the withdrawal of A.M. Best’s ratings will not result in a material decrease in the amount of business that KICO will be able to write. Also, KICO has a Demotech financial stability rating of A (Exceptional) which generally makes its policies acceptable to mortgage lenders that require homeowners to purchase insurance from highly-rated carriers.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However, a prior A.M Best ratings downgrade resulted in a material decrease in the business of our subsidiary, Cosi, a multi-state licensed general agency that had partnered with name-brand carriers which require an A.M. Best “A-” rating from its partners.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The impact of pandemics and other public health issues (like COVID-19) and related risks could materially affect our results of operations, financial position and/or liquidity.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March 2020, the global pandemic related to COVID-19 began to impact the global economy and our results of operations. Risks presented by the effects of pandemics like COVID-19 include, among others, the following:</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u w:val="single"/>
        </w:rPr>
        <w:t>Investments.</w:t>
      </w:r>
      <w:r>
        <w:rPr>
          <w:color w:val="000000"/>
        </w:rPr>
        <w:t xml:space="preserve"> </w:t>
      </w:r>
      <w:r>
        <w:rPr>
          <w:rFonts w:ascii="Times New Roman;sans-serif" w:hAnsi="Times New Roman;sans-serif"/>
          <w:b w:val="false"/>
          <w:color w:val="000000"/>
          <w:sz w:val="20"/>
        </w:rPr>
        <w:t>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u w:val="single"/>
        </w:rPr>
        <w:t>Adverse Legislative and/or Regulatory Action.</w:t>
      </w:r>
      <w:r>
        <w:rPr>
          <w:color w:val="000000"/>
        </w:rPr>
        <w:t xml:space="preserve"> </w:t>
      </w:r>
      <w:r>
        <w:rPr>
          <w:rFonts w:ascii="Times New Roman;sans-serif" w:hAnsi="Times New Roman;sans-serif"/>
          <w:b w:val="false"/>
          <w:color w:val="000000"/>
          <w:sz w:val="20"/>
        </w:rPr>
        <w:t>Federal, state and local government actions to address and contain the impact of pandemic and other public health issues (like COVID-19) may 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pStyle w:val="TextBody"/>
        <w:bidi w:val="0"/>
        <w:spacing w:lineRule="auto" w:line="276" w:before="240" w:after="283"/>
        <w:ind w:left="0" w:right="0" w:firstLine="675"/>
        <w:jc w:val="both"/>
        <w:rPr/>
      </w:pPr>
      <w:r>
        <w:rPr>
          <w:rFonts w:ascii="Times New Roman;sans-serif" w:hAnsi="Times New Roman;sans-serif"/>
          <w:b w:val="false"/>
          <w:i/>
          <w:color w:val="000000"/>
          <w:sz w:val="20"/>
          <w:u w:val="single"/>
        </w:rPr>
        <w:t>Operational Disruptions and Heightened Cybersecurity Risks.</w:t>
      </w:r>
      <w:r>
        <w:rPr>
          <w:color w:val="000000"/>
        </w:rPr>
        <w:t xml:space="preserve"> </w:t>
      </w:r>
      <w:r>
        <w:rPr>
          <w:rFonts w:ascii="Times New Roman;sans-serif" w:hAnsi="Times New Roman;sans-serif"/>
          <w:b w:val="false"/>
          <w:color w:val="000000"/>
          <w:sz w:val="20"/>
        </w:rPr>
        <w:t>Our operations could be disrupted if key members of our senior management or a 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generate sufficient cash to service our debt obligations.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payments on our indebtedness will depend on our financial and operating performance, which is subject to prevailing economic and competitive conditions and to certain financial, business and other factors beyond our control. We may be unable to maintain a sufficient level of cash flows from operating activities to permit us to pay the principal, premium, if any, and interest on our indebtedness.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Adverse capital and credit market conditions may significantly affect our ability to meet liquidity needs or our ability to obtain credit on acceptable terms.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We are exposed to significant financial and capital markets risk which may adversely affect our results of operations, financial condition and liquidity, and our net investment income can vary from period to period.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Reinsurance may be unavailable at current levels and prices, which may limit our ability to write new business.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on terms and rates that are commercially reasonable.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Reinsurance subjects us to the credit risk of our reinsurers, which may have a material adverse effect on our operating results and financial condition.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Applicable insurance laws regarding the change of control of our company may impede potential acquisitions that our stockholders might consider desirable.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stockholders might consider such transactions to be desirable. Similar regulations may apply in other states in which we may operate.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We may not be able to maintain the requisite amount of risk-based capital, which may adversely affect our profitability and our ability to compete in the property and casualty insurance markets.</w:t>
      </w:r>
      <w:r>
        <w:rPr>
          <w:color w:val="000000"/>
        </w:rPr>
        <w:t xml:space="preser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Changing climate conditions may adversely affect our financial condition, profitability or cash flows.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operating results and financial condition may be adversely affected by the cyclical nature of the property and casualty business.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Because substantially all of our revenue is currently derived from sources located in New York, our business may be adversely affected by conditions in such state.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96% of our revenue during the year ended December 31, 2024 was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We are highly dependent on a relatively small number of insurance brokers for a large portion of our revenues.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insurance products primarily through insurance brokers. A large percentage of our gross premiums written are sourced through a limited number of brokers. For the year ended December 31, 2024, 50 brokers provided a total of 51.2% of our total gross premiums written.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Actual claims incurred may exceed current reserves established for claims, which may adversely affect our operating results and financial condition</w:t>
      </w:r>
      <w:r>
        <w:rPr>
          <w:rFonts w:ascii="Times New Roman;sans-serif" w:hAnsi="Times New Roman;sans-serif"/>
          <w:b w:val="false"/>
          <w:i/>
          <w:color w:val="000000"/>
          <w:sz w:val="20"/>
        </w:rPr>
        <w:t xml:space="preser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As a holding company, we are dependent on the results of operations of our subsidiary, KICO; there are restrictions on the payment of dividends by KICO.</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pay expenses and pay cash dividends to our stockholders.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insurance laws limit the ability of KICO to pay dividends from unassigned surplus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2024, KICO had unassigned surplus of approximately $13.7 million. The aggregate maximum amount of dividends permitted by law to be paid by an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KICO has an agreement with DFS that KICO may only pay dividends to us for purposes of paying operating expenses and debt obligations and that the maximum amount of dividends that can be paid in a12 month period is $12 million without prior approval.</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Our future results are dependent in part on our ability to successfully operate in an insurance industry that is highly competitive.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If we lose key personnel or are unable to recruit qualified personnel, our ability to implement our business strategies could be delayed or hindered.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will depend, in part, upon the efforts of Meryl Golden, our President and Chief Executive Officer. The loss of Ms. Golden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Ms. Golden and we are parties to an employment agreement which expires on December 31, 2026.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Difficult conditions in the economy generally could adversely affect our business and operating results.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accounting standards issued by the Financial Accounting Standards Board or other standard-setting bodies may adversely affect our reported results of operations and financial condition.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a security breach or other attack involving our computer systems or those of one or more of our vendors.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pStyle w:val="TextBody"/>
        <w:bidi w:val="0"/>
        <w:spacing w:lineRule="auto" w:line="276" w:before="240" w:after="283"/>
        <w:ind w:left="0" w:right="0" w:hanging="144"/>
        <w:jc w:val="both"/>
        <w:rPr/>
      </w:pPr>
      <w:r>
        <w:rPr>
          <w:color w:val="000000"/>
        </w:rPr>
        <w:t>•</w:t>
      </w:r>
      <w:r>
        <w:rPr>
          <w:rFonts w:ascii="Times New Roman;sans-serif" w:hAnsi="Times New Roman;sans-serif"/>
          <w:b w:val="false"/>
          <w:color w:val="000000"/>
          <w:sz w:val="20"/>
        </w:rPr>
        <w:t>steal, corrupt, or destroy data, including our intellectual property, financial data or the personal information of our customers or employees</w:t>
      </w:r>
    </w:p>
    <w:p>
      <w:pPr>
        <w:pStyle w:val="TextBody"/>
        <w:bidi w:val="0"/>
        <w:spacing w:lineRule="auto" w:line="276" w:before="0" w:after="0"/>
        <w:ind w:left="0" w:right="0" w:hanging="144"/>
        <w:jc w:val="both"/>
        <w:rPr/>
      </w:pPr>
      <w:r>
        <w:rPr>
          <w:color w:val="000000"/>
        </w:rPr>
        <w:t>•</w:t>
      </w:r>
      <w:r>
        <w:rPr>
          <w:rFonts w:ascii="Times New Roman;sans-serif" w:hAnsi="Times New Roman;sans-serif"/>
          <w:b w:val="false"/>
          <w:color w:val="000000"/>
          <w:sz w:val="20"/>
        </w:rPr>
        <w:t>misappropriate funds</w:t>
      </w:r>
    </w:p>
    <w:p>
      <w:pPr>
        <w:pStyle w:val="TextBody"/>
        <w:bidi w:val="0"/>
        <w:spacing w:lineRule="auto" w:line="276" w:before="0" w:after="0"/>
        <w:ind w:left="0" w:right="0" w:hanging="144"/>
        <w:jc w:val="both"/>
        <w:rPr/>
      </w:pPr>
      <w:r>
        <w:rPr>
          <w:color w:val="000000"/>
        </w:rPr>
        <w:t>•</w:t>
      </w:r>
      <w:r>
        <w:rPr>
          <w:rFonts w:ascii="Times New Roman;sans-serif" w:hAnsi="Times New Roman;sans-serif"/>
          <w:b w:val="false"/>
          <w:color w:val="000000"/>
          <w:sz w:val="20"/>
        </w:rPr>
        <w:t>disrupt or shut down our systems</w:t>
      </w:r>
    </w:p>
    <w:p>
      <w:pPr>
        <w:pStyle w:val="TextBody"/>
        <w:bidi w:val="0"/>
        <w:spacing w:lineRule="auto" w:line="276" w:before="0" w:after="0"/>
        <w:ind w:left="0" w:right="0" w:hanging="144"/>
        <w:jc w:val="both"/>
        <w:rPr/>
      </w:pPr>
      <w:r>
        <w:rPr>
          <w:color w:val="000000"/>
        </w:rPr>
        <w:t>•</w:t>
      </w:r>
      <w:r>
        <w:rPr>
          <w:rFonts w:ascii="Times New Roman;sans-serif" w:hAnsi="Times New Roman;sans-serif"/>
          <w:b w:val="false"/>
          <w:color w:val="000000"/>
          <w:sz w:val="20"/>
        </w:rPr>
        <w:t>deny customers, agents, brokers, or others access to our systems,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ind w:left="0" w:right="0" w:hanging="144"/>
        <w:jc w:val="both"/>
        <w:rPr/>
      </w:pPr>
      <w:r>
        <w:rPr>
          <w:color w:val="000000"/>
        </w:rPr>
        <w:t>•</w:t>
      </w:r>
      <w:r>
        <w:rPr>
          <w:rFonts w:ascii="Times New Roman;sans-serif" w:hAnsi="Times New Roman;sans-serif"/>
          <w:b w:val="false"/>
          <w:color w:val="000000"/>
          <w:sz w:val="20"/>
        </w:rPr>
        <w:t>infect our systems with viruses or malware.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We rely on our information technology and telecommunication systems, and the failure of these systems could materially and adversely affect our business.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pStyle w:val="TextBody"/>
        <w:bidi w:val="0"/>
        <w:spacing w:lineRule="auto" w:line="276" w:before="240" w:after="283"/>
        <w:ind w:left="0" w:right="0" w:firstLine="675"/>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Risks Related to Our Common Stock</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fluctuate significantly and be highly volatile and this may make it difficult for stockholders to resell shares of our common stock at the volume, prices and times they find attractive.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be subject to significant fluctuations and be highly volatile, which may make it difficult for stockholders to resell shares of our common stock at the volume, prices and times they find attractive. There are many factors that will impact our stock price and trading volume, including, but not limited to, the factors listed above under “Risks Related to Our Business.”</w:t>
      </w:r>
    </w:p>
    <w:p>
      <w:pPr>
        <w:pStyle w:val="TextBody"/>
        <w:bidi w:val="0"/>
        <w:spacing w:lineRule="auto" w:line="276" w:before="240" w:after="283"/>
        <w:ind w:left="0" w:right="0" w:firstLine="675"/>
        <w:jc w:val="both"/>
        <w:rPr/>
      </w:pPr>
      <w:r>
        <w:rPr>
          <w:rFonts w:ascii="Times New Roman;sans-serif" w:hAnsi="Times New Roman;sans-serif"/>
          <w:b w:val="false"/>
          <w:color w:val="000000"/>
          <w:sz w:val="20"/>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r>
        <w:rPr>
          <w:color w:val="000000"/>
        </w:rPr>
        <w:t xml:space="preserve">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The trading volume in our common stock has been limited. As a result, stockholders may not experience liquidity in their investment in our common stock, thereby potentially limiting their ability to resell their shares at the volume, times and prices they find attractive.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stockholders have reduced liquidity and may not be able to sell their shares at the volume, prices and times that they desire.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There may be future issuances or resales of our common stock which may materially and adversely affect the market price of our common stock.</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stockholders.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have effective registration statements on Form S-8 under the Securities Act of 1933, as amended (the “Securities Act”), covering an aggregate of 2,900,000 shares of our common stock issuable under our Amended and Restated 2014 Equity Participation Plan (the "2014 Plan") and our 2024 Equity Participation Plan (the “2024 Plan”).</w:t>
      </w:r>
    </w:p>
    <w:p>
      <w:pPr>
        <w:pStyle w:val="TextBody"/>
        <w:bidi w:val="0"/>
        <w:spacing w:lineRule="auto" w:line="276" w:before="240" w:after="283"/>
        <w:ind w:left="0" w:right="0" w:firstLine="675"/>
        <w:jc w:val="both"/>
        <w:rPr/>
      </w:pPr>
      <w:r>
        <w:rPr>
          <w:rFonts w:ascii="Times New Roman;sans-serif" w:hAnsi="Times New Roman;sans-serif"/>
          <w:b w:val="false"/>
          <w:color w:val="000000"/>
          <w:sz w:val="20"/>
        </w:rPr>
        <w:t>As of December 31, 2024, options to purchase 281,913 shares of our common stock, and 267,586 shares subject to unvested restricted stock grants, were outstanding under the 2014 Plan an</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 xml:space="preserve">the 2024 Plan and 941.245 shares were reserved for issuance thereunder. The shares issuable pursuant to the registration statements on Form S-8 will be freely tradable in the public market, except for shares held by our affiliates. As of December 31, 2024, there were also outstanding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purchase of 642,025 shares of our common stock. The shares issuable pursuant to an exercise of the warrants may be freely tradeable in the public market under certain circumstances.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2014 Plan terminated in August 2024 and the 2024 Plan terminates in August 2034.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a substantial number of shares of our common stock or securities convertible into, or exchangeable or exercisable for, shares of our common stock, whether directly by us, by selling stockholders in future offerings or by our existing stockholders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board of directors is authorized to designate and issue preferred stock without further stockholder approval, and we may issue other equity and equity-related securities that are senior to our common stock in the future for a number of reasons, including, without limitation, to repay our indebtedness, support operations and growth, maintain our capital ratios, and comply with any future changes in regulatory standards.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and the regulations to which we may be subject may make it more difficult for a third party to acquire control of us, even if the change in control would be beneficial to our stockholders.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stockholders from receiving a premium for their shares of common stock. Our certificate of incorporation provides that our board of directors may issue up to 2,500,000 shares of preferred stock, in one or more series, without stockholder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stockholders.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We do not currently pay dividends.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cash dividends since September 2022. Our future dividend policy will be subject to the discretion of our Board of Directors and will be contingent upon future earnings, if any, our financial condition, capital requirements, general business conditions, and other factors. We can give no assurance that any dividends will be paid to holders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1B</w:t>
      </w:r>
      <w:r>
        <w:rPr>
          <w:rFonts w:ascii="Times New Roman;sans-serif" w:hAnsi="Times New Roman;sans-serif"/>
          <w:b w:val="false"/>
          <w:color w:val="000000"/>
          <w:sz w:val="20"/>
        </w:rPr>
        <w:t xml:space="preserve">. </w:t>
      </w:r>
      <w:r>
        <w:rPr>
          <w:rFonts w:ascii="Times New Roman;sans-serif" w:hAnsi="Times New Roman;sans-serif"/>
          <w:b/>
          <w:color w:val="000000"/>
          <w:sz w:val="20"/>
          <w:u w:val="single"/>
        </w:rPr>
        <w:t>UNRESOLVED STAFF COMMENTS</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1C</w:t>
      </w:r>
      <w:r>
        <w:rPr>
          <w:rFonts w:ascii="Times New Roman;sans-serif" w:hAnsi="Times New Roman;sans-serif"/>
          <w:b w:val="false"/>
          <w:color w:val="000000"/>
          <w:sz w:val="20"/>
        </w:rPr>
        <w:t xml:space="preserve">. </w:t>
      </w:r>
      <w:r>
        <w:rPr>
          <w:rFonts w:ascii="Times New Roman;sans-serif" w:hAnsi="Times New Roman;sans-serif"/>
          <w:b/>
          <w:color w:val="000000"/>
          <w:sz w:val="20"/>
          <w:u w:val="single"/>
        </w:rPr>
        <w:t>CYBERSECURITY.</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KICO’s Risk Management Committee, which is comprised of representatives of its technology team, assesses risks based on probability and potential impact on key business systems and processes. Risks that are considered high are incorporated into its overall risk management program. A mitigation plan is developed for each identified high risk, with progress reported to the Risk Management Committee and tracked as part of its overall risk management program overseen by the Corporate Sustainability and Risk Management Committee of our Board of Directors.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require security training for all employees on a quarterly basis. The training covers a wide range of topics, including phishing, social engineering and data protection.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and identify security risk to the organization by:</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conducting assessments of risk, including likelihood and magnitude, from unauthorized access, use, disclosure, disruption, modification or destruction of information systems and the related information processes, stored or transmitted;</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performing risk assessments and producing security assessment reports that document the results of the assessment for use and review by information technology senior leadership, including the Chief Technology Officer;</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ensuring security controls are assessed for effectiveness, are implemented correctly, operating as intended and producing the desired outcome; and</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continuously scanning for vulnerabilities and remedying all vulnerabilities in accordance with the associated risk.</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 material cybersecurity breach in the past five years and, as a result, there have been no charges related to a breach in the past five years. Moreover, no risks from cybersecurity threats have materially affected our business strategy, results of operations, or financial condition. While we have implemented processes and procedures that we believe are tailored to address and mitigate the cybersecurity threats that we face, there can be no assurances that such an incident will not occur despite our efforts, as more fully described in Item 1A (“Risk Factors – Our business could be adversely affected by a security breach or other attack involving our computer systems or those of one or more of our vendors.”) in this Annual Report.</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Monitoring</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 continuous monitoring strategy and program, which includes:</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 set of defined security metrics to be monitored;</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performance of security control assessments on an ongoing basis;</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addressing results of analysis and reporting security status to the executive team;</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monitoring information systems to detect attacks and indicators of potential attacks;</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identification of unauthorized use of the information system resources; and</w:t>
      </w:r>
    </w:p>
    <w:p>
      <w:pPr>
        <w:pStyle w:val="TextBody"/>
        <w:bidi w:val="0"/>
        <w:spacing w:lineRule="auto" w:line="276" w:before="0" w:after="0"/>
        <w:ind w:left="0" w:right="0" w:hanging="1170"/>
        <w:jc w:val="both"/>
        <w:rPr/>
      </w:pPr>
      <w:r>
        <w:rPr>
          <w:color w:val="000000"/>
        </w:rPr>
        <w:t>•</w:t>
      </w:r>
      <w:r>
        <w:rPr>
          <w:rFonts w:ascii="Times New Roman;sans-serif" w:hAnsi="Times New Roman;sans-serif"/>
          <w:b w:val="false"/>
          <w:color w:val="000000"/>
          <w:sz w:val="20"/>
        </w:rPr>
        <w:t>deployment of monitoring devices strategically within the information system environment.</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Sustainability and Risk Management Committee of the Board of Directors has been delegated the power and authority to oversee and make recommendations to the Board with regard to our overall approach to risks relating to business operations, including with regard to information technology and cybersecurity. In a presentation from our Chief Technology Officer, the committee received information regarding our approach to cybersecurity, which included the following topics: the confidentiality of nonpublic information and the integrity and security of our information system, the cybersecurity policies and procedures, material cybersecurity risks to us, and the overall effectiveness of our cybersecurity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2</w:t>
      </w:r>
      <w:r>
        <w:rPr>
          <w:rFonts w:ascii="Times New Roman;sans-serif" w:hAnsi="Times New Roman;sans-serif"/>
          <w:b/>
          <w:color w:val="000000"/>
          <w:sz w:val="20"/>
        </w:rPr>
        <w:t xml:space="preserve">. </w:t>
      </w:r>
      <w:r>
        <w:rPr>
          <w:rFonts w:ascii="Times New Roman;sans-serif" w:hAnsi="Times New Roman;sans-serif"/>
          <w:b/>
          <w:color w:val="000000"/>
          <w:sz w:val="20"/>
          <w:u w:val="single"/>
        </w:rPr>
        <w:t>PROPERTIES</w:t>
      </w:r>
      <w:r>
        <w:rPr>
          <w:rFonts w:ascii="Times New Roman;sans-serif" w:hAnsi="Times New Roman;sans-serif"/>
          <w:b w:val="false"/>
          <w:color w:val="000000"/>
          <w:sz w:val="20"/>
        </w:rPr>
        <w:t>.</w:t>
      </w:r>
      <w:r>
        <w:rPr>
          <w:color w:val="000000"/>
        </w:rPr>
        <w:t xml:space="preser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currently located at 15 Joys Lane, Kingston, New York 12401. Our insurance underwriting business is located principally at 15 Joys Lane, Kingston, New York 12401. Until March 2024, our insurance underwriting business also maintained an executive office located at 70 East Sunrise Highway, Valley Stream, New York 11581, at which we leased 4,985 square feet of space. In March 2024, the lease expired and was not renewed.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own the building and the surrounding property at which our insurance underwriting business principally operates, free of mortgage. The property consists of a complex which includes the office building discussed above, a house and vacant land located in Kingston, New York. In late 2023, the property was rezoned to allow for residential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68" w:before="240" w:after="283"/>
        <w:ind w:left="0" w:right="0" w:firstLine="67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February 2025, 15 Joys Lane LLC, our subsidiary, entered into a contract of sale with Ulster County, New York (the “County”) for the sale to the County of our headquarters building in Kingston, New York, along with an adjacent mixed-use property (collectively, the “Property”) . The purchase price for the Property is $3,600,000. The closing of the sale is anticipated to take place in March 2025, subject to the satisfaction of the conditions to the closing.</w:t>
      </w:r>
    </w:p>
    <w:p>
      <w:pPr>
        <w:pStyle w:val="TextBody"/>
        <w:bidi w:val="0"/>
        <w:spacing w:lineRule="auto" w:line="268" w:before="240" w:after="283"/>
        <w:ind w:left="0" w:right="0" w:firstLine="67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March 1, 2025, we have leased new principal executive office space at 120 Wood Road, Kingston, New York 12401. The new offices are held pursuant to a lease which expires on March 31, 2030 with a five year renewal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3.</w:t>
      </w:r>
      <w:r>
        <w:rPr>
          <w:color w:val="000000"/>
        </w:rPr>
        <w:t xml:space="preserve"> </w:t>
      </w:r>
      <w:r>
        <w:rPr>
          <w:rFonts w:ascii="Times New Roman;sans-serif" w:hAnsi="Times New Roman;sans-serif"/>
          <w:b/>
          <w:color w:val="000000"/>
          <w:sz w:val="20"/>
          <w:u w:val="single"/>
        </w:rPr>
        <w:t>LEGAL PROCEEDINGS</w:t>
      </w:r>
      <w:r>
        <w:rPr>
          <w:rFonts w:ascii="Times New Roman;sans-serif" w:hAnsi="Times New Roman;sans-serif"/>
          <w:b/>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4.</w:t>
      </w:r>
      <w:r>
        <w:rPr>
          <w:color w:val="000000"/>
        </w:rPr>
        <w:t xml:space="preserve"> </w:t>
      </w:r>
      <w:r>
        <w:rPr>
          <w:rFonts w:ascii="Times New Roman;sans-serif" w:hAnsi="Times New Roman;sans-serif"/>
          <w:b/>
          <w:color w:val="000000"/>
          <w:sz w:val="20"/>
          <w:u w:val="single"/>
        </w:rPr>
        <w:t>MINE SAFETY DISCLOSURES</w:t>
      </w:r>
      <w:r>
        <w:rPr>
          <w:rFonts w:ascii="Times New Roman;sans-serif" w:hAnsi="Times New Roman;sans-serif"/>
          <w:b/>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5.MARKET FOR REGISTRANT’S COMMON EQUITY, RELATED STOCKHOLDER MATTERS AND ISSUER PURCHASES OF EQUITY SECURITIES</w:t>
      </w:r>
      <w:r>
        <w:rPr>
          <w:rFonts w:ascii="Times New Roman;sans-serif" w:hAnsi="Times New Roman;sans-serif"/>
          <w:b w:val="false"/>
          <w:color w:val="000000"/>
          <w:sz w:val="20"/>
        </w:rPr>
        <w:t>.</w:t>
      </w:r>
      <w:r>
        <w:rPr>
          <w:color w:val="000000"/>
        </w:rPr>
        <w:t xml:space="preserve">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quoted on The Nasdaq Capital Market under the symbol “KINS.”</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Holders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12, 2025, there were 210 record holders of our common stock.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are entitled to dividends when, as and if declared by our Board of Directors out of funds legally available. We paid a cash dividend in each quarter from September 2011 through September 2022. On November 11, 2022, our Board of Directors determined to suspend regular quarterly dividends due to the need to retain cash to repay indebtedness.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be paid to holders of our common stock.</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pay dividends depends, in part, on the ability of KICO to pay dividends to us. KICO, as an insurance subsidiary, is subject to significant regulatory restrictions limiting its ability to declare and pay dividends. In addition, there are restrictions related to surplus and net investment income. Without the prior approval of the DFS, dividends may be paid by insurance carriers from unassigned surplus and are restricted to the lesser of 10% of surplus or 100% of investment income (on a statutory accounting basis) for the trailing 36 months, less dividends paid by KICO during such period. As of December 31, 2023, KICO was not able pay any dividends to us without prior regulatory approval due to negative unassigned surplus of approximately $7,662,000. As of December 31, 2024 KICO had unassigned surplus of approximately $13,658,000. KICO has an agreement with DFS that KICO may only pay dividends up to $12,000,000 to us for purposes of paying operating expenses and debt obligations. See “Business – Government Regulation”, “Risk Factors – As a holding company, we are dependent on the results of operations of our subsidiary, KICO; there are restrictions on the payment of dividends by KICO” and “Management’s Discussion and Analysis of Financial Condition and Results of Operation – Liquidity” in Items 1, 1A and 7, respectively, of this Annual Report.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pursuant to the 2022 Exchange Agreement and the 2024 Exchange Agreement, we were not permitted to pay any cash dividends without the approval of the holders of a majority of the outstanding principal amount of the 2022 Notes and the 2024 Notes. The 2022 Notes were exchanged in part for the 2024 Notes, and the 2024 Notes were paid in full on February 25, 2025.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6</w:t>
      </w:r>
      <w:r>
        <w:rPr>
          <w:rFonts w:ascii="Times New Roman;sans-serif" w:hAnsi="Times New Roman;sans-serif"/>
          <w:b w:val="false"/>
          <w:color w:val="000000"/>
          <w:sz w:val="20"/>
        </w:rPr>
        <w:t xml:space="preserve">. </w:t>
      </w:r>
      <w:r>
        <w:rPr>
          <w:rFonts w:ascii="Times New Roman;sans-serif" w:hAnsi="Times New Roman;sans-serif"/>
          <w:b/>
          <w:color w:val="000000"/>
          <w:sz w:val="20"/>
          <w:u w:val="single"/>
        </w:rPr>
        <w:t>RESERVED</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7</w:t>
      </w:r>
      <w:r>
        <w:rPr>
          <w:rFonts w:ascii="Times New Roman;sans-serif" w:hAnsi="Times New Roman;sans-serif"/>
          <w:b/>
          <w:color w:val="000000"/>
          <w:sz w:val="20"/>
        </w:rPr>
        <w:t xml:space="preserve">. </w:t>
      </w:r>
      <w:r>
        <w:rPr>
          <w:rFonts w:ascii="Times New Roman;sans-serif" w:hAnsi="Times New Roman;sans-serif"/>
          <w:b/>
          <w:color w:val="000000"/>
          <w:sz w:val="20"/>
          <w:u w:val="single"/>
        </w:rPr>
        <w:t>MANAGEMENT’S DISCUSSION AND ANALYSIS OF FINANCIAL CONDITION AND RESULTS OF OPERATIONS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largest writer of homeowners insurance in New York. KICO is also licensed in the states of New Jersey, Rhode Island, Massachusetts, Connecticut, Pennsylvania, New Hampshire, and Maine. For the years ended December 31, 2024 and 2023, respectively, 96.0% and 88.3% of KICO’s direct written premiums came from the New York policies. We refer to our New York business as our “Core” business and the business outside of New York as our “non-Core” business.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our corporate expenses as a holding company. These corporate expenses include legal and auditing fees, executive employment costs, and other costs directly associated with being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Principal Revenue and Expense Items </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Net premiums earned:</w:t>
      </w:r>
      <w:r>
        <w:rPr>
          <w:color w:val="000000"/>
        </w:rPr>
        <w:t xml:space="preserve"> </w:t>
      </w:r>
      <w:r>
        <w:rPr>
          <w:rFonts w:ascii="Times New Roman;sans-serif" w:hAnsi="Times New Roman;sans-serif"/>
          <w:b w:val="false"/>
          <w:color w:val="000000"/>
          <w:sz w:val="20"/>
        </w:rPr>
        <w:t>Net premiums earned is the earned portion of our written premiums, less that portion of premium that is ceded to third party 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2023, we would earn half of the premiums in 2023 and the other half in 2024.</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Ceding commission revenue:</w:t>
      </w:r>
      <w:r>
        <w:rPr>
          <w:color w:val="000000"/>
        </w:rPr>
        <w:t xml:space="preserve"> </w:t>
      </w:r>
      <w:r>
        <w:rPr>
          <w:rFonts w:ascii="Times New Roman;sans-serif" w:hAnsi="Times New Roman;sans-serif"/>
          <w:b w:val="false"/>
          <w:color w:val="000000"/>
          <w:sz w:val="20"/>
        </w:rPr>
        <w:t>Commissions on reinsurance premiums ceded to quota share treaties are earned in a manner consistent with the recognition of the direct acquisition costs of the underlying insurance policies, generally on a pro-rata basis over the terms of the policies reinsured.</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Net investment income and net gains (losses) on investments:</w:t>
      </w:r>
      <w:r>
        <w:rPr>
          <w:color w:val="000000"/>
        </w:rPr>
        <w:t xml:space="preserve"> </w:t>
      </w:r>
      <w:r>
        <w:rPr>
          <w:rFonts w:ascii="Times New Roman;sans-serif" w:hAnsi="Times New Roman;sans-serif"/>
          <w:b w:val="false"/>
          <w:color w:val="000000"/>
          <w:sz w:val="20"/>
        </w:rPr>
        <w:t>We invest in cash and cash equivalents, short-term investments, fixed-maturity and equity securities, and other investments.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(loss) income on our balance sheet while our equity securities and other investments report changes in fair value through earnings. See Note 2 in the accompanying consolidated financial statements for a further discussion of our accounting policies following Item 16 of this Annual Report.</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 xml:space="preserve">We recognize installment fee income and fees charged to reinstate a policy after it has been cancelled for non-payment.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pPr>
      <w:r>
        <w:rPr>
          <w:rFonts w:ascii="Times New Roman;sans-serif" w:hAnsi="Times New Roman;sans-serif"/>
          <w:b/>
          <w:i/>
          <w:color w:val="000000"/>
          <w:sz w:val="20"/>
        </w:rPr>
        <w:t>Loss and loss adjustment expenses incurred:</w:t>
      </w:r>
      <w:r>
        <w:rPr>
          <w:color w:val="000000"/>
        </w:rPr>
        <w:t xml:space="preserve"> </w:t>
      </w:r>
      <w:r>
        <w:rPr>
          <w:rFonts w:ascii="Times New Roman;sans-serif" w:hAnsi="Times New Roman;sans-serif"/>
          <w:b w:val="false"/>
          <w:color w:val="000000"/>
          <w:sz w:val="20"/>
        </w:rPr>
        <w:t>Loss and LAE incurred represent our largest expense item, and for any given reporting period include 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Commission expenses and other underwriting expenses:</w:t>
      </w:r>
      <w:r>
        <w:rPr>
          <w:color w:val="000000"/>
        </w:rPr>
        <w:t xml:space="preserve"> </w:t>
      </w:r>
      <w:r>
        <w:rPr>
          <w:rFonts w:ascii="Times New Roman;sans-serif" w:hAnsi="Times New Roman;sans-serif"/>
          <w:b w:val="false"/>
          <w:color w:val="000000"/>
          <w:sz w:val="20"/>
        </w:rPr>
        <w:t>Other underwriting expenses include policy acquisition costs and other expenses related to the 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Other operating expenses:</w:t>
      </w:r>
      <w:r>
        <w:rPr>
          <w:color w:val="000000"/>
        </w:rPr>
        <w:t xml:space="preserve"> </w:t>
      </w:r>
      <w:r>
        <w:rPr>
          <w:rFonts w:ascii="Times New Roman;sans-serif" w:hAnsi="Times New Roman;sans-serif"/>
          <w:b w:val="false"/>
          <w:color w:val="000000"/>
          <w:sz w:val="20"/>
        </w:rPr>
        <w:t xml:space="preserve">Other operating expenses include the corporate expenses of our holding company, Kingstone Companies, Inc. These expenses include executive employment costs, legal and auditing fees, and other costs directly associated with being a public company. </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Stock-based compensation:</w:t>
      </w:r>
      <w:r>
        <w:rPr>
          <w:color w:val="000000"/>
        </w:rPr>
        <w:t xml:space="preserve"> </w:t>
      </w:r>
      <w:r>
        <w:rPr>
          <w:rFonts w:ascii="Times New Roman;sans-serif" w:hAnsi="Times New Roman;sans-serif"/>
          <w:b w:val="false"/>
          <w:color w:val="000000"/>
          <w:sz w:val="20"/>
        </w:rPr>
        <w:t>Non-cash equity compensation includes the fair value of stock grants issued to our directors, officers and employees, and amortization of stock options issued to the same.</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includes the amortization of intangibles related to the acquisition of KICO, depreciation of the real estate used in KICO’s operations, as well as depreciation of capital expenditures for information technology projects, office equipment and furniture.</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Interest expense:</w:t>
      </w:r>
      <w:r>
        <w:rPr>
          <w:color w:val="000000"/>
        </w:rPr>
        <w:t xml:space="preserve"> </w:t>
      </w:r>
      <w:r>
        <w:rPr>
          <w:rFonts w:ascii="Times New Roman;sans-serif" w:hAnsi="Times New Roman;sans-serif"/>
          <w:b w:val="false"/>
          <w:color w:val="000000"/>
          <w:sz w:val="20"/>
        </w:rPr>
        <w:t>Interest expense represents amounts we incur on our outstanding indebtedness at the applicable interest rates. Interest expense also includes amortization of debt discount and issuance costs.</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We incur federal income tax expense on our consolidated statement of operations as well as state income tax expense for our non-insurance underwriting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Product Lines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lines include the following:</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Personal lines:</w:t>
      </w:r>
      <w:r>
        <w:rPr>
          <w:color w:val="000000"/>
        </w:rPr>
        <w:t xml:space="preserve"> </w:t>
      </w:r>
      <w:r>
        <w:rPr>
          <w:rFonts w:ascii="Times New Roman;sans-serif" w:hAnsi="Times New Roman;sans-serif"/>
          <w:b w:val="false"/>
          <w:color w:val="000000"/>
          <w:sz w:val="20"/>
        </w:rPr>
        <w:t>Our largest line of business is personal lines, consisting of homeowners, dwelling fire, cooperative/condominium, renters, and personal umbrella policies.</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Commercial liability:</w:t>
      </w:r>
      <w:r>
        <w:rPr>
          <w:color w:val="000000"/>
        </w:rPr>
        <w:t xml:space="preserve"> </w:t>
      </w:r>
      <w:r>
        <w:rPr>
          <w:rFonts w:ascii="Times New Roman;sans-serif" w:hAnsi="Times New Roman;sans-serif"/>
          <w:b w:val="false"/>
          <w:color w:val="000000"/>
          <w:sz w:val="20"/>
        </w:rPr>
        <w:t>Through July 2019, we offered businessowners policies, which consist primarily of small business retail, service, and office 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December 31, 2024 and 2023, there were no commercial liability policies in-force. As of December 31, 2024, these expired policies represent approximately 14.4% of loss and LAE reserves net of reinsurance recoverables. See discussion below under “Additional Financial Information”.</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Livery physical damage:</w:t>
      </w:r>
      <w:r>
        <w:rPr>
          <w:color w:val="000000"/>
        </w:rPr>
        <w:t xml:space="preserve"> </w:t>
      </w:r>
      <w:r>
        <w:rPr>
          <w:rFonts w:ascii="Times New Roman;sans-serif" w:hAnsi="Times New Roman;sans-serif"/>
          <w:b w:val="false"/>
          <w:color w:val="000000"/>
          <w:sz w:val="20"/>
        </w:rPr>
        <w:t>We write for-hire vehicle physical damage only policies for livery and car service vehicles and taxicabs. These policies insure only the physical damage portion of insurance for such vehicles, with no liability coverage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pPr>
      <w:r>
        <w:rPr>
          <w:rFonts w:ascii="Times New Roman;sans-serif" w:hAnsi="Times New Roman;sans-serif"/>
          <w:b/>
          <w:i/>
          <w:color w:val="000000"/>
          <w:sz w:val="20"/>
        </w:rPr>
        <w:t xml:space="preserve">Other: </w:t>
      </w:r>
      <w:r>
        <w:rPr>
          <w:rFonts w:ascii="Times New Roman;sans-serif" w:hAnsi="Times New Roman;sans-serif"/>
          <w:b w:val="false"/>
          <w:color w:val="000000"/>
          <w:sz w:val="20"/>
        </w:rPr>
        <w:t>We write canine legal liability policies and have a small participation in mandatory state joint underwriting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Key GAAP and Non-GAAP Measures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the following key GAAP and non-GAAP measures in analyzing the results of our insurance underwriting business. See "Non-GAAP Financial Measures" for a reconciliation of the below non-GAAP measures to the most directly comparable GAAP measure: </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 xml:space="preserve">Net loss ratio: </w:t>
      </w:r>
      <w:r>
        <w:rPr>
          <w:rFonts w:ascii="Times New Roman;sans-serif" w:hAnsi="Times New Roman;sans-serif"/>
          <w:b w:val="false"/>
          <w:color w:val="000000"/>
          <w:sz w:val="20"/>
        </w:rPr>
        <w:t>The net loss ratio is a measure of the underwriting profitability of an insurance company’s business. Expressed as a percentage, this is the ratio of net losses and LAE incurred to net premiums earned.</w:t>
      </w:r>
    </w:p>
    <w:p>
      <w:pPr>
        <w:pStyle w:val="TextBody"/>
        <w:bidi w:val="0"/>
        <w:spacing w:lineRule="auto" w:line="268" w:before="240" w:after="283"/>
        <w:ind w:left="0" w:right="0" w:firstLine="720"/>
        <w:jc w:val="both"/>
        <w:rPr/>
      </w:pPr>
      <w:r>
        <w:rPr>
          <w:rFonts w:ascii="Times New Roman;sans-serif" w:hAnsi="Times New Roman;sans-serif"/>
          <w:b/>
          <w:i/>
          <w:color w:val="000000"/>
          <w:sz w:val="20"/>
        </w:rPr>
        <w:t xml:space="preserve">Underlying loss ratio: </w:t>
      </w:r>
      <w:r>
        <w:rPr>
          <w:rFonts w:ascii="Times New Roman;sans-serif" w:hAnsi="Times New Roman;sans-serif"/>
          <w:b w:val="false"/>
          <w:color w:val="000000"/>
          <w:sz w:val="20"/>
        </w:rPr>
        <w:t>The underlying loss ratio is a non-GAAP ratio, which is computed as the GAAP net loss ratio excluding the effect of prior year loss reserve 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Net loss ratio excluding the effect of catastrophes:</w:t>
      </w:r>
      <w:r>
        <w:rPr>
          <w:color w:val="000000"/>
        </w:rPr>
        <w:t xml:space="preserve"> </w:t>
      </w:r>
      <w:r>
        <w:rPr>
          <w:rFonts w:ascii="Times New Roman;sans-serif" w:hAnsi="Times New Roman;sans-serif"/>
          <w:b w:val="false"/>
          <w:color w:val="000000"/>
          <w:sz w:val="18"/>
        </w:rPr>
        <w:t>The n</w:t>
      </w:r>
      <w:r>
        <w:rPr>
          <w:rFonts w:ascii="Times New Roman;sans-serif" w:hAnsi="Times New Roman;sans-serif"/>
          <w:b w:val="false"/>
          <w:color w:val="000000"/>
          <w:sz w:val="20"/>
        </w:rPr>
        <w:t>et loss ratio excluding the effect of catastrophes is a non-GAAP ratio, which is computed as the difference between the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Net loss ratio excluding commercial lines business:</w:t>
      </w:r>
      <w:r>
        <w:rPr>
          <w:color w:val="000000"/>
        </w:rPr>
        <w:t xml:space="preserve"> </w:t>
      </w:r>
      <w:r>
        <w:rPr>
          <w:rFonts w:ascii="Times New Roman;sans-serif" w:hAnsi="Times New Roman;sans-serif"/>
          <w:b w:val="false"/>
          <w:color w:val="000000"/>
          <w:sz w:val="18"/>
        </w:rPr>
        <w:t>The n</w:t>
      </w:r>
      <w:r>
        <w:rPr>
          <w:rFonts w:ascii="Times New Roman;sans-serif" w:hAnsi="Times New Roman;sans-serif"/>
          <w:b w:val="false"/>
          <w:color w:val="000000"/>
          <w:sz w:val="20"/>
        </w:rPr>
        <w:t>et loss ratio excluding commercial lines business is a non-GAAP ratio, which is computed as the difference between the GAAP net loss ratio and the effect of commercial lines on the net loss ratio. Management believes that this ratio is useful to investors, and it is used by management to reveal the trends in our business that may be obscured by losses from commercial lines business. Our commercial lines business has been in run-off effective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Net underwriting expense ratio:</w:t>
      </w:r>
      <w:r>
        <w:rPr>
          <w:color w:val="000000"/>
        </w:rPr>
        <w:t xml:space="preserve"> </w:t>
      </w:r>
      <w:r>
        <w:rPr>
          <w:rFonts w:ascii="Times New Roman;sans-serif" w:hAnsi="Times New Roman;sans-serif"/>
          <w:b w:val="false"/>
          <w:color w:val="000000"/>
          <w:sz w:val="20"/>
        </w:rPr>
        <w:t>The net underwriting expense ratio is a measure of an insurance company’s operational efficiency in 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Net underwriting expense ratio excluding the effect of catastrophes:</w:t>
      </w:r>
      <w:r>
        <w:rPr>
          <w:color w:val="000000"/>
        </w:rPr>
        <w:t xml:space="preserve"> </w:t>
      </w:r>
      <w:r>
        <w:rPr>
          <w:rFonts w:ascii="Times New Roman;sans-serif" w:hAnsi="Times New Roman;sans-serif"/>
          <w:b w:val="false"/>
          <w:color w:val="000000"/>
          <w:sz w:val="18"/>
        </w:rPr>
        <w:t>The n</w:t>
      </w:r>
      <w:r>
        <w:rPr>
          <w:rFonts w:ascii="Times New Roman;sans-serif" w:hAnsi="Times New Roman;sans-serif"/>
          <w:b w:val="false"/>
          <w:color w:val="000000"/>
          <w:sz w:val="20"/>
        </w:rPr>
        <w:t>et underwriting expense ratio excluding the effect of catastrophes is a non-GAAP ratio, which is computed as the difference between the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cause our net underwriting expense ratios to vary significantly between periods as a result of their incidence of occurrence and magnitude and can have a significant impact on the underwriting expense ratio. Management believes that this measure is useful for investors to evaluate this component separately when reviewing our underwriting performance.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Net combined ratio:</w:t>
      </w:r>
      <w:r>
        <w:rPr>
          <w:color w:val="000000"/>
        </w:rPr>
        <w:t xml:space="preserve"> </w:t>
      </w:r>
      <w:r>
        <w:rPr>
          <w:rFonts w:ascii="Times New Roman;sans-serif" w:hAnsi="Times New Roman;sans-serif"/>
          <w:b w:val="false"/>
          <w:color w:val="000000"/>
          <w:sz w:val="20"/>
        </w:rPr>
        <w:t xml:space="preserve">The net combined ratio is a measure of an insurance company’s overall underwriting profit. This is the sum of the net loss and net underwriting expense ratios. If the net combined ratio is at or above 100 percent,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company cannot be profitable without investment income, and may not be profitable if investment income is insufficient.</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Net combined ratio excluding the effect of catastrophes:</w:t>
      </w:r>
      <w:r>
        <w:rPr>
          <w:color w:val="000000"/>
        </w:rPr>
        <w:t xml:space="preserve"> </w:t>
      </w:r>
      <w:r>
        <w:rPr>
          <w:rFonts w:ascii="Times New Roman;sans-serif" w:hAnsi="Times New Roman;sans-serif"/>
          <w:b w:val="false"/>
          <w:color w:val="000000"/>
          <w:sz w:val="18"/>
        </w:rPr>
        <w:t>The n</w:t>
      </w:r>
      <w:r>
        <w:rPr>
          <w:rFonts w:ascii="Times New Roman;sans-serif" w:hAnsi="Times New Roman;sans-serif"/>
          <w:b w:val="false"/>
          <w:color w:val="000000"/>
          <w:sz w:val="20"/>
        </w:rPr>
        <w:t>et combined ratio excluding the effect of catastrophes is a non-GAAP ratio, which is computed as the difference between the GAAP combined ratio and the effect of catastrophes on the net combined ratio. Management believes that this ratio is useful to investors, and it is used by management to reveal the trends in our business that 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pStyle w:val="TextBody"/>
        <w:bidi w:val="0"/>
        <w:spacing w:lineRule="auto" w:line="276" w:before="240" w:after="283"/>
        <w:ind w:left="0" w:right="0" w:firstLine="675"/>
        <w:jc w:val="both"/>
        <w:rPr/>
      </w:pPr>
      <w:r>
        <w:rPr>
          <w:rFonts w:ascii="Times New Roman;sans-serif" w:hAnsi="Times New Roman;sans-serif"/>
          <w:b/>
          <w:i/>
          <w:color w:val="000000"/>
          <w:sz w:val="20"/>
        </w:rPr>
        <w:t>Underwriting income:</w:t>
      </w:r>
      <w:r>
        <w:rPr>
          <w:color w:val="000000"/>
        </w:rPr>
        <w:t xml:space="preserve"> </w:t>
      </w:r>
      <w:r>
        <w:rPr>
          <w:rFonts w:ascii="Times New Roman;sans-serif" w:hAnsi="Times New Roman;sans-serif"/>
          <w:b w:val="false"/>
          <w:color w:val="000000"/>
          <w:sz w:val="20"/>
        </w:rPr>
        <w:t>Underwriting income is net pre-tax income attributable to our insurance underwriting business before investment activity. 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Net income (loss) from insurance underwriting business on a standalone basis</w:t>
      </w:r>
      <w:r>
        <w:rPr>
          <w:rFonts w:ascii="Times New Roman;sans-serif" w:hAnsi="Times New Roman;sans-serif"/>
          <w:b/>
          <w:i/>
          <w:color w:val="000000"/>
          <w:sz w:val="18"/>
        </w:rPr>
        <w:t xml:space="preserve">: </w:t>
      </w:r>
      <w:r>
        <w:rPr>
          <w:rFonts w:ascii="Times New Roman;sans-serif" w:hAnsi="Times New Roman;sans-serif"/>
          <w:b w:val="false"/>
          <w:color w:val="000000"/>
          <w:sz w:val="20"/>
        </w:rPr>
        <w:t>Net income (loss) from</w:t>
      </w:r>
      <w:r>
        <w:rPr>
          <w:color w:val="000000"/>
        </w:rPr>
        <w:t xml:space="preserve"> </w:t>
      </w:r>
      <w:r>
        <w:rPr>
          <w:rFonts w:ascii="Times New Roman;sans-serif" w:hAnsi="Times New Roman;sans-serif"/>
          <w:b w:val="false"/>
          <w:color w:val="000000"/>
          <w:sz w:val="20"/>
        </w:rPr>
        <w:t>insurance underwriting business on a standalone basis is a non-GAAP measure, which is computed as GAAP net income (loss) without the effect of holding company operations on GAAP net income (loss). Management believes that this measure is useful to investors, and it is used by management to reveal the trends in our insurance underwriting business that may be obscured by holding company operations. Holding company operations cause our GAAP net income (loss) to vary significantly between periods as a result of their magnitude and can have a significant impact on GAAP net income (loss). Management believes that this measure is useful for investors to evaluate this component separately when reviewing our underwriting performance. The most directly comparable GAAP measure is GAAP net income (loss). Net income (loss) from insurance underwriting business on a standalone basis should not be considered a substitute for GAAP net income (loss) and does not reflect our GAAP net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and other factors, in forming its estimates and judgments of certain amounts included in the consolidated financial statements, giving due consideration to materiality. It is possible that the ultimate outcome as anticipated by our management in formulating its estimates in these financial statements may not materialize.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See below a description of these critical accounting estimates. Also, see Note 2 to the consolidated financial statements following Item 16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and Loss Adjustment Expense Reserves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December 31, 2024 and 2023:</w:t>
      </w:r>
    </w:p>
    <w:tbl>
      <w:tblPr>
        <w:tblW w:w="10205" w:type="dxa"/>
        <w:jc w:val="left"/>
        <w:tblInd w:w="0" w:type="dxa"/>
        <w:tblLayout w:type="fixed"/>
        <w:tblCellMar>
          <w:top w:w="28" w:type="dxa"/>
          <w:left w:w="28" w:type="dxa"/>
          <w:bottom w:w="28" w:type="dxa"/>
          <w:right w:w="28" w:type="dxa"/>
        </w:tblCellMar>
      </w:tblPr>
      <w:tblGrid>
        <w:gridCol w:w="512"/>
        <w:gridCol w:w="450"/>
        <w:gridCol w:w="452"/>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55"/>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 2023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Ceded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Ceded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(Components may not sum due to rounding)</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IBNR Reserves – IBNR reserves are estimates of claims that have occurred but as to which we have not yet been notified to establish the case reserve. IBNR is determined using historical information aggregated by line of insurance and adjusted to current conditions. </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Reinsurance</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 </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Income Taxes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is based on GAAP income at statutory tax rates, adjusted for non-taxable and non-deductible items, and tax credits. Changes in estimates used in preparing the consolidated statements of operations and comprehensive income (loss) could result in significant changes to our deferred tax asset or liability.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consolidated statements of operations and comprehensive income (loss), or changes in the enacted tax rate, could result in significant variances between our carried deferred tax and tax recognized on the recovery or settlement of the asset or liability.</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Bonds are classified as held-to-maturity (“HTM”) or available-for-sale (“AFS”), and stocks are generally classified as AFS. Investments classified as HTM are carried at amortized cost, which requires very little judgement. Investments classified as AFS are generally carried at fair value with an unrealized gain/loss recorded in income. Actual results could vary significantly from the fair values recognized in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Kingstone 2.0 (completed), Kingstone 3.0 (underway), and Change in Market Dynamics (underway)</w:t>
      </w:r>
    </w:p>
    <w:p>
      <w:pPr>
        <w:pStyle w:val="TextBody"/>
        <w:bidi w:val="0"/>
        <w:spacing w:lineRule="auto" w:line="28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fourth quarter of 2019, a series of strategic initiatives, coined “Kingstone 2.0”, were commenced to modernize our company. The pillars of the new strategy were as follows: </w:t>
      </w:r>
    </w:p>
    <w:p>
      <w:pPr>
        <w:pStyle w:val="TextBody"/>
        <w:bidi w:val="0"/>
        <w:spacing w:lineRule="auto" w:line="288" w:before="240" w:after="283"/>
        <w:ind w:left="0" w:right="0" w:hanging="1181"/>
        <w:jc w:val="both"/>
        <w:rPr>
          <w:rFonts w:ascii="Times New Roman;sans-serif" w:hAnsi="Times New Roman;sans-serif"/>
          <w:b w:val="false"/>
          <w:color w:val="000000"/>
          <w:sz w:val="20"/>
        </w:rPr>
      </w:pPr>
      <w:r>
        <w:rPr>
          <w:rFonts w:ascii="Times New Roman;sans-serif" w:hAnsi="Times New Roman;sans-serif"/>
          <w:b w:val="false"/>
          <w:color w:val="000000"/>
          <w:sz w:val="20"/>
        </w:rPr>
        <w:t>1.Strengthen the management team by adding highly qualified professionals with deep domain experience and diverse backgrounds;</w:t>
      </w:r>
    </w:p>
    <w:p>
      <w:pPr>
        <w:pStyle w:val="TextBody"/>
        <w:bidi w:val="0"/>
        <w:spacing w:lineRule="auto" w:line="288" w:before="240" w:after="283"/>
        <w:ind w:left="0" w:right="0" w:hanging="1181"/>
        <w:jc w:val="both"/>
        <w:rPr>
          <w:rFonts w:ascii="Times New Roman;sans-serif" w:hAnsi="Times New Roman;sans-serif"/>
          <w:b w:val="false"/>
          <w:color w:val="000000"/>
          <w:sz w:val="20"/>
        </w:rPr>
      </w:pPr>
      <w:r>
        <w:rPr>
          <w:rFonts w:ascii="Times New Roman;sans-serif" w:hAnsi="Times New Roman;sans-serif"/>
          <w:b w:val="false"/>
          <w:color w:val="000000"/>
          <w:sz w:val="20"/>
        </w:rPr>
        <w:t>2.Reduce expenses and increase efficiency by embracing technology, including converting to a new policy management system, retiring multiple legacy systems and starting up a new claims system, among other technology initiatives;</w:t>
      </w:r>
    </w:p>
    <w:p>
      <w:pPr>
        <w:pStyle w:val="TextBody"/>
        <w:bidi w:val="0"/>
        <w:spacing w:lineRule="auto" w:line="288" w:before="240" w:after="283"/>
        <w:ind w:left="0" w:right="0" w:hanging="1181"/>
        <w:jc w:val="both"/>
        <w:rPr>
          <w:rFonts w:ascii="Times New Roman;sans-serif" w:hAnsi="Times New Roman;sans-serif"/>
          <w:b w:val="false"/>
          <w:color w:val="000000"/>
          <w:sz w:val="20"/>
        </w:rPr>
      </w:pPr>
      <w:r>
        <w:rPr>
          <w:rFonts w:ascii="Times New Roman;sans-serif" w:hAnsi="Times New Roman;sans-serif"/>
          <w:b w:val="false"/>
          <w:color w:val="000000"/>
          <w:sz w:val="20"/>
        </w:rPr>
        <w:t>3.Develop and implement a new, more highly segmented product suite (Kingstone Select) which better matches rate to risk using advanced analytics and an abundance of data; and</w:t>
      </w:r>
    </w:p>
    <w:p>
      <w:pPr>
        <w:pStyle w:val="TextBody"/>
        <w:bidi w:val="0"/>
        <w:spacing w:lineRule="auto" w:line="288" w:before="240" w:after="283"/>
        <w:ind w:left="0" w:right="0" w:hanging="118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4.Better manage our catastrophe exposure in order to reduce the growth rate of our probable maximum loss (“PML”) in order to mitigate the impact of the then emerging “hard market” in catastrophe reinsurance.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announced the substantive completion of Kingstone 2.0 in late 2022 and embarked on a new strategy to optimize our in-force business, which we coined as “Kingstone 3.0”. The four pillars of this new strategy entail: </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1.Aggressively reduced the non-Core book of business, which has had a disproportionately negative impact on underwriting results, by stopping new business, culling the agent base, reducing commissions, or other means, subject to regulatory constraints, and have aggressively reduced policy count. Our request to withdraw from the state of New Jersey was acknowledged in October 2023 and all remaining policies were non-renewed over a two year period starting January 1, 2024. As of December 31, 2024, our non-Core policy count was down by 65% compared to December 31, 2023;</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2.Adjusted pricing to stay ahead of loss trends, including inflation, by filing the maximum annual rate change that can be supported in each state and product and ensured all policyholders were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All policies are renewed at the most current replacement cost. Overall average written premium for our Core renewal policies for the last 12 months, reflecting both rate and replacement cost changes, increased by 17.4%;</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3.Tightly managed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and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4.Continuing expense reduction focus with a goal of reducing the net expense ratio to 33% by year-end 2024. For the year ended December 31, 2023, we achieved our goal of 33%, with a net underwriting expense ratio of 32.9%. For the year ended December 31, 2024, we achieved our goal, with a net underwriting expense ratio of 31.3%, a reduction of 1.6 points compared to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before="240" w:after="283"/>
        <w:ind w:left="0" w:right="0" w:firstLine="675"/>
        <w:jc w:val="both"/>
        <w:rPr/>
      </w:pPr>
      <w:r>
        <w:rPr/>
      </w:r>
    </w:p>
    <w:p>
      <w:pPr>
        <w:pStyle w:val="TextBody"/>
        <w:bidi w:val="0"/>
        <w:spacing w:lineRule="auto" w:line="25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above actions taken resulted in our return to profitability for the year ended December 31, 2024, will continue to have the intended effect and will continue through the year ended December 31, 2025 and beyond.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2024, two large competitors announced a plan to wind down their personal lines operations in New York State and to non-renew or mid-term cancel their entire book of business before year end 2024. The policyholders of such competitors will need to find alternative coverage. Beginning in the quarter ended September 30, 2024, we began seeing a sizable increase in our policies in force and direct written premiums from these non-renewed and cancelled policies. We refer to this new business as a Change in Market Dynamics.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tables below for our Core and non-Core business for policies in force as of December 31, 2024 and 2023 and direct written premiums for the years ended December 31, 2024 and 2023. For the year ended December 31, 2024, our Core direct written premiums increased by 31.4% compared to the year ended December 31, 2023, while Core policies in force increased by 9.3% as of December 31, 2024 as compared to December 31, 2023. For the same periods, our non-Core policies in force decreased by 64.9% and non-Core direct written premiums decreased by 58.5%. </w:t>
      </w:r>
    </w:p>
    <w:tbl>
      <w:tblPr>
        <w:tblW w:w="8346" w:type="dxa"/>
        <w:jc w:val="left"/>
        <w:tblInd w:w="0" w:type="dxa"/>
        <w:tblLayout w:type="fixed"/>
        <w:tblCellMar>
          <w:top w:w="28" w:type="dxa"/>
          <w:left w:w="28" w:type="dxa"/>
          <w:bottom w:w="28" w:type="dxa"/>
          <w:right w:w="28" w:type="dxa"/>
        </w:tblCellMar>
      </w:tblPr>
      <w:tblGrid>
        <w:gridCol w:w="1158"/>
        <w:gridCol w:w="1014"/>
        <w:gridCol w:w="1023"/>
        <w:gridCol w:w="109"/>
        <w:gridCol w:w="109"/>
        <w:gridCol w:w="109"/>
        <w:gridCol w:w="367"/>
        <w:gridCol w:w="369"/>
        <w:gridCol w:w="176"/>
        <w:gridCol w:w="109"/>
        <w:gridCol w:w="109"/>
        <w:gridCol w:w="109"/>
        <w:gridCol w:w="367"/>
        <w:gridCol w:w="369"/>
        <w:gridCol w:w="176"/>
        <w:gridCol w:w="109"/>
        <w:gridCol w:w="109"/>
        <w:gridCol w:w="109"/>
        <w:gridCol w:w="344"/>
        <w:gridCol w:w="346"/>
        <w:gridCol w:w="271"/>
        <w:gridCol w:w="109"/>
        <w:gridCol w:w="109"/>
        <w:gridCol w:w="109"/>
        <w:gridCol w:w="293"/>
        <w:gridCol w:w="293"/>
        <w:gridCol w:w="472"/>
      </w:tblGrid>
      <w:tr>
        <w:trPr/>
        <w:tc>
          <w:tcPr>
            <w:tcW w:w="11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319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Policies In Force, as of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policies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77,656</w:t>
            </w:r>
            <w:r>
              <w:rPr>
                <w:color w:val="000000"/>
              </w:rPr>
              <w:t> </w:t>
            </w:r>
          </w:p>
        </w:tc>
        <w:tc>
          <w:tcPr>
            <w:tcW w:w="17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78,398</w:t>
            </w:r>
            <w:r>
              <w:rPr>
                <w:color w:val="000000"/>
              </w:rPr>
              <w:t> </w:t>
            </w:r>
          </w:p>
        </w:tc>
        <w:tc>
          <w:tcPr>
            <w:tcW w:w="17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(742)</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35" w:type="dxa"/>
        <w:jc w:val="left"/>
        <w:tblInd w:w="0" w:type="dxa"/>
        <w:tblLayout w:type="fixed"/>
        <w:tblCellMar>
          <w:top w:w="28" w:type="dxa"/>
          <w:left w:w="28" w:type="dxa"/>
          <w:bottom w:w="28" w:type="dxa"/>
          <w:right w:w="28" w:type="dxa"/>
        </w:tblCellMar>
      </w:tblPr>
      <w:tblGrid>
        <w:gridCol w:w="967"/>
        <w:gridCol w:w="849"/>
        <w:gridCol w:w="853"/>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91"/>
        <w:gridCol w:w="294"/>
        <w:gridCol w:w="595"/>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(000’s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shd w:fill="FFFFFF" w:val="clear"/>
              </w:rPr>
              <w:t>Percent</w:t>
            </w:r>
            <w:r>
              <w:rPr>
                <w:color w:val="000000"/>
                <w:shd w:fill="FFFFFF" w:val="clear"/>
              </w:rPr>
              <w:t xml:space="preserve"> </w:t>
            </w:r>
          </w:p>
        </w:tc>
      </w:tr>
      <w:tr>
        <w:trPr/>
        <w:tc>
          <w:tcPr>
            <w:tcW w:w="26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Direct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595"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Non-Core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5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direct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241,980</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200,175</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41,805</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5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(Columns in the table above may not sum to totals due to rounding)</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results of our operations for the periods indicated:</w:t>
      </w:r>
    </w:p>
    <w:tbl>
      <w:tblPr>
        <w:tblW w:w="10205" w:type="dxa"/>
        <w:jc w:val="left"/>
        <w:tblInd w:w="0" w:type="dxa"/>
        <w:tblLayout w:type="fixed"/>
        <w:tblCellMar>
          <w:top w:w="28" w:type="dxa"/>
          <w:left w:w="28" w:type="dxa"/>
          <w:bottom w:w="28" w:type="dxa"/>
          <w:right w:w="28" w:type="dxa"/>
        </w:tblCellMar>
      </w:tblPr>
      <w:tblGrid>
        <w:gridCol w:w="1535"/>
        <w:gridCol w:w="1319"/>
        <w:gridCol w:w="1324"/>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308"/>
        <w:gridCol w:w="308"/>
        <w:gridCol w:w="397"/>
        <w:gridCol w:w="196"/>
        <w:gridCol w:w="196"/>
        <w:gridCol w:w="281"/>
      </w:tblGrid>
      <w:tr>
        <w:trPr/>
        <w:tc>
          <w:tcPr>
            <w:tcW w:w="153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Change</w:t>
            </w:r>
            <w:r>
              <w:rPr>
                <w:color w:val="000000"/>
              </w:rPr>
              <w:t xml:space="preserve">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16"/>
              </w:rPr>
              <w:t xml:space="preserve">Percent </w:t>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Assumed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241,980 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200,175 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to quota share treaties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to excess of loss treaties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to catastrophe treaties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ceded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87,750 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91,518 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and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to quota share treaties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net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and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to reinsurance treaties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128,498 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114,384 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Ceding commission revenue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155,142 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144,191 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and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and loss adjustment expenses excluding the effect of catastrophes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from catastrophes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direct and assumed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123,940 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and loss adjustment expenses excluding the effect of catastrophes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from catastrophes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ceded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and loss adjustment expenses excluding the effect of catastrophes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from catastrophes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(69.9 </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82,849 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underwriting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3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131,854 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151,556 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(6,168)</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24,526 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(Columns in the table above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(1)For the year ended December 31, 2023 , our personal lines business was subject to a 30% quota share treaty, expiring on January 1, 2024, which included a runoff of an 5.5% portion through the remainder of 2023. Effective January 1, 2024, we entered into a 27% personal lines quota share treaty, which includes a runoff of a 3.0% portion through the end of 2024.</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(2)For the years ended December 31, 2024 and 2023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tbl>
      <w:tblPr>
        <w:tblW w:w="9648" w:type="dxa"/>
        <w:jc w:val="left"/>
        <w:tblInd w:w="0" w:type="dxa"/>
        <w:tblLayout w:type="fixed"/>
        <w:tblCellMar>
          <w:top w:w="28" w:type="dxa"/>
          <w:left w:w="28" w:type="dxa"/>
          <w:bottom w:w="28" w:type="dxa"/>
          <w:right w:w="28" w:type="dxa"/>
        </w:tblCellMar>
      </w:tblPr>
      <w:tblGrid>
        <w:gridCol w:w="951"/>
        <w:gridCol w:w="836"/>
        <w:gridCol w:w="838"/>
        <w:gridCol w:w="255"/>
        <w:gridCol w:w="256"/>
        <w:gridCol w:w="292"/>
        <w:gridCol w:w="109"/>
        <w:gridCol w:w="109"/>
        <w:gridCol w:w="109"/>
        <w:gridCol w:w="307"/>
        <w:gridCol w:w="309"/>
        <w:gridCol w:w="292"/>
        <w:gridCol w:w="109"/>
        <w:gridCol w:w="109"/>
        <w:gridCol w:w="109"/>
        <w:gridCol w:w="839"/>
        <w:gridCol w:w="839"/>
        <w:gridCol w:w="841"/>
        <w:gridCol w:w="109"/>
        <w:gridCol w:w="109"/>
        <w:gridCol w:w="109"/>
        <w:gridCol w:w="320"/>
        <w:gridCol w:w="320"/>
        <w:gridCol w:w="800"/>
        <w:gridCol w:w="109"/>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Percentage Point Difference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Percent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Key ratios:</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ratio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9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8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Direct Written Premiums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written premiums during the year ended December 31, 2024 (“Year Ended 2024”) were $241,980,000 compared to $200,175,000 during the year ended December 31, 2023 (“Year Ended 2023”). The increase of $41,805,000, or 20.9%, was primarily due to an increase in premiums from our personal lines business.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written premiums from our personal lines business for Year Ended 2024 were $227,643,000, an increase of $42,217,000 or 22.8%, from $185,426,000 in Year Ended 2023. The 22.8% increase in premiums from our personal lines business was primarily due to the increase in premiums associated with our Core business of 31.4% offsetting a 58.5% decrease in our non-Core business. The increase in our Core business premiums and the decrease in our non-Core business premiums is in accordance with both our Kingstone 2.0 and Kingstone 3.0 strategic plans. Beginning in the third quarter, 2024, the Change in Market Dynamics became a major factor to the increase in direct written premiums from our personal line business.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written premiums from our livery physical damage business for Year Ended 2024 were $14,248,000, a decrease of $400,000, or 2.7%, from $14,648,000 in Year Ended 2023. The decrease in livery physical damage direct written premiums was due to an underwriting restriction in place to exclude certain electric vehicles until the approval of adequate rate for the risk was received, which happened in July 2024. The decrease was offset by an increase in the values of the autos insured.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written premiums from our Core business were $232,227,000 in Year Ended 2024 compared to $176,692,000 in Year Ended 2023, an increase of $55,535,000, or 31.4%. The increase in direct written premiums from our Core business was due to rate increases and an increase in policies in force. Policies in force from our Core business increased by 9.3% in Year Ended 2024 compared to Year Ended 2023. Direct written premiums from our non-Core business were $9,753,000 in Year Ended 2024, as compared to $23,482,000 in Year Ended 2023, a decrease of $13,729,000, or 58.5%. The decrease in direct written premiums from our non-Core business is a result of our decision to aggressively reduce the book of business in these states. Policies in force from our non-Core business decreased by 64.9% in Year Ended 2024 compared to Year Ended 2023. The increase in our Core business and the decrease in our non-Core business is consistent with a key pillar of our Kingstone 3.0 strategy to reduce our non-Core business due to profitability concerns.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Written Premiums and Net Premiums Earned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Net written premiums increased $45,573,000, or 41.9%, to $154,230,000 in Year Ended 2024 from $108,657,000 in Year Ended 2023. Net written premiums include direct premiums, less the amount of written premiums ceded under our reinsurance treaties (quota share, excess of loss, and catastrophe). The increase in Year Ended 2024 is primarily due to an increase in direct written premiums and a decrease in catastrophe premium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Quota share reinsurance treaties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we entered into a 30% quota share reinsurance treaty for our personal lines business, covering the period from January 1, 2023 through January 1, 2024 (“2023/2024 Treaty”). Upon expiration of the 2023/2024 Treaty on January 1, 2024 we entered into a new 27% quota share reinsurance treaty for our personal lines business, covering the period from January 1, 2024 through January 1, 2025 ("2024/2025 Treaty"). Our personal lines business was subject to the 2024/2025 Treaty in the Year Ended 2024 and the 2023/2024 Treaty in the Year Ended 2023. Our premiums ceded under the quota share treaties decreased by $586,000 in comparison to premiums attributable to the increase in direct written premiums subject to the 2024/2025 Treaty compared to direct written premiums subject to the 2023/2024 Treaty. The decrease in ceded premiums related to the increase in direct written premiums was offset by the decrease in quota share ceding percentage rates.</w:t>
      </w:r>
    </w:p>
    <w:p>
      <w:pPr>
        <w:pStyle w:val="TextBody"/>
        <w:bidi w:val="0"/>
        <w:spacing w:lineRule="auto" w:line="288" w:before="240" w:after="283"/>
        <w:ind w:left="0" w:right="0" w:firstLine="720"/>
        <w:jc w:val="both"/>
        <w:rPr/>
      </w:pPr>
      <w:r>
        <w:rPr>
          <w:rFonts w:ascii="Times New Roman;sans-serif" w:hAnsi="Times New Roman;sans-serif"/>
          <w:b w:val="false"/>
          <w:i/>
          <w:color w:val="000000"/>
          <w:sz w:val="20"/>
        </w:rPr>
        <w:t>Excess of loss reinsurance treaties</w:t>
      </w:r>
      <w:r>
        <w:rPr>
          <w:color w:val="000000"/>
        </w:rPr>
        <w:t xml:space="preser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Year Ended 2024, our ceded excess of loss reinsurance premiums decreased $705,000 compared to the ceded excess of loss premiums for Year Ended 2023. Effective January 1, 2023, we entered into an underlying excess of loss reinsurance treaty (the “Underlying XOL Treaty”) covering the period from January 1, 2023 through January 1, 2024. The Underlying XOL Treaty provided 50% reinsurance coverage for losses of $400,000 in excess of $600,000. Losses from named storms were excluded from the Underlying XOL Treaty. Effective January 1, 2024, the Underlying XOL Treaty was renewed covering the period from January 1, 2024 through January 1, 2025. </w:t>
      </w:r>
    </w:p>
    <w:p>
      <w:pPr>
        <w:pStyle w:val="TextBody"/>
        <w:bidi w:val="0"/>
        <w:spacing w:lineRule="auto" w:line="288" w:before="240" w:after="283"/>
        <w:ind w:left="0" w:right="0" w:firstLine="720"/>
        <w:jc w:val="both"/>
        <w:rPr/>
      </w:pPr>
      <w:r>
        <w:rPr>
          <w:rFonts w:ascii="Times New Roman;sans-serif" w:hAnsi="Times New Roman;sans-serif"/>
          <w:b w:val="false"/>
          <w:i/>
          <w:color w:val="000000"/>
          <w:sz w:val="20"/>
        </w:rPr>
        <w:t>Catastrophe reinsurance treaties</w:t>
      </w:r>
      <w:r>
        <w:rPr>
          <w:color w:val="000000"/>
        </w:rPr>
        <w:t xml:space="preserve">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if reinsurance rates are stable or are increasing. Under Kingstone 2.0 and 3.0 we had a decrease in policies in</w:t>
      </w:r>
      <w:r>
        <w:rPr>
          <w:color w:val="000000"/>
        </w:rPr>
        <w:t xml:space="preserve"> </w:t>
      </w:r>
      <w:r>
        <w:rPr>
          <w:rFonts w:ascii="Times New Roman;sans-serif" w:hAnsi="Times New Roman;sans-serif"/>
          <w:b w:val="false"/>
          <w:color w:val="000000"/>
          <w:sz w:val="20"/>
        </w:rPr>
        <w:t xml:space="preserve">force, and better catastrophe management, resulting in a decrease in catastrophe exposure, and a decrease in catastrophe premiums. On July 1, 2024 and 2023, we recorded our catastrophe premiums written for the entire treaty period covering July 1 through June 30, resulting in the entire annual premium written being recorded in the third quarter. Our catastrophe premiums were $30,794,000 in Year Ended 2024, compared to $33,271,000 in Year Ended 2023, a decrease of $2,477,000, or 7.4%. </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Net premiums earned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premiums earned increased $14,114,000 or 12.3% to $128,498,000 in Year Ended 2024 compared to $114,384,000 in Year Ended 2023. The increase was due to the three percentage point reduction in quota share rates discussed above, the run-off of a portion of the 2023/2024 Treaty, which increased the premiums ceded and reduced the net premiums earned in Year Ended 2023, the increase in premiums from the Change in Market Dynamics in Year Ended 2024, and a decrease in catastrophe premium rates, reflected in ceded catastrophe premiums earned, which increased the amount of growth in net premiums earned.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Ceding Commission Revenue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components of ceding commission revenue (in thousands) for the periods indicated:</w:t>
      </w:r>
    </w:p>
    <w:tbl>
      <w:tblPr>
        <w:tblW w:w="9115"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85"/>
        <w:gridCol w:w="286"/>
        <w:gridCol w:w="441"/>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 ceding commissions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ceding commissions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675"/>
        <w:jc w:val="center"/>
        <w:rPr>
          <w:rFonts w:ascii="Times New Roman;sans-serif" w:hAnsi="Times New Roman;sans-serif"/>
          <w:b w:val="false"/>
          <w:i/>
          <w:color w:val="000000"/>
          <w:sz w:val="20"/>
        </w:rPr>
      </w:pPr>
      <w:r>
        <w:rPr>
          <w:rFonts w:ascii="Times New Roman;sans-serif" w:hAnsi="Times New Roman;sans-serif"/>
          <w:b w:val="false"/>
          <w:i/>
          <w:color w:val="000000"/>
          <w:sz w:val="20"/>
        </w:rPr>
        <w:t>(Columns in the table above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Ceding commission revenue was $18,838,000 in Year Ended 2024 compared to $21,053,000 in Year Ended 2023. The decrease of $2,215,000 is explained below in the discussion of provisional ceding commissions earned and contingent ceding commissions earned. </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Provisional Ceding Commissions Earned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Year Ended 2024, we earned provisional ceding commissions of $18,829,000 from personal lines earned premiums ceded under the 2024/2025 Treaty, and in Year Ended 2023, we earned provisional ceding commissions of $20,397,000 from personal lines earned premiums ceded under the 2023/2024 Treaty. The decrease of $1,568,000 in provisional ceding commissions earned was due to the decrease in premiums ceded under these treaties during Year Ended 2024 compared to Year Ended 2023, offset by an increase in ceding commission rates under the 2024/2025 Treaty. </w:t>
      </w:r>
    </w:p>
    <w:p>
      <w:pPr>
        <w:pStyle w:val="TextBody"/>
        <w:bidi w:val="0"/>
        <w:spacing w:lineRule="auto" w:line="288"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Ceding Commissions Earned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structure of the 2024/2025 Treaty and the 2023/2024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Investment Income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investment income was $6,824,000 in Year Ended 2024 compared to $6,009,000 in Year Ended 2023, an increase of $815,000, or 13.6%. The average yield on non-cash invested assets was 3.80% as of December 31, 2024 compared to 3.75% as of December 31,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invested assets were $221,847,000 as of December 31, 2024 compared to $172,095,000 as of December 31, 2023, an increase of $49,752,000.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Gains on Investments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Net gains on investments were $415,000 in Year Ended 2024 compared to net gains of $2,135,000 in Year Ended 2023. Unrealized gains on our equity securities and other investments in Year Ended 2024 were $477,000, compared to unrealized gains of $2,153,000 in Year Ended 2023. Net realized losses on sales of investments were $62,000 in Year Ended 2024 compared to net realized losses of $19,000 in Year Ended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Income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was $568,000 in Year Ended 2024 compared to $610,000 in Year Ended 2023, a decrease of $47,000, or 6.9%.</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Loss and LAE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Net loss and LAE was $62,635,000 for Year Ended 2024 compared to $82,849,000 for Year Ended 2023. The net loss ratio was 48.7% in Year Ended 2024 compared to 72.4% in Year Ended 2023, a decrease of 23.7 percentage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summarizes the changes in the components of net loss ratio for the periods indicated, along with the comparable components excluding commercial lines business(1):</w:t>
      </w:r>
    </w:p>
    <w:p>
      <w:pPr>
        <w:pStyle w:val="TextBody"/>
        <w:bidi w:val="0"/>
        <w:spacing w:before="240" w:after="283"/>
        <w:jc w:val="both"/>
        <w:rPr/>
      </w:pPr>
      <w:r>
        <w:rPr/>
        <w:drawing>
          <wp:inline distT="0" distB="0" distL="0" distR="0">
            <wp:extent cx="5572125" cy="4152900"/>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5572125" cy="4152900"/>
                    </a:xfrm>
                    <a:prstGeom prst="rect">
                      <a:avLst/>
                    </a:prstGeom>
                  </pic:spPr>
                </pic:pic>
              </a:graphicData>
            </a:graphic>
          </wp:inline>
        </w:drawing>
      </w:r>
    </w:p>
    <w:p>
      <w:pPr>
        <w:pStyle w:val="TextBody"/>
        <w:bidi w:val="0"/>
        <w:spacing w:lineRule="auto" w:line="276"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(Percent components may not sum to totals due to rounding)</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net loss ratio for Year Ended 2024 improved significantly compared to Year Ended 2023. For Year Ended 2024, the catastrophe impact, prior year development, and underlying loss ratio(1) (loss ratio excluding the impact of catastrophes and prior year development) were all lower than Year Ended 2023.</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sixteen newly designated catastrophe events for Year Ended 2024, none of which was a major event for the Company’s covered areas. The estimated total net catastrophe impact for Year Ended 2024 was $2,454,000, which contributed 1.9 points to the loss ratio. By comparison, the catastrophe impact for Year Ended 2023 was 7.1 points. Losses from winter-related catastrophe claims were minimal for Year Ended 2024, whereas the previous year was impacted by a major winter event in February 2023.</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underlying loss ratio(1) was 48.2% for Year Ended 2024, a decrease of 17.1 points from the 65.3% underlying loss ratio recorded for Year Ended 2023. Overall personal lines non-catastrophe frequency for Year Ended 2024 was lower than Year Ended 2023, which is believed to be the result of better risk selection in the Company’s Select product rollout as well as the Company’s active efforts to manage less profitable segments. Overall personal lines non-catastrophe severity for Year Ended 2024 was also improved compared to Year Ended 2023, primarily driven by water claims and a reduced impact from large losses.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favorable prior year development of $1,780,000 for Year Ended 2024, which translates to a 1.4-point decrease to the net loss ratio. By comparison, the impact of favorable prior year development for Year Ended 2023 was a decrease of less than 0.1 points.</w:t>
      </w:r>
    </w:p>
    <w:p>
      <w:pPr>
        <w:pStyle w:val="TextBody"/>
        <w:bidi w:val="0"/>
        <w:spacing w:lineRule="auto" w:line="28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(1) Underlying loss ratio is a non-GAAP ratio, which is computed the GAAP net loss ratio excluding the effect of prior year loss reserve development and catastrophe losses.Net loss ratio excluding commercial lines business is a non-GAAP ratio, which is computed as the difference between the GAAP net loss ratio and the effect of commercial lines business. See "Non-GAAP Financial Measures" for the reconciliation of underlying loss ratio and net loss ratio excluding commercial lines business to the GAAP measure of net loss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See table below under “Additional Financial Information” summarizing net loss ratios by line of business.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Commission Expense</w:t>
      </w:r>
    </w:p>
    <w:p>
      <w:pPr>
        <w:pStyle w:val="TextBody"/>
        <w:bidi w:val="0"/>
        <w:spacing w:lineRule="auto" w:line="26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expense was $33,929,000 in Year Ended 2024 or 15.9% of direct earned premiums. Commission expense was $33,365,000 in Year Ended 2023 or 16.5% of direct earned premiums. The increase of $564,000 was primarily due to $2,788,000 of contingent commission in Year Ended 2024 based on the profitability of the business, and an increase in direct earned premiums of $10,854,000. The increase was offset by a reduction in commission rates on our legacy policies in accordance with our Kingstone 3.0 strategy as well as the lower commission rate paid on Select products as compared to legacy products.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Underwriting Expenses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underwriting expenses were $25,693,000, or 12.1% of direct earned premiums, in Year Ended 2024 compared to $25,910,000, or 12.8% of direct earned premiums, in Year Ended 2023. The decrease of $217,000, or 0.8%, was primarily due to a $365,000 gain on the commutations of prior years’ quota share reinsurance treaties from a group of reinsurers, decreases in base salaries and employment costs as described below, and a decrease in policy management system fees. The decreases were partially offset by the impact of high inflation. </w:t>
      </w:r>
    </w:p>
    <w:p>
      <w:pPr>
        <w:pStyle w:val="TextBody"/>
        <w:bidi w:val="0"/>
        <w:spacing w:lineRule="auto" w:line="26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single component of other underwriting expenses is salaries and employment costs, with costs of $13,143,000 in Year Ended 2024 compared to $11,335,000 in Year Ended 2023. The increase of $1,808,000, or 34.2%, is compared unfavorably to the 20.9% increase in direct written premiums. The increase in salaries and employment costs was due to $1,614,000 accrued under our employee bonus plans due to the profitable underwriting insurance operations in Year Ended 2024 compared to a loss in Year Ended 2023, and $446,000 accrued under our executive bonus plan pursuant to the employment agreement of our Chief Executive Officer. The increases related to bonuses were offset by a reduction in our staff in June and July of 2023 as we have been reducing our non-Core business. The decrease from the reduction in staff was partially offset in the periods following Year Ended 2023, as we began to strengthen our professional team by investing in the hiring of higher-level and higher compensated managers and staff needed to manage the business consistent with our Kingstone 2.0 and Kingstone 3.0 strategies. In addition, we are now hiring additional staff to handle the new business from the Change in Market Dynamics.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net underwriting expense ratio in Year Ended 2024 was 31.3% compared to 32.9% in Year Ended 2023. The following table shows the individual components of our net underwriting expense ratio for the periods indicated:</w:t>
      </w:r>
    </w:p>
    <w:tbl>
      <w:tblPr>
        <w:tblW w:w="7558" w:type="dxa"/>
        <w:jc w:val="left"/>
        <w:tblInd w:w="0" w:type="dxa"/>
        <w:tblLayout w:type="fixed"/>
        <w:tblCellMar>
          <w:top w:w="28" w:type="dxa"/>
          <w:left w:w="28" w:type="dxa"/>
          <w:bottom w:w="28" w:type="dxa"/>
          <w:right w:w="28" w:type="dxa"/>
        </w:tblCellMar>
      </w:tblPr>
      <w:tblGrid>
        <w:gridCol w:w="1205"/>
        <w:gridCol w:w="1061"/>
        <w:gridCol w:w="1064"/>
        <w:gridCol w:w="291"/>
        <w:gridCol w:w="294"/>
        <w:gridCol w:w="292"/>
        <w:gridCol w:w="109"/>
        <w:gridCol w:w="109"/>
        <w:gridCol w:w="109"/>
        <w:gridCol w:w="291"/>
        <w:gridCol w:w="294"/>
        <w:gridCol w:w="292"/>
        <w:gridCol w:w="109"/>
        <w:gridCol w:w="109"/>
        <w:gridCol w:w="109"/>
        <w:gridCol w:w="429"/>
        <w:gridCol w:w="429"/>
        <w:gridCol w:w="431"/>
        <w:gridCol w:w="155"/>
        <w:gridCol w:w="155"/>
        <w:gridCol w:w="221"/>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Percentage </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Point Change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w:t>
            </w:r>
          </w:p>
        </w:tc>
        <w:tc>
          <w:tcPr>
            <w:tcW w:w="87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costs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fees (inspections/surveys)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expenses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underwriting expenses</w:t>
            </w:r>
          </w:p>
        </w:tc>
        <w:tc>
          <w:tcPr>
            <w:tcW w:w="58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9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3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ceding commission revenue</w:t>
            </w:r>
          </w:p>
        </w:tc>
        <w:tc>
          <w:tcPr>
            <w:tcW w:w="58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58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(Components may not sum to totals due to rounding)</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Operating Expenses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related to the expenses of our holding company and Cosi, were $3,635,000 for Year Ended 2024 compared to $2,456,000 for Year Ended 2023. The following table shows a breakdown of the significant components of other operating expenses for the periods indicated:</w:t>
      </w:r>
    </w:p>
    <w:tbl>
      <w:tblPr>
        <w:tblW w:w="8358" w:type="dxa"/>
        <w:jc w:val="left"/>
        <w:tblInd w:w="0" w:type="dxa"/>
        <w:tblLayout w:type="fixed"/>
        <w:tblCellMar>
          <w:top w:w="28" w:type="dxa"/>
          <w:left w:w="28" w:type="dxa"/>
          <w:bottom w:w="28" w:type="dxa"/>
          <w:right w:w="28" w:type="dxa"/>
        </w:tblCellMar>
      </w:tblPr>
      <w:tblGrid>
        <w:gridCol w:w="972"/>
        <w:gridCol w:w="854"/>
        <w:gridCol w:w="85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93"/>
        <w:gridCol w:w="293"/>
        <w:gridCol w:w="441"/>
        <w:gridCol w:w="155"/>
        <w:gridCol w:w="155"/>
        <w:gridCol w:w="22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4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(Components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Year Ended 2024 of $1,179,000, or 48.0%, as compared to Year Ended 2023 was primarily due to an increase in equity compensation and loss on extinguishment of debt. The increase in equity compensation is due to accelerated vesting in September 2024 as a result of the retirement of our executive chairman, and an equity compensation accrual for our senior leadership team pursuant to our employee bonus plan. The executive bonus of $50,000 allocated to other operating expenses in Year Ended 2024 is accrued pursuant to the employment agreement of our Chief Executive Officer and is a result of the profitable operations before taxes in Year Ended 2024 compared to a loss in Year Ended 2023. The $297,000 loss on extinguishment of debt loss is due to writing off the balance of unamortized debt issue costs from the 2022 Notes at the time of the 2024 Exchange Agreement as disclosed in Note 9 to the consolidated financial statements.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Depreciation and Amortization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was $2,449,000 in Year Ended 2024 compared to $2,973,000 in Year Ended 2023. The decrease of $524,000, or 17.6%, in depreciation and amortization was primarily due to the completion and deployment of our customized policy management software as planned for in Kingstone 2.0, which allowed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w:t>
      </w:r>
    </w:p>
    <w:p>
      <w:pPr>
        <w:pStyle w:val="TextBody"/>
        <w:bidi w:val="0"/>
        <w:spacing w:lineRule="auto" w:line="28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 Year Ended 2024 was $3,514,000 compared to $4,003,000 in Year Ended 2023, a decrease of $489,000 or 12.2%. In Year Ended 2024 and Year Ended 2023, as disclosed in Note 9 to the consolidated financial statements, we incurred interest expense in connection with the 2022 Notes and 2024 Notes. The 2022 Notes provided for interest at the rate of 12% per annum. In September 2024, in accordance with the 2024 Exchange Agreement, we paid $5,000,000 of principal on the 2022 Notes, reducing the principal balance to $14,950,000 from $19,950,000. Under the 2024 Exchange Agreement, the principal balances of the 2022 Notes were exchanged for the 2024 Notes, which provided for interest at the rate of 13.75% per annum. We made optional prepayments of $3,000,000 on September 30, 2024, $2,000,000 on November 13, 2024, $4,000,000 on December 30, 2024, $3,500,000 on January 28, 2025, and $2,450,000 on February 24, 2025 (see Note 20 - Subsequent Events, Debt), and, accordingly, we have fully satisfied the entire principal balance under the 2024 Notes. In addition to interest on 2022 Notes and 2024 Notes, we also incur interest expense on the 2022 equipment financing. </w:t>
      </w:r>
    </w:p>
    <w:p>
      <w:pPr>
        <w:pStyle w:val="TextBody"/>
        <w:bidi w:val="0"/>
        <w:spacing w:lineRule="auto" w:line="288" w:before="240" w:after="283"/>
        <w:jc w:val="both"/>
        <w:rPr/>
      </w:pPr>
      <w:r>
        <w:rPr>
          <w:rFonts w:ascii="Times New Roman;sans-serif" w:hAnsi="Times New Roman;sans-serif"/>
          <w:b w:val="false"/>
          <w:color w:val="000000"/>
          <w:sz w:val="20"/>
          <w:u w:val="single"/>
        </w:rPr>
        <w:t>Income Tax Expense (Benefit)</w:t>
      </w:r>
      <w:r>
        <w:rPr>
          <w:color w:val="000000"/>
        </w:rPr>
        <w:t xml:space="preser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in Year Ended 2024 was $4,930,000, which resulted in an effective tax rate of 21.2%. Income tax (benefit) in Year Ended 2023 was $(1,197,000), which resulted in an effective tax rate of (16.3)%. Income before taxes was $23,288,000 in Year Ended 2024 compared to a loss before taxes of $(7,365,000) in Year Ended 2023. The difference in effective tax rate is due to the effect of permanent differences in Year Ended 2024 compared to Year Ended 2023.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Income (Loss)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was $18,358,000 in Year Ended 2024 compared to net loss of $(6,168,000) in Year Ended 2023. The change from net loss to net income of $24,526,000 was due to the circumstances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Additional Financial Information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as one segment, property and casualty insurance. Within this segment, we offer an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tbl>
      <w:tblPr>
        <w:tblW w:w="8399" w:type="dxa"/>
        <w:jc w:val="left"/>
        <w:tblInd w:w="0" w:type="dxa"/>
        <w:tblLayout w:type="fixed"/>
        <w:tblCellMar>
          <w:top w:w="28" w:type="dxa"/>
          <w:left w:w="28" w:type="dxa"/>
          <w:bottom w:w="28" w:type="dxa"/>
          <w:right w:w="28" w:type="dxa"/>
        </w:tblCellMar>
      </w:tblPr>
      <w:tblGrid>
        <w:gridCol w:w="1559"/>
        <w:gridCol w:w="1370"/>
        <w:gridCol w:w="1375"/>
        <w:gridCol w:w="211"/>
        <w:gridCol w:w="1186"/>
        <w:gridCol w:w="331"/>
        <w:gridCol w:w="109"/>
        <w:gridCol w:w="109"/>
        <w:gridCol w:w="109"/>
        <w:gridCol w:w="211"/>
        <w:gridCol w:w="1186"/>
        <w:gridCol w:w="271"/>
        <w:gridCol w:w="109"/>
        <w:gridCol w:w="109"/>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premiums written:</w:t>
            </w:r>
          </w:p>
        </w:tc>
        <w:tc>
          <w:tcPr>
            <w:tcW w:w="172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lines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227,642,802 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185,425,960 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Livery physical damage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14,248,462 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Other(1)</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premiums written</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241,979,937 </w:t>
            </w:r>
          </w:p>
        </w:tc>
        <w:tc>
          <w:tcPr>
            <w:tcW w:w="33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200,174,502 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premiums written:</w:t>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lines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139,914,970 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93,941,418 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Livery physical damage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14,248,462 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Other(1)</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premiums written</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154,229,865 </w:t>
            </w:r>
          </w:p>
        </w:tc>
        <w:tc>
          <w:tcPr>
            <w:tcW w:w="33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108,656,809 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premiums earned:</w:t>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lines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113,876,043 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100,391,726 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Livery physical damage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14,550,160 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Other(1)</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premiums earned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33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and loss adjustment expenses(3):</w:t>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lines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49,268,714 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72,580,057 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Livery physical damage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6,158,197 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5,388,954 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Other(1)</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loss adjustment expenses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4,926,243 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without commercial lines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60,318,917 </w:t>
            </w:r>
          </w:p>
        </w:tc>
        <w:tc>
          <w:tcPr>
            <w:tcW w:w="3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81,123,716 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lines (in run-off effective July 2019)(2)</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2,315,799 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loss and loss adjustment expenses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3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ratio(3):</w:t>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lines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Livery physical damage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Other(1)</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without commercial lines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lines (in run-off effective July 2019)(2)</w:t>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hanging="1170"/>
        <w:jc w:val="both"/>
        <w:rPr/>
      </w:pPr>
      <w:r>
        <w:rPr>
          <w:rFonts w:ascii="Times New Roman;sans-serif" w:hAnsi="Times New Roman;sans-serif"/>
          <w:b w:val="false"/>
          <w:color w:val="000000"/>
          <w:sz w:val="20"/>
        </w:rPr>
        <w:t>(1)</w:t>
      </w:r>
      <w:r>
        <w:rPr>
          <w:color w:val="000000"/>
        </w:rPr>
        <w:t>“</w:t>
      </w:r>
      <w:r>
        <w:rPr>
          <w:rFonts w:ascii="Times New Roman;sans-serif" w:hAnsi="Times New Roman;sans-serif"/>
          <w:b w:val="false"/>
          <w:color w:val="000000"/>
          <w:sz w:val="20"/>
        </w:rPr>
        <w:t>Other” includes, among other things, premiums and loss and loss adjustment expenses from our participation in a mandatory state joint underwriting association and loss and loss adjustment expenses from commercial auto.</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(2)In July 2019, we decided that we will no longer underwrite Commercial Liability risks. See discussions above regarding the discontinuation of this line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(3)See discussions above with regard to “Net Loss and LAE”, as to catastrophe losses in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Insurance Underwriting Business on a Standalone Basis(1)</w:t>
      </w:r>
    </w:p>
    <w:p>
      <w:pPr>
        <w:pStyle w:val="TextBody"/>
        <w:bidi w:val="0"/>
        <w:spacing w:lineRule="auto" w:line="276" w:before="240" w:after="283"/>
        <w:ind w:left="0" w:right="0" w:firstLine="675"/>
        <w:jc w:val="both"/>
        <w:rPr/>
      </w:pPr>
      <w:r>
        <w:rPr>
          <w:rFonts w:ascii="Times New Roman;sans-serif" w:hAnsi="Times New Roman;sans-serif"/>
          <w:b w:val="false"/>
          <w:color w:val="000000"/>
          <w:sz w:val="20"/>
        </w:rPr>
        <w:t>Our insurance underwriting business reported on a standalone basis(1) for the years ended December 31, 2024 and 2023 follows: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18"/>
        <w:gridCol w:w="1889"/>
        <w:gridCol w:w="1902"/>
        <w:gridCol w:w="211"/>
        <w:gridCol w:w="1186"/>
        <w:gridCol w:w="271"/>
        <w:gridCol w:w="109"/>
        <w:gridCol w:w="109"/>
        <w:gridCol w:w="109"/>
        <w:gridCol w:w="211"/>
        <w:gridCol w:w="1186"/>
        <w:gridCol w:w="271"/>
        <w:gridCol w:w="155"/>
        <w:gridCol w:w="155"/>
        <w:gridCol w:w="223"/>
      </w:tblGrid>
      <w:tr>
        <w:trPr/>
        <w:tc>
          <w:tcPr>
            <w:tcW w:w="221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investments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155,068,913 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144,025,805 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25,692,727 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25,909,962 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2,448,932 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125,074,372 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145,531,396 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29,994,541 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from insurance underwriting business on a standalone basis(1)</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23,581,855 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(1,487,910)</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Key Measures:</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ratio</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underwriting expense ratio:</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and other</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59,622,060 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59,274,591 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Ceding commission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income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40,234,147 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37,620,104 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139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before="240" w:after="283"/>
        <w:jc w:val="left"/>
        <w:rPr/>
      </w:pPr>
      <w:r>
        <w:rPr/>
      </w:r>
    </w:p>
    <w:p>
      <w:pPr>
        <w:pStyle w:val="TextBody"/>
        <w:bidi w:val="0"/>
        <w:spacing w:lineRule="auto" w:line="256" w:before="240" w:after="283"/>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(1) Net income (loss) from insurance underwriting business on a standalone basis is a non-GAAP measure, which is computed as GAAP net income (loss) without the effect of holding company operations on GAAP net income (loss). See "Non-GAAP Financial Measures" for the reconciliation of net income (loss) from insurance underwriting business on a standalone basis to the GAAP measure of net income (loss).</w:t>
      </w:r>
    </w:p>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An analysis of our direct, assumed and ceded earned premiums, loss and loss adjustment expenses, and loss ratios is shown below:</w:t>
      </w:r>
    </w:p>
    <w:tbl>
      <w:tblPr>
        <w:tblW w:w="10205" w:type="dxa"/>
        <w:jc w:val="left"/>
        <w:tblInd w:w="0" w:type="dxa"/>
        <w:tblLayout w:type="fixed"/>
        <w:tblCellMar>
          <w:top w:w="28" w:type="dxa"/>
          <w:left w:w="28" w:type="dxa"/>
          <w:bottom w:w="28" w:type="dxa"/>
          <w:right w:w="28" w:type="dxa"/>
        </w:tblCellMar>
      </w:tblPr>
      <w:tblGrid>
        <w:gridCol w:w="1116"/>
        <w:gridCol w:w="911"/>
        <w:gridCol w:w="913"/>
        <w:gridCol w:w="211"/>
        <w:gridCol w:w="1186"/>
        <w:gridCol w:w="271"/>
        <w:gridCol w:w="109"/>
        <w:gridCol w:w="109"/>
        <w:gridCol w:w="109"/>
        <w:gridCol w:w="256"/>
        <w:gridCol w:w="256"/>
        <w:gridCol w:w="329"/>
        <w:gridCol w:w="109"/>
        <w:gridCol w:w="109"/>
        <w:gridCol w:w="109"/>
        <w:gridCol w:w="211"/>
        <w:gridCol w:w="1132"/>
        <w:gridCol w:w="271"/>
        <w:gridCol w:w="109"/>
        <w:gridCol w:w="109"/>
        <w:gridCol w:w="109"/>
        <w:gridCol w:w="211"/>
        <w:gridCol w:w="1186"/>
        <w:gridCol w:w="271"/>
        <w:gridCol w:w="143"/>
        <w:gridCol w:w="143"/>
        <w:gridCol w:w="207"/>
      </w:tblGrid>
      <w:tr>
        <w:trPr/>
        <w:tc>
          <w:tcPr>
            <w:tcW w:w="111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241,979,937 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(87,750,072)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154,229,865 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unearned premiums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(25,731,945)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premiums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212,899,742 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(84,401,822)</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 excluding</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catastrophes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79,477,309 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(19,296,752)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60,180,557 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loss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3,388,937 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82,866,246 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(20,231,530)</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excluding the effect of catastrophes(2)</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loss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200,174,502 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(91,517,693)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108,656,809 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unearned premiums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Earned premiums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202,045,741 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(87,661,478)</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 excluding</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catastrophes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111,996,791 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(37,302,450)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74,694,341 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loss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11,943,624 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(3,788,755)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123,940,415 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(41,091,205)</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excluding the effect of catastrophes(2)</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loss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397"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2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(Percentage components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key measures for our insurance underwriting business for the years ended December 31, 2024 and 2023 are as follows:</w:t>
      </w:r>
    </w:p>
    <w:tbl>
      <w:tblPr>
        <w:tblW w:w="8528" w:type="dxa"/>
        <w:jc w:val="left"/>
        <w:tblInd w:w="0" w:type="dxa"/>
        <w:tblLayout w:type="fixed"/>
        <w:tblCellMar>
          <w:top w:w="28" w:type="dxa"/>
          <w:left w:w="28" w:type="dxa"/>
          <w:bottom w:w="28" w:type="dxa"/>
          <w:right w:w="28" w:type="dxa"/>
        </w:tblCellMar>
      </w:tblPr>
      <w:tblGrid>
        <w:gridCol w:w="1572"/>
        <w:gridCol w:w="1377"/>
        <w:gridCol w:w="1385"/>
        <w:gridCol w:w="211"/>
        <w:gridCol w:w="1186"/>
        <w:gridCol w:w="271"/>
        <w:gridCol w:w="109"/>
        <w:gridCol w:w="109"/>
        <w:gridCol w:w="109"/>
        <w:gridCol w:w="211"/>
        <w:gridCol w:w="1186"/>
        <w:gridCol w:w="271"/>
        <w:gridCol w:w="155"/>
        <w:gridCol w:w="155"/>
        <w:gridCol w:w="221"/>
      </w:tblGrid>
      <w:tr>
        <w:trPr/>
        <w:tc>
          <w:tcPr>
            <w:tcW w:w="15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 (1)</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and other underwriting expenses:</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25,692,727 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25,909,962 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costs and other</w:t>
            </w:r>
          </w:p>
        </w:tc>
        <w:tc>
          <w:tcPr>
            <w:tcW w:w="16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59,622,060 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59,274,591 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25,629,057 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(6,085,051)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Measures:</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ratio excluding the effect of catastrophes(2)</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 loss on net loss ratio (1)(2)</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ratio</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 excluding the</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catastrophes(2)</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 loss on net underwriting</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ratio(2)</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 excluding the effect</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catastrophes(2)</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 loss on net combined</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(1)(2)</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7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underwriting expense ratio:</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and other</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59,622,060 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59,274,591 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Ceding commission revenue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income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40,234,147 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37,620,104 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139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(1)For the years ended December 31, 2024 and 2023, includes the sum of net catastrophe losses and loss adjustment expenses of $2,454,159 and $8,154,869,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1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(2)Net loss ratio excluding the effect of catastrophes is a non-GAAP ratio, which is computed as the difference between the GAAP net loss ratio and the effect of catastrophes on the net loss ratio. See "Non-GAAP Financial Measures" for the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the reconciliation of net underwriting expense ratio excluding the effect of catastrophes to the GAAP measure of net underwriting expense ratio. Net combined ratio excluding the effect of catastrophes is also a non-GAAP ratio, which is computed as the difference between the GAAP net combined ratio and the effect of catastrophes on the net combined ratio. See "Non-GAAP Financial Measures" for the reconciliation of net combined ratio excluding the effect of catastrophes to the GAAP measure of net combined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Portfolio Summary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breakdown of the amortized cost, estimated fair value, and unrealized gains and losses of our investments in fixed-maturity securities classified as available-for-sale as of December 31, 2024 and 2023:</w:t>
      </w:r>
    </w:p>
    <w:p>
      <w:pPr>
        <w:pStyle w:val="TextBody"/>
        <w:bidi w:val="0"/>
        <w:spacing w:lineRule="auto" w:line="276" w:before="240" w:after="283"/>
        <w:ind w:left="0" w:right="0" w:firstLine="675"/>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Available-for-Sale Securities</w:t>
      </w:r>
    </w:p>
    <w:tbl>
      <w:tblPr>
        <w:tblW w:w="11659" w:type="dxa"/>
        <w:jc w:val="left"/>
        <w:tblInd w:w="0" w:type="dxa"/>
        <w:tblLayout w:type="fixed"/>
        <w:tblCellMar>
          <w:top w:w="28" w:type="dxa"/>
          <w:left w:w="28" w:type="dxa"/>
          <w:bottom w:w="28" w:type="dxa"/>
          <w:right w:w="28" w:type="dxa"/>
        </w:tblCellMar>
      </w:tblPr>
      <w:tblGrid>
        <w:gridCol w:w="563"/>
        <w:gridCol w:w="362"/>
        <w:gridCol w:w="366"/>
        <w:gridCol w:w="109"/>
        <w:gridCol w:w="109"/>
        <w:gridCol w:w="109"/>
        <w:gridCol w:w="211"/>
        <w:gridCol w:w="1186"/>
        <w:gridCol w:w="109"/>
        <w:gridCol w:w="109"/>
        <w:gridCol w:w="109"/>
        <w:gridCol w:w="109"/>
        <w:gridCol w:w="211"/>
        <w:gridCol w:w="826"/>
        <w:gridCol w:w="109"/>
        <w:gridCol w:w="109"/>
        <w:gridCol w:w="109"/>
        <w:gridCol w:w="109"/>
        <w:gridCol w:w="211"/>
        <w:gridCol w:w="991"/>
        <w:gridCol w:w="109"/>
        <w:gridCol w:w="109"/>
        <w:gridCol w:w="109"/>
        <w:gridCol w:w="109"/>
        <w:gridCol w:w="211"/>
        <w:gridCol w:w="1096"/>
        <w:gridCol w:w="109"/>
        <w:gridCol w:w="109"/>
        <w:gridCol w:w="109"/>
        <w:gridCol w:w="109"/>
        <w:gridCol w:w="211"/>
        <w:gridCol w:w="1186"/>
        <w:gridCol w:w="109"/>
        <w:gridCol w:w="109"/>
        <w:gridCol w:w="109"/>
        <w:gridCol w:w="109"/>
        <w:gridCol w:w="307"/>
        <w:gridCol w:w="309"/>
        <w:gridCol w:w="533"/>
        <w:gridCol w:w="109"/>
        <w:gridCol w:w="109"/>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Estimated </w:t>
              <w:br/>
              <w:t xml:space="preserve">Fair Value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w:t>
              <w:br/>
              <w:t xml:space="preserve">12 Months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More than </w:t>
              <w:br/>
              <w:t xml:space="preserve">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corporations and agencies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and other asset backed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202,308,158 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(1,307,940)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(14,226,427)</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186,893,438 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11404" w:type="dxa"/>
        <w:jc w:val="left"/>
        <w:tblInd w:w="0" w:type="dxa"/>
        <w:tblLayout w:type="fixed"/>
        <w:tblCellMar>
          <w:top w:w="28" w:type="dxa"/>
          <w:left w:w="28" w:type="dxa"/>
          <w:bottom w:w="28" w:type="dxa"/>
          <w:right w:w="28" w:type="dxa"/>
        </w:tblCellMar>
      </w:tblPr>
      <w:tblGrid>
        <w:gridCol w:w="563"/>
        <w:gridCol w:w="362"/>
        <w:gridCol w:w="366"/>
        <w:gridCol w:w="109"/>
        <w:gridCol w:w="109"/>
        <w:gridCol w:w="109"/>
        <w:gridCol w:w="211"/>
        <w:gridCol w:w="1186"/>
        <w:gridCol w:w="109"/>
        <w:gridCol w:w="109"/>
        <w:gridCol w:w="109"/>
        <w:gridCol w:w="109"/>
        <w:gridCol w:w="211"/>
        <w:gridCol w:w="826"/>
        <w:gridCol w:w="109"/>
        <w:gridCol w:w="109"/>
        <w:gridCol w:w="109"/>
        <w:gridCol w:w="109"/>
        <w:gridCol w:w="211"/>
        <w:gridCol w:w="736"/>
        <w:gridCol w:w="109"/>
        <w:gridCol w:w="109"/>
        <w:gridCol w:w="109"/>
        <w:gridCol w:w="109"/>
        <w:gridCol w:w="211"/>
        <w:gridCol w:w="1096"/>
        <w:gridCol w:w="109"/>
        <w:gridCol w:w="109"/>
        <w:gridCol w:w="109"/>
        <w:gridCol w:w="109"/>
        <w:gridCol w:w="211"/>
        <w:gridCol w:w="1186"/>
        <w:gridCol w:w="109"/>
        <w:gridCol w:w="109"/>
        <w:gridCol w:w="109"/>
        <w:gridCol w:w="109"/>
        <w:gridCol w:w="307"/>
        <w:gridCol w:w="309"/>
        <w:gridCol w:w="533"/>
        <w:gridCol w:w="109"/>
        <w:gridCol w:w="109"/>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Gross Unrealized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Estimated </w:t>
              <w:br/>
              <w:t xml:space="preserve">Fair Value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w:t>
              <w:br/>
              <w:t xml:space="preserve">12 Months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More than </w:t>
              <w:br/>
              <w:t xml:space="preserve">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corporations and agencies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and other asset backed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164,460,942 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(19,517)</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(15,636,188)</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148,920,797 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pStyle w:val="TextBody"/>
        <w:bidi w:val="0"/>
        <w:spacing w:lineRule="auto" w:line="276" w:before="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(1)In October 2022, KICO placed certain U.S. Treasury securities to fulfill the required collateral for a sale leaseback transaction in a designated custodian account (see Note 9 – Debt - “Equipment Financing”). As of December 31, 2024 KICO had sold its U.S. Treasury securities and replaced a portion of its other fixed-maturity securities in the designated custodian account, As of December 31, 2024 and 2023, the amount of required collateral was approximately $5,308,000 and $6,999,000, respectively. As of December 31, 2024 and 2023, the estimated fair value of the eligible collateral was approximately $5,308,000 and $6,999,000, respectively.</w:t>
      </w:r>
    </w:p>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(2)KICO has placed certain residential mortgage 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2024, the estimated fair value of the eligible investments was approximately $10,130,000. KICO will retain all rights regarding all securities if pledged as collateral. As of December 31, 2024 and 2023 there was no outstanding balance on the FHLBNY credit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hanging="153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Securities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breakdown of the cost and estimated fair value of, and gross gains and losses on, investments in equity securities as of December 31, 2024 and 2023:</w:t>
      </w:r>
    </w:p>
    <w:tbl>
      <w:tblPr>
        <w:tblW w:w="10205" w:type="dxa"/>
        <w:jc w:val="left"/>
        <w:tblInd w:w="0" w:type="dxa"/>
        <w:tblLayout w:type="fixed"/>
        <w:tblCellMar>
          <w:top w:w="28" w:type="dxa"/>
          <w:left w:w="28" w:type="dxa"/>
          <w:bottom w:w="28" w:type="dxa"/>
          <w:right w:w="28" w:type="dxa"/>
        </w:tblCellMar>
      </w:tblPr>
      <w:tblGrid>
        <w:gridCol w:w="775"/>
        <w:gridCol w:w="680"/>
        <w:gridCol w:w="688"/>
        <w:gridCol w:w="109"/>
        <w:gridCol w:w="109"/>
        <w:gridCol w:w="109"/>
        <w:gridCol w:w="211"/>
        <w:gridCol w:w="1081"/>
        <w:gridCol w:w="109"/>
        <w:gridCol w:w="109"/>
        <w:gridCol w:w="109"/>
        <w:gridCol w:w="109"/>
        <w:gridCol w:w="211"/>
        <w:gridCol w:w="406"/>
        <w:gridCol w:w="109"/>
        <w:gridCol w:w="109"/>
        <w:gridCol w:w="109"/>
        <w:gridCol w:w="109"/>
        <w:gridCol w:w="211"/>
        <w:gridCol w:w="1024"/>
        <w:gridCol w:w="109"/>
        <w:gridCol w:w="109"/>
        <w:gridCol w:w="109"/>
        <w:gridCol w:w="109"/>
        <w:gridCol w:w="211"/>
        <w:gridCol w:w="1081"/>
        <w:gridCol w:w="109"/>
        <w:gridCol w:w="109"/>
        <w:gridCol w:w="109"/>
        <w:gridCol w:w="109"/>
        <w:gridCol w:w="307"/>
        <w:gridCol w:w="309"/>
        <w:gridCol w:w="565"/>
        <w:gridCol w:w="109"/>
        <w:gridCol w:w="109"/>
        <w:gridCol w:w="156"/>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ans-serif" w:hAnsi="Times New Roman;sans-serif"/>
                <w:b/>
                <w:color w:val="000000"/>
                <w:sz w:val="20"/>
              </w:rPr>
              <w:t xml:space="preserve">Gross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Estimated </w:t>
              <w:br/>
              <w:t xml:space="preserve">Fair Value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5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exchange 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5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13,527,554 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(3,231,049)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10,296,505 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1"/>
        <w:gridCol w:w="554"/>
        <w:gridCol w:w="560"/>
        <w:gridCol w:w="109"/>
        <w:gridCol w:w="109"/>
        <w:gridCol w:w="109"/>
        <w:gridCol w:w="211"/>
        <w:gridCol w:w="1081"/>
        <w:gridCol w:w="109"/>
        <w:gridCol w:w="109"/>
        <w:gridCol w:w="109"/>
        <w:gridCol w:w="109"/>
        <w:gridCol w:w="211"/>
        <w:gridCol w:w="826"/>
        <w:gridCol w:w="109"/>
        <w:gridCol w:w="109"/>
        <w:gridCol w:w="109"/>
        <w:gridCol w:w="109"/>
        <w:gridCol w:w="211"/>
        <w:gridCol w:w="1013"/>
        <w:gridCol w:w="109"/>
        <w:gridCol w:w="109"/>
        <w:gridCol w:w="109"/>
        <w:gridCol w:w="109"/>
        <w:gridCol w:w="211"/>
        <w:gridCol w:w="1081"/>
        <w:gridCol w:w="109"/>
        <w:gridCol w:w="109"/>
        <w:gridCol w:w="109"/>
        <w:gridCol w:w="109"/>
        <w:gridCol w:w="307"/>
        <w:gridCol w:w="309"/>
        <w:gridCol w:w="554"/>
        <w:gridCol w:w="109"/>
        <w:gridCol w:w="109"/>
        <w:gridCol w:w="156"/>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ans-serif" w:hAnsi="Times New Roman;sans-serif"/>
                <w:b/>
                <w:color w:val="000000"/>
                <w:sz w:val="20"/>
              </w:rPr>
              <w:t xml:space="preserve">Gross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Estimated </w:t>
              <w:br/>
              <w:t xml:space="preserve">Fair Value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5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exchange 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17,986,783 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314,816 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(3,539,259)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14,762,340 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675"/>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Investments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breakdown of the cost and estimated fair value of, and gross gains on, our other investments as of December 31, 2024 and 2023:</w:t>
      </w:r>
    </w:p>
    <w:tbl>
      <w:tblPr>
        <w:tblW w:w="11236" w:type="dxa"/>
        <w:jc w:val="left"/>
        <w:tblInd w:w="0" w:type="dxa"/>
        <w:tblLayout w:type="fixed"/>
        <w:tblCellMar>
          <w:top w:w="28" w:type="dxa"/>
          <w:left w:w="28" w:type="dxa"/>
          <w:bottom w:w="28" w:type="dxa"/>
          <w:right w:w="28" w:type="dxa"/>
        </w:tblCellMar>
      </w:tblPr>
      <w:tblGrid>
        <w:gridCol w:w="408"/>
        <w:gridCol w:w="357"/>
        <w:gridCol w:w="36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Fair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2,393,616 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4,380,656 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3,897,150 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140" w:after="283"/>
        <w:ind w:left="0" w:right="0" w:firstLine="675"/>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Held-to-Maturity Securities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breakdown of the amortized cost and estimated fair value of, and gross unrealized gains and losses on, investments in held-to-maturity securities as of December 31, 2024 and 2023:</w:t>
      </w:r>
    </w:p>
    <w:tbl>
      <w:tblPr>
        <w:tblW w:w="11054" w:type="dxa"/>
        <w:jc w:val="left"/>
        <w:tblInd w:w="0" w:type="dxa"/>
        <w:tblLayout w:type="fixed"/>
        <w:tblCellMar>
          <w:top w:w="28" w:type="dxa"/>
          <w:left w:w="28" w:type="dxa"/>
          <w:bottom w:w="28" w:type="dxa"/>
          <w:right w:w="28" w:type="dxa"/>
        </w:tblCellMar>
      </w:tblPr>
      <w:tblGrid>
        <w:gridCol w:w="571"/>
        <w:gridCol w:w="500"/>
        <w:gridCol w:w="505"/>
        <w:gridCol w:w="109"/>
        <w:gridCol w:w="109"/>
        <w:gridCol w:w="109"/>
        <w:gridCol w:w="211"/>
        <w:gridCol w:w="976"/>
        <w:gridCol w:w="109"/>
        <w:gridCol w:w="109"/>
        <w:gridCol w:w="109"/>
        <w:gridCol w:w="109"/>
        <w:gridCol w:w="301"/>
        <w:gridCol w:w="579"/>
        <w:gridCol w:w="156"/>
        <w:gridCol w:w="109"/>
        <w:gridCol w:w="109"/>
        <w:gridCol w:w="109"/>
        <w:gridCol w:w="211"/>
        <w:gridCol w:w="736"/>
        <w:gridCol w:w="109"/>
        <w:gridCol w:w="109"/>
        <w:gridCol w:w="109"/>
        <w:gridCol w:w="109"/>
        <w:gridCol w:w="211"/>
        <w:gridCol w:w="991"/>
        <w:gridCol w:w="109"/>
        <w:gridCol w:w="109"/>
        <w:gridCol w:w="109"/>
        <w:gridCol w:w="109"/>
        <w:gridCol w:w="211"/>
        <w:gridCol w:w="976"/>
        <w:gridCol w:w="109"/>
        <w:gridCol w:w="109"/>
        <w:gridCol w:w="109"/>
        <w:gridCol w:w="109"/>
        <w:gridCol w:w="307"/>
        <w:gridCol w:w="309"/>
        <w:gridCol w:w="533"/>
        <w:gridCol w:w="109"/>
        <w:gridCol w:w="109"/>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Estimated </w:t>
              <w:br/>
              <w:t xml:space="preserve">Fair Value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w:t>
              <w:br/>
              <w:t xml:space="preserve">12 Months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More than </w:t>
              <w:br/>
              <w:t xml:space="preserve">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Territories and Possessions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(1,047,793)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804" w:type="dxa"/>
        <w:jc w:val="left"/>
        <w:tblInd w:w="0" w:type="dxa"/>
        <w:tblLayout w:type="fixed"/>
        <w:tblCellMar>
          <w:top w:w="28" w:type="dxa"/>
          <w:left w:w="28" w:type="dxa"/>
          <w:bottom w:w="28" w:type="dxa"/>
          <w:right w:w="28" w:type="dxa"/>
        </w:tblCellMar>
      </w:tblPr>
      <w:tblGrid>
        <w:gridCol w:w="571"/>
        <w:gridCol w:w="500"/>
        <w:gridCol w:w="505"/>
        <w:gridCol w:w="109"/>
        <w:gridCol w:w="109"/>
        <w:gridCol w:w="109"/>
        <w:gridCol w:w="211"/>
        <w:gridCol w:w="976"/>
        <w:gridCol w:w="109"/>
        <w:gridCol w:w="109"/>
        <w:gridCol w:w="109"/>
        <w:gridCol w:w="109"/>
        <w:gridCol w:w="211"/>
        <w:gridCol w:w="721"/>
        <w:gridCol w:w="109"/>
        <w:gridCol w:w="109"/>
        <w:gridCol w:w="109"/>
        <w:gridCol w:w="109"/>
        <w:gridCol w:w="211"/>
        <w:gridCol w:w="631"/>
        <w:gridCol w:w="109"/>
        <w:gridCol w:w="109"/>
        <w:gridCol w:w="109"/>
        <w:gridCol w:w="109"/>
        <w:gridCol w:w="211"/>
        <w:gridCol w:w="841"/>
        <w:gridCol w:w="109"/>
        <w:gridCol w:w="109"/>
        <w:gridCol w:w="109"/>
        <w:gridCol w:w="109"/>
        <w:gridCol w:w="211"/>
        <w:gridCol w:w="976"/>
        <w:gridCol w:w="109"/>
        <w:gridCol w:w="109"/>
        <w:gridCol w:w="109"/>
        <w:gridCol w:w="109"/>
        <w:gridCol w:w="307"/>
        <w:gridCol w:w="309"/>
        <w:gridCol w:w="533"/>
        <w:gridCol w:w="109"/>
        <w:gridCol w:w="109"/>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 of </w:t>
              <w:br/>
              <w:t xml:space="preserve">Estimated </w:t>
              <w:br/>
              <w:t xml:space="preserve">Fair Value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w:t>
              <w:br/>
              <w:t xml:space="preserve">12 Months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More than </w:t>
              <w:br/>
              <w:t xml:space="preserve">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Territories and Possessions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5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7,052,541 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(955,414)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6,106,148 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Held-to-maturity U.S. Treasury securities are held in trust pursuant to various states’ minimum fund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estimated fair value of our investments in held-to-maturity securities by contractual maturity as of December 31, 2024 and 2023 is shown below:</w:t>
      </w:r>
    </w:p>
    <w:tbl>
      <w:tblPr>
        <w:tblW w:w="9429" w:type="dxa"/>
        <w:jc w:val="left"/>
        <w:tblInd w:w="0" w:type="dxa"/>
        <w:tblLayout w:type="fixed"/>
        <w:tblCellMar>
          <w:top w:w="28" w:type="dxa"/>
          <w:left w:w="28" w:type="dxa"/>
          <w:bottom w:w="28" w:type="dxa"/>
          <w:right w:w="28" w:type="dxa"/>
        </w:tblCellMar>
      </w:tblPr>
      <w:tblGrid>
        <w:gridCol w:w="930"/>
        <w:gridCol w:w="815"/>
        <w:gridCol w:w="82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Remaining Time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 than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7,047,342 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5,959,265 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7,052,541 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6,106,148 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140" w:after="283"/>
        <w:ind w:left="0" w:right="0" w:firstLine="675"/>
        <w:jc w:val="both"/>
        <w:rPr/>
      </w:pPr>
      <w:r>
        <w:rPr>
          <w:rFonts w:ascii="Times New Roman;sans-serif" w:hAnsi="Times New Roman;sans-serif"/>
          <w:b/>
          <w:i/>
          <w:color w:val="000000"/>
          <w:sz w:val="20"/>
        </w:rPr>
        <w:t>Credit Rating of Fixed-Maturity Securities</w:t>
      </w:r>
      <w:r>
        <w:rPr>
          <w:color w:val="000000"/>
        </w:rPr>
        <w:t xml:space="preserve">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credit quality of our available-for-sale fixed-maturity securities as of December 31, 2024 and 2023 as rated by Standard and Poor’s (or, if unavailable from Standard and Poor’s, then Moody’s, Fitch, or Kroll):</w:t>
      </w:r>
    </w:p>
    <w:tbl>
      <w:tblPr>
        <w:tblW w:w="10205" w:type="dxa"/>
        <w:jc w:val="left"/>
        <w:tblInd w:w="0" w:type="dxa"/>
        <w:tblLayout w:type="fixed"/>
        <w:tblCellMar>
          <w:top w:w="28" w:type="dxa"/>
          <w:left w:w="28" w:type="dxa"/>
          <w:bottom w:w="28" w:type="dxa"/>
          <w:right w:w="28" w:type="dxa"/>
        </w:tblCellMar>
      </w:tblPr>
      <w:tblGrid>
        <w:gridCol w:w="1145"/>
        <w:gridCol w:w="790"/>
        <w:gridCol w:w="796"/>
        <w:gridCol w:w="109"/>
        <w:gridCol w:w="109"/>
        <w:gridCol w:w="109"/>
        <w:gridCol w:w="211"/>
        <w:gridCol w:w="1186"/>
        <w:gridCol w:w="109"/>
        <w:gridCol w:w="109"/>
        <w:gridCol w:w="109"/>
        <w:gridCol w:w="109"/>
        <w:gridCol w:w="333"/>
        <w:gridCol w:w="284"/>
        <w:gridCol w:w="622"/>
        <w:gridCol w:w="109"/>
        <w:gridCol w:w="109"/>
        <w:gridCol w:w="109"/>
        <w:gridCol w:w="211"/>
        <w:gridCol w:w="1186"/>
        <w:gridCol w:w="109"/>
        <w:gridCol w:w="109"/>
        <w:gridCol w:w="109"/>
        <w:gridCol w:w="109"/>
        <w:gridCol w:w="333"/>
        <w:gridCol w:w="284"/>
        <w:gridCol w:w="622"/>
        <w:gridCol w:w="195"/>
        <w:gridCol w:w="195"/>
        <w:gridCol w:w="286"/>
      </w:tblGrid>
      <w:tr>
        <w:trPr/>
        <w:tc>
          <w:tcPr>
            <w:tcW w:w="11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Percentage of </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Percentage of </w:t>
              <w:br/>
              <w:t xml:space="preserve">Estimated </w:t>
              <w:br/>
              <w:t>Fair Value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corporate and 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125,311,825 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6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81,805,734 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6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asset backed, and other collateralized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mortgage backed, asset 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other collateralized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1"/>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186,893,438 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148,920,797 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details the average yield by type of fixed-maturity security as of December 31, 2024 and 2023:</w:t>
      </w:r>
    </w:p>
    <w:tbl>
      <w:tblPr>
        <w:tblW w:w="10205" w:type="dxa"/>
        <w:jc w:val="left"/>
        <w:tblInd w:w="0" w:type="dxa"/>
        <w:tblLayout w:type="fixed"/>
        <w:tblCellMar>
          <w:top w:w="28" w:type="dxa"/>
          <w:left w:w="28" w:type="dxa"/>
          <w:bottom w:w="28" w:type="dxa"/>
          <w:right w:w="28" w:type="dxa"/>
        </w:tblCellMar>
      </w:tblPr>
      <w:tblGrid>
        <w:gridCol w:w="2183"/>
        <w:gridCol w:w="1891"/>
        <w:gridCol w:w="1912"/>
        <w:gridCol w:w="109"/>
        <w:gridCol w:w="109"/>
        <w:gridCol w:w="109"/>
        <w:gridCol w:w="367"/>
        <w:gridCol w:w="351"/>
        <w:gridCol w:w="876"/>
        <w:gridCol w:w="109"/>
        <w:gridCol w:w="109"/>
        <w:gridCol w:w="109"/>
        <w:gridCol w:w="367"/>
        <w:gridCol w:w="351"/>
        <w:gridCol w:w="876"/>
        <w:gridCol w:w="109"/>
        <w:gridCol w:w="109"/>
        <w:gridCol w:w="159"/>
      </w:tblGrid>
      <w:tr>
        <w:trPr/>
        <w:tc>
          <w:tcPr>
            <w:tcW w:w="218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8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lists the weighted average maturity and effective duration in years on our fixed-maturity securities as of December 31, 2024 and 2023:</w:t>
      </w:r>
    </w:p>
    <w:tbl>
      <w:tblPr>
        <w:tblW w:w="7548" w:type="dxa"/>
        <w:jc w:val="left"/>
        <w:tblInd w:w="0" w:type="dxa"/>
        <w:tblLayout w:type="fixed"/>
        <w:tblCellMar>
          <w:top w:w="28" w:type="dxa"/>
          <w:left w:w="28" w:type="dxa"/>
          <w:bottom w:w="28" w:type="dxa"/>
          <w:right w:w="28" w:type="dxa"/>
        </w:tblCellMar>
      </w:tblPr>
      <w:tblGrid>
        <w:gridCol w:w="1114"/>
        <w:gridCol w:w="977"/>
        <w:gridCol w:w="983"/>
        <w:gridCol w:w="109"/>
        <w:gridCol w:w="109"/>
        <w:gridCol w:w="109"/>
        <w:gridCol w:w="574"/>
        <w:gridCol w:w="574"/>
        <w:gridCol w:w="576"/>
        <w:gridCol w:w="109"/>
        <w:gridCol w:w="109"/>
        <w:gridCol w:w="109"/>
        <w:gridCol w:w="574"/>
        <w:gridCol w:w="574"/>
        <w:gridCol w:w="576"/>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effective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final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duration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Fair Value Consideration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2024 and 2023, 59% and 65%, respectively, of the investment portfolio recorded at fair value was priced based upon quoted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gross unrealized losses of our fixed-maturity securities available-for-sale and equity securities by length of time the security has continuously been in an unrealized loss position as of December 31, 2024 and 2023:</w:t>
      </w:r>
    </w:p>
    <w:tbl>
      <w:tblPr>
        <w:tblW w:w="11982" w:type="dxa"/>
        <w:jc w:val="left"/>
        <w:tblInd w:w="0" w:type="dxa"/>
        <w:tblLayout w:type="fixed"/>
        <w:tblCellMar>
          <w:top w:w="28" w:type="dxa"/>
          <w:left w:w="28" w:type="dxa"/>
          <w:bottom w:w="28" w:type="dxa"/>
          <w:right w:w="28" w:type="dxa"/>
        </w:tblCellMar>
      </w:tblPr>
      <w:tblGrid>
        <w:gridCol w:w="375"/>
        <w:gridCol w:w="329"/>
        <w:gridCol w:w="332"/>
        <w:gridCol w:w="109"/>
        <w:gridCol w:w="109"/>
        <w:gridCol w:w="109"/>
        <w:gridCol w:w="181"/>
        <w:gridCol w:w="796"/>
        <w:gridCol w:w="109"/>
        <w:gridCol w:w="109"/>
        <w:gridCol w:w="109"/>
        <w:gridCol w:w="109"/>
        <w:gridCol w:w="181"/>
        <w:gridCol w:w="736"/>
        <w:gridCol w:w="109"/>
        <w:gridCol w:w="109"/>
        <w:gridCol w:w="109"/>
        <w:gridCol w:w="109"/>
        <w:gridCol w:w="220"/>
        <w:gridCol w:w="220"/>
        <w:gridCol w:w="221"/>
        <w:gridCol w:w="109"/>
        <w:gridCol w:w="109"/>
        <w:gridCol w:w="109"/>
        <w:gridCol w:w="181"/>
        <w:gridCol w:w="871"/>
        <w:gridCol w:w="109"/>
        <w:gridCol w:w="109"/>
        <w:gridCol w:w="109"/>
        <w:gridCol w:w="109"/>
        <w:gridCol w:w="181"/>
        <w:gridCol w:w="811"/>
        <w:gridCol w:w="109"/>
        <w:gridCol w:w="109"/>
        <w:gridCol w:w="109"/>
        <w:gridCol w:w="109"/>
        <w:gridCol w:w="220"/>
        <w:gridCol w:w="220"/>
        <w:gridCol w:w="221"/>
        <w:gridCol w:w="109"/>
        <w:gridCol w:w="109"/>
        <w:gridCol w:w="109"/>
        <w:gridCol w:w="181"/>
        <w:gridCol w:w="871"/>
        <w:gridCol w:w="109"/>
        <w:gridCol w:w="109"/>
        <w:gridCol w:w="109"/>
        <w:gridCol w:w="109"/>
        <w:gridCol w:w="181"/>
        <w:gridCol w:w="811"/>
        <w:gridCol w:w="109"/>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7" w:type="dxa"/>
            <w:gridSpan w:val="4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Total</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Unrealized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Unrealized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Unrealized </w:t>
              <w:br/>
              <w:t xml:space="preserve">Losses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Fixed-Maturity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7,705,370.00 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(73,589.00)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13,167,726 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20,873,096 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(3,398,080)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51,411,296.00 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(1,024,461.00)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55,381,083 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106,792,379 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(5,715,058)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Residential mortgage and other 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19,315,521 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35,206,442 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54,521,963 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fixed-maturity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78,432,187 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(1,307,940)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103,755,251 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(14,226,427)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182,187,438 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(15,534,367)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727" w:type="dxa"/>
        <w:jc w:val="left"/>
        <w:tblInd w:w="0" w:type="dxa"/>
        <w:tblLayout w:type="fixed"/>
        <w:tblCellMar>
          <w:top w:w="28" w:type="dxa"/>
          <w:left w:w="28" w:type="dxa"/>
          <w:bottom w:w="28" w:type="dxa"/>
          <w:right w:w="28" w:type="dxa"/>
        </w:tblCellMar>
      </w:tblPr>
      <w:tblGrid>
        <w:gridCol w:w="375"/>
        <w:gridCol w:w="329"/>
        <w:gridCol w:w="332"/>
        <w:gridCol w:w="109"/>
        <w:gridCol w:w="109"/>
        <w:gridCol w:w="109"/>
        <w:gridCol w:w="181"/>
        <w:gridCol w:w="721"/>
        <w:gridCol w:w="109"/>
        <w:gridCol w:w="109"/>
        <w:gridCol w:w="109"/>
        <w:gridCol w:w="109"/>
        <w:gridCol w:w="181"/>
        <w:gridCol w:w="556"/>
        <w:gridCol w:w="109"/>
        <w:gridCol w:w="109"/>
        <w:gridCol w:w="109"/>
        <w:gridCol w:w="109"/>
        <w:gridCol w:w="220"/>
        <w:gridCol w:w="220"/>
        <w:gridCol w:w="221"/>
        <w:gridCol w:w="109"/>
        <w:gridCol w:w="109"/>
        <w:gridCol w:w="109"/>
        <w:gridCol w:w="181"/>
        <w:gridCol w:w="871"/>
        <w:gridCol w:w="109"/>
        <w:gridCol w:w="109"/>
        <w:gridCol w:w="109"/>
        <w:gridCol w:w="109"/>
        <w:gridCol w:w="181"/>
        <w:gridCol w:w="811"/>
        <w:gridCol w:w="109"/>
        <w:gridCol w:w="109"/>
        <w:gridCol w:w="109"/>
        <w:gridCol w:w="109"/>
        <w:gridCol w:w="220"/>
        <w:gridCol w:w="220"/>
        <w:gridCol w:w="221"/>
        <w:gridCol w:w="109"/>
        <w:gridCol w:w="109"/>
        <w:gridCol w:w="109"/>
        <w:gridCol w:w="181"/>
        <w:gridCol w:w="871"/>
        <w:gridCol w:w="109"/>
        <w:gridCol w:w="109"/>
        <w:gridCol w:w="109"/>
        <w:gridCol w:w="109"/>
        <w:gridCol w:w="181"/>
        <w:gridCol w:w="811"/>
        <w:gridCol w:w="109"/>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2" w:type="dxa"/>
            <w:gridSpan w:val="4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4"/>
              </w:rPr>
              <w:t>Total</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Unrealized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Unrealized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Unrealized </w:t>
              <w:br/>
              <w:t xml:space="preserve">Losses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Fixed-Maturity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Residential mortgage and other 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38,675,604 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38,764,592 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fixed-maturity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6,063,428 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(19,517)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122,181,902 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(15,636,188)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128,245,330 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(15,655,705)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675"/>
        <w:jc w:val="both"/>
        <w:rPr/>
      </w:pPr>
      <w:r>
        <w:rPr/>
      </w:r>
    </w:p>
    <w:p>
      <w:pPr>
        <w:pStyle w:val="TextBody"/>
        <w:bidi w:val="0"/>
        <w:spacing w:lineRule="auto" w:line="28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204 securities at December 31, 2024 that accounted for the gross unrealized loss of our fixed-maturity securities available-for-sale, none of which were deemed to be credit losses by us. There were 140 securities at December 31, 2023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 </w:t>
      </w:r>
    </w:p>
    <w:p>
      <w:pPr>
        <w:pStyle w:val="TextBody"/>
        <w:bidi w:val="0"/>
        <w:spacing w:before="140" w:after="283"/>
        <w:ind w:left="0" w:right="0" w:firstLine="67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source of cash flow for our holding company are dividends and distributions received from KICO, which are subject to statutory restrictions. For the year ended December 31, 2024, KICO did not pay any dividends to us. Through June 30, 2024, KICO had a negative adjusted unassigned surplus. Based on that, KICO was not be able to pay any distributions to us without prior regulatory approval. In December 2023, KICO received regulatory approval to pay us a $2,300,000 distribution from paid in capital. KICO paid us the $2,300,000 distribution in the second quarter of 2024. In August 2024, KICO received regulatory approval to pay us a $5,000,000 distribution from paid in capital. KICO paid us the $5,000,000 distribution in the third quarter of 2024. As of December 31, 2024, KICO has eligible unassigned surplus of $12,017,831 and is able to pay dividends; however, KICO has an agreement with DFS pursuant to which KICO may only pay dividends to us for purposes of paying operating expenses and debt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9 – Investments to our consolidated financial statements for eligible collateral held in a designated custodian account available for future advances. Advances are limited to 5% of KICO’s net admitted assets as of the end of the previous quarter, which is September 30, 2024. On July 6, 2023, A.M. Best withdrew KICO’s ratings as KICO requested to no longer participate in A.M. Best’s interactive rating process. As a result of the withdrawal of A.M. Best ratings, KICO is currently only able to borrow on an overnight basis. The maximum allowable advance as of December 31, 2024, based on the net admitted assets as of September 30, 2024, was approximately $13,637,000. Available collateral as of December 31, 2024 was approximately $10,130,000. Advances are limited to 85% of the amount of available collateral. There were no borrowings under this facility during Year Ended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“at-the-market” (“ATM”) program. During the year ended December 31, 2024, we sold 1,437,287 shares of our Common Stock at a weighted average price of $9.79 per share and raised $13,610,807 in net proceeds under the ATM program. As of December 31, 2024, we had remaining capacity to sell up to an additional $2,325,087 of our Common Stock under the ATM program. On January 7, 2025, we filed a prospectus supplement with the SEC increasing the aggregate offering price under the ATM program to $25,000,000 from approximately $16,400,000.</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12, 2024, we issued the 2024 Notes in the aggregate principal amount of $14,950,000 pursuant to the 2024 Exchange Agreement. Interest was payable semi-annually in arrears on June 30 and December 30 of each year at the rate of 13.75% per annum. The maturity date of the 2024 Notes was June 30, 2026. As of December 31,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of the 2024 Notes was $5,950,000. On February 24, 2025, we paid the balance of the 2024 Notes in full reducing the outstanding balance to $0.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aforementioned sources of cash flow currently available are insufficient to cover our holding company debt service and other cash requirements, we will seek to obtain additional financing.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reconciliation of net income (loss) to net cash provided by (used in) by operations is generally influenced by the collection of premiums in advance of paid losses, the timing of reinsurance, issuing company settlements and loss payments.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Cash flow and liquidity are categorized into three sources: (1) operating activities; (2) investing activities; and (3) financing activities, which are shown in the following table:</w:t>
      </w:r>
    </w:p>
    <w:tbl>
      <w:tblPr>
        <w:tblW w:w="8373" w:type="dxa"/>
        <w:jc w:val="left"/>
        <w:tblInd w:w="0" w:type="dxa"/>
        <w:tblLayout w:type="fixed"/>
        <w:tblCellMar>
          <w:top w:w="28" w:type="dxa"/>
          <w:left w:w="28" w:type="dxa"/>
          <w:bottom w:w="28" w:type="dxa"/>
          <w:right w:w="28" w:type="dxa"/>
        </w:tblCellMar>
      </w:tblPr>
      <w:tblGrid>
        <w:gridCol w:w="1617"/>
        <w:gridCol w:w="1421"/>
        <w:gridCol w:w="1432"/>
        <w:gridCol w:w="109"/>
        <w:gridCol w:w="109"/>
        <w:gridCol w:w="109"/>
        <w:gridCol w:w="211"/>
        <w:gridCol w:w="1081"/>
        <w:gridCol w:w="109"/>
        <w:gridCol w:w="109"/>
        <w:gridCol w:w="109"/>
        <w:gridCol w:w="109"/>
        <w:gridCol w:w="211"/>
        <w:gridCol w:w="1156"/>
        <w:gridCol w:w="109"/>
        <w:gridCol w:w="109"/>
        <w:gridCol w:w="109"/>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19,692,443 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(2,981,230)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28,669,441 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$57,948,000 in the Year Ended 2024 as compared to $11,327,000 used in operating activities in Year Ended 2023. The $69,275,000 increase in cash flows provided by operating activities in Year Ended 2024 as compared to Year Ended 2023 was primarily the result of the change to net income from net loss (adjusted for non-cash items) of $69,275,000 and cash provided arising from net fluctuations in operating assets and liabilities. The net fluctuations in assets and liabilities are related to operating activities of KICO as affected by growth or declines in its operations, payments on claims and other changes, which are described above.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$35,261,000 in Year Ended 2024 compared to $9,462,000 provided by investing activities in Year Ended 2023 resulting in a $44,723,000 increase in net cash used in investing activities. In Year Ended 2024, we had net cash used by our investment portfolio of $32,924,000, compared to $11,289,000 provided in Year Ended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$2,994,000 in Year Ended 2024 compared to $1,116,000 used in Year Ended 2023. Net cash used in financing activities were primarily principal payments of $5,000,000 on our 2022 Notes, $9,000,000 on our 2024 Notes, and $1,154,000 on our equipment financing debt in connection with KICO’s sale-leaseback transaction. In addition, we paid $1,311,000 for withholding taxes on vested restricted stock awards. The principal payments on the 2024 Notes were made by using a portion of the $13,611,000 net proceeds from our ATM offering. </w:t>
      </w:r>
    </w:p>
    <w:p>
      <w:pPr>
        <w:pStyle w:val="TextBody"/>
        <w:bidi w:val="0"/>
        <w:spacing w:before="240" w:after="283"/>
        <w:ind w:left="0" w:right="0" w:firstLine="720"/>
        <w:jc w:val="both"/>
        <w:rPr/>
      </w:pPr>
      <w:r>
        <w:rPr/>
      </w:r>
    </w:p>
    <w:p>
      <w:pPr>
        <w:pStyle w:val="TextBody"/>
        <w:bidi w:val="0"/>
        <w:spacing w:before="140" w:after="283"/>
        <w:ind w:left="0" w:right="0" w:firstLine="67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Reinsurance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information with respect to each reinsurer that accounted for more than 10% of our reinsurance recoverables on paid and unpaid losses and loss adjustment expenses as of December 31, 2024:</w:t>
      </w:r>
    </w:p>
    <w:tbl>
      <w:tblPr>
        <w:tblW w:w="8418" w:type="dxa"/>
        <w:jc w:val="left"/>
        <w:tblInd w:w="0" w:type="dxa"/>
        <w:tblLayout w:type="fixed"/>
        <w:tblCellMar>
          <w:top w:w="28" w:type="dxa"/>
          <w:left w:w="28" w:type="dxa"/>
          <w:bottom w:w="28" w:type="dxa"/>
          <w:right w:w="28" w:type="dxa"/>
        </w:tblCellMar>
      </w:tblPr>
      <w:tblGrid>
        <w:gridCol w:w="1222"/>
        <w:gridCol w:w="1074"/>
        <w:gridCol w:w="1079"/>
        <w:gridCol w:w="109"/>
        <w:gridCol w:w="109"/>
        <w:gridCol w:w="109"/>
        <w:gridCol w:w="359"/>
        <w:gridCol w:w="359"/>
        <w:gridCol w:w="361"/>
        <w:gridCol w:w="109"/>
        <w:gridCol w:w="109"/>
        <w:gridCol w:w="109"/>
        <w:gridCol w:w="259"/>
        <w:gridCol w:w="1331"/>
        <w:gridCol w:w="134"/>
        <w:gridCol w:w="109"/>
        <w:gridCol w:w="109"/>
        <w:gridCol w:w="109"/>
        <w:gridCol w:w="307"/>
        <w:gridCol w:w="309"/>
        <w:gridCol w:w="271"/>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 </w:t>
              <w:br/>
              <w:t>Best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br/>
              <w:t xml:space="preserve">Recoverable </w:t>
              <w:br/>
              <w:t>as of</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14,911,000 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Hanover Rueck 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22,665,000 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37,577,000 </w:t>
            </w:r>
          </w:p>
        </w:tc>
        <w:tc>
          <w:tcPr>
            <w:tcW w:w="1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(1)Of $8,731,000 reinsurance recoverables included in Others at December 31, 2024, $393,000 was guaranteed by irrevocable letters of credit.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31, 2021, we entered into a quota share reinsurance treaty for our personal lines business, which primarily consisted of homeowners’ and dwelling fire policies, covering the period from December 31, 2021 through January 1, 2023 (“2021/2023 Treaty”). Upon the expiration of the 2021/2023 Treaty on January 1, 2023, we entered into a new 30% quota share reinsurance treaty for our personal lines business, covering the period from January 1, 2023 through January 1, 2024 (“2023/2024 Treaty”). Upon the expiration of the 2023/2024 Treaty on January 1, 2024, we entered into a new 27% quota share reinsurance treaty for our personal lines business,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excess of loss and catastrophe reinsurance treaties expired on June 30, 2024 and we entered into new excess of loss and catastrophe reinsurance treaties effective July 1, 2024 (as discussed below). Effective January 1, 2022, we entered into an underlying excess of loss reinsurance treaty (“Underlying XOL Treaty”) covering the period from January 1, 2022 through January 1, 2023. The Underlying XOL Treaty provided 50% reinsurance coverage for losses of $400,000 in excess of $600,000. Losses from named storms are excluded from the Underlying XOL Treaty. Effective January 1, 2023, the Underlying XOL Treaty was renewed covering the period from January 1, 2023 through January 1, 2024. Effective January 1, 2024, the Underlying XOL Treaty was renewed covering the period from January 1, 2024 through January 1, 2025. Effective July 1, 2024, we purchased $275,000,000 of catastrophe reinsurance in excess of $5,000,000, compared to $315,000,000 of catastrophe reinsurance in excess of $10,000,000 in the expiring treaty. Our ability to reduce the top limit of our catastrophe reinsurance was due to our tightened underwriting as discussed above and curtailing new business growth through June 30, 2024, which reduced our probable maximum loss. For the period October 1, 2024 through April 30, 2025, we purchased catastrophe reinsurance which will provide coverage for winter storm losses to the extent of 71% of $4,500,000 in excess of $5,500,000. Effective January 1, 2025, the Underlying XOL Treaty was renewed covering the period from January 1, 2025 through June 30, 2025. Material terms for our reinsurance treaties in effect for the treaty years shown below are as follows: </w:t>
      </w:r>
    </w:p>
    <w:p>
      <w:pPr>
        <w:pStyle w:val="TextBody"/>
        <w:bidi w:val="0"/>
        <w:spacing w:before="240" w:after="283"/>
        <w:ind w:left="0" w:right="0" w:firstLine="67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13767" w:type="dxa"/>
        <w:jc w:val="left"/>
        <w:tblInd w:w="0" w:type="dxa"/>
        <w:tblLayout w:type="fixed"/>
        <w:tblCellMar>
          <w:top w:w="28" w:type="dxa"/>
          <w:left w:w="28" w:type="dxa"/>
          <w:bottom w:w="28" w:type="dxa"/>
          <w:right w:w="28" w:type="dxa"/>
        </w:tblCellMar>
      </w:tblPr>
      <w:tblGrid>
        <w:gridCol w:w="612"/>
        <w:gridCol w:w="410"/>
        <w:gridCol w:w="269"/>
        <w:gridCol w:w="109"/>
        <w:gridCol w:w="109"/>
        <w:gridCol w:w="109"/>
        <w:gridCol w:w="211"/>
        <w:gridCol w:w="1081"/>
        <w:gridCol w:w="271"/>
        <w:gridCol w:w="109"/>
        <w:gridCol w:w="109"/>
        <w:gridCol w:w="109"/>
        <w:gridCol w:w="211"/>
        <w:gridCol w:w="1186"/>
        <w:gridCol w:w="271"/>
        <w:gridCol w:w="109"/>
        <w:gridCol w:w="109"/>
        <w:gridCol w:w="109"/>
        <w:gridCol w:w="211"/>
        <w:gridCol w:w="1186"/>
        <w:gridCol w:w="271"/>
        <w:gridCol w:w="109"/>
        <w:gridCol w:w="109"/>
        <w:gridCol w:w="109"/>
        <w:gridCol w:w="211"/>
        <w:gridCol w:w="1186"/>
        <w:gridCol w:w="271"/>
        <w:gridCol w:w="109"/>
        <w:gridCol w:w="109"/>
        <w:gridCol w:w="109"/>
        <w:gridCol w:w="211"/>
        <w:gridCol w:w="1186"/>
        <w:gridCol w:w="271"/>
        <w:gridCol w:w="109"/>
        <w:gridCol w:w="109"/>
        <w:gridCol w:w="109"/>
        <w:gridCol w:w="211"/>
        <w:gridCol w:w="1186"/>
        <w:gridCol w:w="271"/>
        <w:gridCol w:w="178"/>
        <w:gridCol w:w="178"/>
        <w:gridCol w:w="255"/>
      </w:tblGrid>
      <w:tr>
        <w:trPr/>
        <w:tc>
          <w:tcPr>
            <w:tcW w:w="6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Treaty Period </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2025/2026 Treaty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2024/2025 Treaty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2023/2024 Treaty</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w:t>
              <w:br/>
              <w:t xml:space="preserve">2025 </w:t>
              <w:br/>
              <w:t xml:space="preserve">to </w:t>
              <w:br/>
              <w:t>January 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2, </w:t>
              <w:br/>
              <w:t>2025</w:t>
              <w:br/>
              <w:t xml:space="preserve">to </w:t>
              <w:b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w:t>
              <w:br/>
              <w:t xml:space="preserve">2024 </w:t>
              <w:br/>
              <w:t xml:space="preserve">to </w:t>
              <w:br/>
              <w:t>January 1,</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w:t>
              <w:br/>
              <w:t>2024</w:t>
              <w:br/>
              <w:t xml:space="preserve">to </w:t>
              <w:b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w:t>
              <w:br/>
              <w:t xml:space="preserve">2023 </w:t>
              <w:br/>
              <w:t xml:space="preserve">to </w:t>
              <w:br/>
              <w:t>January 1,</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w:t>
              <w:br/>
              <w:t>2023</w:t>
              <w:br/>
              <w:t xml:space="preserve">to </w:t>
              <w:br/>
              <w:t xml:space="preserve">June 30, </w:t>
              <w:br/>
              <w:t>2023</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Homeowners, dwelling fire and canine legal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treaty: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ceded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retained on initial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 of losses (5) (6)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per occurrence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quota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coverage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facultative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coverage (1) (5)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occurrence (5)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per occurrence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coverage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Catastrophe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loss subject to personal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quota share treaty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retained per catastrophe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occurrence (6) (7) (8)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loss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coverage (2)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Reinstatement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protection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(1)For personal lines, includes the addition of an automatic facultative facility allowing KICO to obtain homeowners single risk coverage up to $9,000,000 in total insured value, which covers direct losses from $3,500,000 to $9,000,000 through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1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(2)Catastrophe coverage is limited on an annual basis to two times the per occurrence amounts. Duration of 168 consecutive hours for a catastrophe occurrence from windstorm, hail, tornado, hurricane and cyclone.</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(3)For the period July 1, 2022 through June 30, 2023, reinstatement premium protection for $12,500,000 of catastrophe coverage in excess of $10,0000,000. For the period July 1, 2023 through June 30, 2024, reinstatement premium protection for $50,000,000 of catastrophe coverage in excess of $10,000,000.</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(4)For the period July 1, 2024 through June 30, 2025 (expiration date of the catastrophe reinsurance treaty), reinstatement premium protection for $50,000,000 of catastrophe coverage in excess of 10,000,000.</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(5)For the period January 1, 2022 through June 30, 2025, underlying excess of loss treaty provides 50% reinsurance coverage for losses of 400,000 in excess of 600,000. Excludes losses from named storms. Reduces retention to $500,000 from $700,000 under the 2023/2024 Treaty. Reduces retention to $530,000 from $730,000 under the 2024/2025 Treaty. Retention increases to $640,000 from $530,000 under the 2025/2026 Treaty.</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(6)Excess of loss coverage and facultative facility and catastrophe reinsurance treaties will expire on June 30,2025, with none of these coverages to be in effect during the period from July 1 2025 through January 1, 2026. If and when these treaties are renewed on July 1, 2025, the excess of loss and facultative facility, and the catastrophe reinsurance treaty, will be as provided for therein. Reinsurance coverage in effect from July 1, 2025 through January 1, 2026 is currently only covered under the 2025/2026 Treaty and (underlying excess of loss reinsurance treaty through June 30, 2025). The 2025/2026 Treaty will expire on January 1, 2026.</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(7)For the 2023/2024 Treaty, 17.5% of the 30% total of losses ceded under this treaty are excluded from a named catastrophe event. For the 2024/2025 Treaty, 22% of the 27% total of losses ceded under this treaty are excluded from a named catastrophe event.For the 2025/2026 Treaty, 6% of the 16% total of losses ceded under this treaty are excluded from a catastrophe event.</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(8)Plus losses in excess of catastrophe coverage.</w:t>
      </w:r>
    </w:p>
    <w:p>
      <w:pPr>
        <w:pStyle w:val="TextBody"/>
        <w:bidi w:val="0"/>
        <w:spacing w:lineRule="auto" w:line="276" w:before="0" w:after="0"/>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(9)For the period October 1, 2024 through April 30, 2025, additional catastrophe reinsurance treaty will provide coverage for winter storm losses to the extent of 71% of $4,500,000 in excess of $5,500,000. Retention for winter storms under this treaty is $4,800,000 under the 2024/2025 Treaty and $5,200,000 under the 2025/2026 Treaty. </w:t>
      </w:r>
    </w:p>
    <w:tbl>
      <w:tblPr>
        <w:tblW w:w="10205" w:type="dxa"/>
        <w:jc w:val="left"/>
        <w:tblInd w:w="0" w:type="dxa"/>
        <w:tblLayout w:type="fixed"/>
        <w:tblCellMar>
          <w:top w:w="28" w:type="dxa"/>
          <w:left w:w="28" w:type="dxa"/>
          <w:bottom w:w="28" w:type="dxa"/>
          <w:right w:w="28" w:type="dxa"/>
        </w:tblCellMar>
      </w:tblPr>
      <w:tblGrid>
        <w:gridCol w:w="1517"/>
        <w:gridCol w:w="1336"/>
        <w:gridCol w:w="1325"/>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96"/>
        <w:gridCol w:w="196"/>
        <w:gridCol w:w="280"/>
      </w:tblGrid>
      <w:tr>
        <w:trPr/>
        <w:tc>
          <w:tcPr>
            <w:tcW w:w="151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Treaty Year</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July 1, 2024</w:t>
              <w:br/>
              <w:t xml:space="preserve">to </w:t>
              <w:br/>
              <w:t>June 30, 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2023 </w:t>
              <w:br/>
              <w:t xml:space="preserve">to </w:t>
              <w:br/>
              <w:t>June 30, 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2022 </w:t>
              <w:br/>
              <w:t xml:space="preserve">to </w:t>
              <w:br/>
              <w:t>June 30, 2023</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Umbrella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treaty: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Percent ceded - first $1,000,000 of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Percent ceded - excess of $1,000,000 dollars of coverage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retained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coverage per occurrence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per occurrence subject to quota share reinsurance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Commercial Lines (1)</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(1)Coverage on all commercial lines policies expired in September 2020; reinsurance coverage is based on treaties in effect on the date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Inflation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rates of inflation also influence interest rates, which in turn impact the market value of our investment portfolio and yields on new investments. Operating expenses, including salaries and benefits, generally are impacted by inflation.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Year Ended 2024 included continuing economic inflation, albeit tempered compared to 2023, which resulted in a sustained increase in interest rates, a widening of credit spreads, lower public equity valuations, and significant financial market volatility. The higher interest rates and widening of credit spreads reduced the value of our fixed income securities. For Year Ended 2024, the continuing economic inflation impacted our loss and loss adjustment expenses as well; should these trends continue in the near-term, it would in all likelihood negatively impact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should be considered in addition to, and not as a substitute for or superior to, financial measures presented in accordance with GAAP.</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underlying loss ratio and the net loss ratio excluding the effect of catastrophes to the net loss ratio for the periods presented:</w:t>
      </w:r>
    </w:p>
    <w:p>
      <w:pPr>
        <w:pStyle w:val="TextBody"/>
        <w:bidi w:val="0"/>
        <w:spacing w:before="0" w:after="0"/>
        <w:jc w:val="left"/>
        <w:rPr/>
      </w:pPr>
      <w:r>
        <w:rPr/>
      </w:r>
    </w:p>
    <w:p>
      <w:pPr>
        <w:pStyle w:val="TextBody"/>
        <w:bidi w:val="0"/>
        <w:spacing w:before="0" w:after="0"/>
        <w:jc w:val="left"/>
        <w:rPr/>
      </w:pPr>
      <w:r>
        <w:rPr/>
      </w:r>
    </w:p>
    <w:tbl>
      <w:tblPr>
        <w:tblW w:w="6928" w:type="dxa"/>
        <w:jc w:val="left"/>
        <w:tblInd w:w="0" w:type="dxa"/>
        <w:tblLayout w:type="fixed"/>
        <w:tblCellMar>
          <w:top w:w="28" w:type="dxa"/>
          <w:left w:w="28" w:type="dxa"/>
          <w:bottom w:w="28" w:type="dxa"/>
          <w:right w:w="28" w:type="dxa"/>
        </w:tblCellMar>
      </w:tblPr>
      <w:tblGrid>
        <w:gridCol w:w="1524"/>
        <w:gridCol w:w="1341"/>
        <w:gridCol w:w="1350"/>
        <w:gridCol w:w="271"/>
        <w:gridCol w:w="255"/>
        <w:gridCol w:w="548"/>
        <w:gridCol w:w="180"/>
        <w:gridCol w:w="180"/>
        <w:gridCol w:w="180"/>
        <w:gridCol w:w="271"/>
        <w:gridCol w:w="255"/>
        <w:gridCol w:w="573"/>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Underlying Loss Ratio</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48.2</w:t>
            </w:r>
            <w:r>
              <w:rPr>
                <w:color w:val="000000"/>
              </w:rPr>
              <w:t> </w:t>
            </w:r>
          </w:p>
        </w:tc>
        <w:tc>
          <w:tcPr>
            <w:tcW w:w="54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65.3</w:t>
            </w:r>
            <w:r>
              <w:rPr>
                <w:color w:val="000000"/>
              </w:rPr>
              <w:t> </w:t>
            </w:r>
          </w:p>
        </w:tc>
        <w:tc>
          <w:tcPr>
            <w:tcW w:w="57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prior year reserve development</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7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ratio excluding the effect of catastrophes</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46.8</w:t>
            </w:r>
            <w:r>
              <w:rPr>
                <w:color w:val="000000"/>
              </w:rPr>
              <w:t>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65.3</w:t>
            </w:r>
            <w:r>
              <w:rPr>
                <w:color w:val="000000"/>
              </w:rPr>
              <w:t>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catastrophes</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7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GAAP net loss ratio</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48.7</w:t>
            </w:r>
            <w:r>
              <w:rPr>
                <w:color w:val="000000"/>
              </w:rPr>
              <w:t>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72.4</w:t>
            </w:r>
            <w:r>
              <w:rPr>
                <w:color w:val="000000"/>
              </w:rPr>
              <w:t>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net loss ratio excluding commercial lines business to the net loss ratio for the periods presented:</w:t>
      </w:r>
    </w:p>
    <w:p>
      <w:pPr>
        <w:pStyle w:val="TextBody"/>
        <w:bidi w:val="0"/>
        <w:spacing w:before="0" w:after="0"/>
        <w:jc w:val="left"/>
        <w:rPr/>
      </w:pPr>
      <w:r>
        <w:rPr/>
      </w:r>
    </w:p>
    <w:p>
      <w:pPr>
        <w:pStyle w:val="TextBody"/>
        <w:bidi w:val="0"/>
        <w:spacing w:before="0" w:after="0"/>
        <w:jc w:val="left"/>
        <w:rPr/>
      </w:pPr>
      <w:r>
        <w:rPr/>
      </w:r>
    </w:p>
    <w:tbl>
      <w:tblPr>
        <w:tblW w:w="8038" w:type="dxa"/>
        <w:jc w:val="left"/>
        <w:tblInd w:w="0" w:type="dxa"/>
        <w:tblLayout w:type="fixed"/>
        <w:tblCellMar>
          <w:top w:w="28" w:type="dxa"/>
          <w:left w:w="28" w:type="dxa"/>
          <w:bottom w:w="28" w:type="dxa"/>
          <w:right w:w="28" w:type="dxa"/>
        </w:tblCellMar>
      </w:tblPr>
      <w:tblGrid>
        <w:gridCol w:w="1933"/>
        <w:gridCol w:w="1699"/>
        <w:gridCol w:w="1708"/>
        <w:gridCol w:w="270"/>
        <w:gridCol w:w="256"/>
        <w:gridCol w:w="509"/>
        <w:gridCol w:w="184"/>
        <w:gridCol w:w="184"/>
        <w:gridCol w:w="184"/>
        <w:gridCol w:w="270"/>
        <w:gridCol w:w="256"/>
        <w:gridCol w:w="585"/>
      </w:tblGrid>
      <w:tr>
        <w:trPr/>
        <w:tc>
          <w:tcPr>
            <w:tcW w:w="19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ratio excluding the effect of commercial lines business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5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commercial lines business</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GAAP net loss ratio</w:t>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48.7</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72.4</w:t>
            </w:r>
            <w:r>
              <w:rPr>
                <w:color w:val="000000"/>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net income (loss) from insurance underwriting business on a standalone basis to GAAP net income (loss) for the periods presented: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9759" w:type="dxa"/>
        <w:jc w:val="left"/>
        <w:tblInd w:w="0" w:type="dxa"/>
        <w:tblLayout w:type="fixed"/>
        <w:tblCellMar>
          <w:top w:w="28" w:type="dxa"/>
          <w:left w:w="28" w:type="dxa"/>
          <w:bottom w:w="28" w:type="dxa"/>
          <w:right w:w="28" w:type="dxa"/>
        </w:tblCellMar>
      </w:tblPr>
      <w:tblGrid>
        <w:gridCol w:w="2391"/>
        <w:gridCol w:w="2102"/>
        <w:gridCol w:w="2107"/>
        <w:gridCol w:w="211"/>
        <w:gridCol w:w="1096"/>
        <w:gridCol w:w="109"/>
        <w:gridCol w:w="109"/>
        <w:gridCol w:w="109"/>
        <w:gridCol w:w="109"/>
        <w:gridCol w:w="211"/>
        <w:gridCol w:w="1051"/>
        <w:gridCol w:w="154"/>
      </w:tblGrid>
      <w:tr>
        <w:trPr/>
        <w:tc>
          <w:tcPr>
            <w:tcW w:w="2391"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from insurance underwriting business on a standalone basis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23,581,855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(1,487,910)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Holding company operations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GAAP 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18,358,436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(6,168,346)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net loss ratio excluding the effect of catastrophes, net underwriting expense ratio excluding the effect of catastrophes, and net combined ratio excluding the effect of catastrophes to GAAP net loss ratio, GAAP net underwriting expense ratio, and GAAP net combined ratio, respectively, for the periods presented:</w:t>
      </w:r>
    </w:p>
    <w:p>
      <w:pPr>
        <w:pStyle w:val="TextBody"/>
        <w:bidi w:val="0"/>
        <w:spacing w:before="0" w:after="0"/>
        <w:jc w:val="left"/>
        <w:rPr/>
      </w:pPr>
      <w:r>
        <w:rPr/>
      </w:r>
    </w:p>
    <w:tbl>
      <w:tblPr>
        <w:tblW w:w="8518" w:type="dxa"/>
        <w:jc w:val="left"/>
        <w:tblInd w:w="0" w:type="dxa"/>
        <w:tblLayout w:type="fixed"/>
        <w:tblCellMar>
          <w:top w:w="28" w:type="dxa"/>
          <w:left w:w="28" w:type="dxa"/>
          <w:bottom w:w="28" w:type="dxa"/>
          <w:right w:w="28" w:type="dxa"/>
        </w:tblCellMar>
      </w:tblPr>
      <w:tblGrid>
        <w:gridCol w:w="2072"/>
        <w:gridCol w:w="1817"/>
        <w:gridCol w:w="1826"/>
        <w:gridCol w:w="271"/>
        <w:gridCol w:w="255"/>
        <w:gridCol w:w="509"/>
        <w:gridCol w:w="184"/>
        <w:gridCol w:w="184"/>
        <w:gridCol w:w="184"/>
        <w:gridCol w:w="325"/>
        <w:gridCol w:w="306"/>
        <w:gridCol w:w="585"/>
      </w:tblGrid>
      <w:tr>
        <w:trPr/>
        <w:tc>
          <w:tcPr>
            <w:tcW w:w="207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ratio excluding the effect of catastrophes</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46.8</w:t>
            </w:r>
            <w:r>
              <w:rPr>
                <w:color w:val="000000"/>
              </w:rPr>
              <w:t> </w:t>
            </w:r>
          </w:p>
        </w:tc>
        <w:tc>
          <w:tcPr>
            <w:tcW w:w="5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65.3</w:t>
            </w:r>
            <w:r>
              <w:rPr>
                <w:color w:val="000000"/>
              </w:rPr>
              <w:t> </w:t>
            </w:r>
          </w:p>
        </w:tc>
        <w:tc>
          <w:tcPr>
            <w:tcW w:w="5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GAAP net loss ratio</w:t>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48.7</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72.4</w:t>
            </w:r>
            <w:r>
              <w:rPr>
                <w:color w:val="000000"/>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underwriting expense ratio excluding the effect of catastrophes</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31.3</w:t>
            </w:r>
            <w:r>
              <w:rPr>
                <w:color w:val="000000"/>
              </w:rPr>
              <w:t> </w:t>
            </w:r>
          </w:p>
        </w:tc>
        <w:tc>
          <w:tcPr>
            <w:tcW w:w="5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32.9</w:t>
            </w:r>
            <w:r>
              <w:rPr>
                <w:color w:val="000000"/>
              </w:rPr>
              <w:t> </w:t>
            </w:r>
          </w:p>
        </w:tc>
        <w:tc>
          <w:tcPr>
            <w:tcW w:w="5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GAAP net underwriting expense ratio</w:t>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31.3</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32.9</w:t>
            </w:r>
            <w:r>
              <w:rPr>
                <w:color w:val="000000"/>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combined ratio excluding the effect of catastrophes</w:t>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5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5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catastrophes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GAAP net combined ratio</w:t>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80.0</w:t>
            </w:r>
            <w:r>
              <w:rPr>
                <w:color w:val="000000"/>
              </w:rPr>
              <w:t>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105.3</w:t>
            </w:r>
            <w:r>
              <w:rPr>
                <w:color w:val="000000"/>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2024, two large competitors announced a plan to wind down their personal lines operations in New York State and to non-renew or mid-term cancel their entire book of business by December 31, 2024. Our producers placed a sizable number of these policies with KICO. As such, we anticipate the sizeable increase in our direct earned premium to continue into 2025. See “Forward-Looking Statements” before Part I, Item 1.</w:t>
      </w:r>
    </w:p>
    <w:p>
      <w:pPr>
        <w:pStyle w:val="TextBody"/>
        <w:bidi w:val="0"/>
        <w:spacing w:before="240" w:after="283"/>
        <w:ind w:left="0" w:right="0" w:firstLine="67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pPr>
      <w:r>
        <w:rPr>
          <w:rFonts w:ascii="Times New Roman;sans-serif" w:hAnsi="Times New Roman;sans-serif"/>
          <w:b/>
          <w:color w:val="000000"/>
          <w:sz w:val="20"/>
          <w:u w:val="single"/>
        </w:rPr>
        <w:t>ITEM 7A</w:t>
      </w: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20"/>
          <w:u w:val="single"/>
        </w:rPr>
        <w:t>QUANTITATIVE AND QUALITATIVE DISCLOSURES ABOUT MARKET RISK</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This item is not applicable to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8.FINANCIAL STATEMENTS AND SUPPLEMENTARY DATA</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required by this Item 8 are included in this Annual Report following Item 16 hereof. As a smaller reporting company, we are not required to provide supplementary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9.CHANGES IN AND DISAGREEMENTS WITH ACCOUNTANTS ON</w:t>
      </w:r>
      <w:r>
        <w:rPr>
          <w:color w:val="000000"/>
        </w:rPr>
        <w:t xml:space="preserve"> </w:t>
      </w:r>
      <w:r>
        <w:rPr>
          <w:rFonts w:ascii="Times New Roman;sans-serif" w:hAnsi="Times New Roman;sans-serif"/>
          <w:b/>
          <w:color w:val="000000"/>
          <w:sz w:val="20"/>
          <w:u w:val="single"/>
        </w:rPr>
        <w:t>ACCOUNTING AND FINANCIAL DISCLOSURE</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9A.</w:t>
      </w:r>
      <w:r>
        <w:rPr>
          <w:color w:val="000000"/>
        </w:rPr>
        <w:t xml:space="preserve"> </w:t>
      </w:r>
      <w:r>
        <w:rPr>
          <w:rFonts w:ascii="Times New Roman;sans-serif" w:hAnsi="Times New Roman;sans-serif"/>
          <w:b/>
          <w:color w:val="000000"/>
          <w:sz w:val="20"/>
          <w:u w:val="single"/>
        </w:rPr>
        <w:t>CONTROLS AND PROCEDURES</w:t>
      </w:r>
      <w:r>
        <w:rPr>
          <w:rFonts w:ascii="Times New Roman;sans-serif" w:hAnsi="Times New Roman;sans-serif"/>
          <w:b w:val="false"/>
          <w:color w:val="000000"/>
          <w:sz w:val="20"/>
        </w:rPr>
        <w:t>.</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ind w:left="0" w:right="0" w:firstLine="675"/>
        <w:jc w:val="left"/>
        <w:rPr/>
      </w:pPr>
      <w:r>
        <w:rPr/>
      </w:r>
    </w:p>
    <w:p>
      <w:pPr>
        <w:pStyle w:val="TextBody"/>
        <w:bidi w:val="0"/>
        <w:spacing w:lineRule="auto" w:line="256" w:before="0" w:after="0"/>
        <w:ind w:left="0" w:right="0" w:firstLine="675"/>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is responsible for establishing and maintaining adequate disclosure controls and procedures. Under the supervision and with the participation of management, including our Chief Executive Officer and Chief Financial Officer, we conducted an evaluation of the effectiveness of our disclosure controls and procedures as of December 31, 2024. </w:t>
      </w:r>
    </w:p>
    <w:p>
      <w:pPr>
        <w:pStyle w:val="TextBody"/>
        <w:bidi w:val="0"/>
        <w:spacing w:before="0" w:after="0"/>
        <w:ind w:left="0" w:right="0" w:firstLine="675"/>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previously disclosed that on November 12, 2024, we issued a press release announcing our financial results for the period ended September 30, 2024 (the “Press Release”). In the Press Release, we indicated that our book value per share – diluted and book value per share – diluted excluding accumulated other comprehensive income (“AOCI”) as of September 30, 2024 were $4.58 and $5.28, respectively. On November 15, 2024, we determined that such figures were calculated based upon an incorrect number of shares of common stock outstanding on a fully diluted basis as of September 30, 2024. Based upon the correct number of shares of common stock outstanding on a fully diluted basis, the book value per share – diluted and book value per share – diluted excluding AOCI as of September 30, 2024 were $4.32 and $4.97, respectively.</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continually review our disclosure controls and procedures and make changes, as necessary, to ensure the quality of our financial reporting. In particular, we have recently implemented a new financial reporting system which we believe has remediated the disclosure control deficiency. It will require time to demonstrate the effectiveness of the remediation, and as such we conclude that the disclosure controls and procedures were not effective as of December 31, 2024.</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Except as noted above, 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 The ineffectiveness in our disclosure controls and procedures discussed above under “Evaluation of Disclosure Controls and Procedures” did not relate to our internal control over financial reporting.</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76" w:before="240" w:after="283"/>
        <w:ind w:left="0" w:right="0" w:firstLine="675"/>
        <w:jc w:val="both"/>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 13a-15(f) under the Exchange Act. Under the supervision and with the participation of management, including our Chief Executive Officer and Chief Financial Officer, we conducted an evaluation of the effectiveness of our internal control over financial reporting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issued by the Committee of Sponsoring Organizations of the Treadway Commission. Based on our evaluation, our management concluded that our internal control over financial reporting was effective as of December 31, 2024.</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Inherent Limitation on Effectiveness of Controls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9B.</w:t>
      </w:r>
      <w:r>
        <w:rPr>
          <w:color w:val="000000"/>
        </w:rPr>
        <w:t xml:space="preserve"> </w:t>
      </w:r>
      <w:r>
        <w:rPr>
          <w:rFonts w:ascii="Times New Roman;sans-serif" w:hAnsi="Times New Roman;sans-serif"/>
          <w:b/>
          <w:color w:val="000000"/>
          <w:sz w:val="20"/>
          <w:u w:val="single"/>
        </w:rPr>
        <w:t>OTHER INFORMATION</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9C. DISCLOSURES REGARDING FOREIGN JURISDITIONS THAT PREVENT INSPECTIONS.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10.</w:t>
      </w:r>
      <w:r>
        <w:rPr>
          <w:color w:val="000000"/>
        </w:rPr>
        <w:t xml:space="preserve"> </w:t>
      </w:r>
      <w:r>
        <w:rPr>
          <w:rFonts w:ascii="Times New Roman;sans-serif" w:hAnsi="Times New Roman;sans-serif"/>
          <w:b/>
          <w:color w:val="000000"/>
          <w:sz w:val="20"/>
          <w:u w:val="single"/>
        </w:rPr>
        <w:t>DIRECTORS, EXECUTIVE OFFICERS AND CORPORATE GOVERNANCE</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Executive Officers and Directors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positions and offices presently held by each of our current directors and executive officers and their ages:</w:t>
      </w:r>
    </w:p>
    <w:tbl>
      <w:tblPr>
        <w:tblW w:w="10205" w:type="dxa"/>
        <w:jc w:val="left"/>
        <w:tblInd w:w="0" w:type="dxa"/>
        <w:tblLayout w:type="fixed"/>
        <w:tblCellMar>
          <w:top w:w="28" w:type="dxa"/>
          <w:left w:w="28" w:type="dxa"/>
          <w:bottom w:w="28" w:type="dxa"/>
          <w:right w:w="28" w:type="dxa"/>
        </w:tblCellMar>
      </w:tblPr>
      <w:tblGrid>
        <w:gridCol w:w="673"/>
        <w:gridCol w:w="556"/>
        <w:gridCol w:w="551"/>
        <w:gridCol w:w="109"/>
        <w:gridCol w:w="109"/>
        <w:gridCol w:w="109"/>
        <w:gridCol w:w="160"/>
        <w:gridCol w:w="160"/>
        <w:gridCol w:w="162"/>
        <w:gridCol w:w="109"/>
        <w:gridCol w:w="109"/>
        <w:gridCol w:w="109"/>
        <w:gridCol w:w="2186"/>
        <w:gridCol w:w="2106"/>
        <w:gridCol w:w="2997"/>
      </w:tblGrid>
      <w:tr>
        <w:trPr/>
        <w:tc>
          <w:tcPr>
            <w:tcW w:w="67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Positions and Offices Held:</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9"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Meryl S. Golden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Thomas Newgarden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Non-Executive Chairman of the Board and Director</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Jennifer L. Gravelle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Treasurer</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Sarah (Minlei) Chen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Actuary and Head of Product Management, Kingstone Insurance Company</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Floyd R. Tupper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Secretary and Director</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P. McFadden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(Lead Independent Director)</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William L. Yankus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Carla A. D’Andre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Manmohan Singh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lineRule="auto" w:line="276"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Meryl S. Golden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Ms. Golden has served as our Chief Executive Officer and President since October 2023 and as one of our directors since March 2020. She has also served as a director and a member of the Executive Committee of Kingstone Insurance Company, our wholly-owned New York property and casualty insurer (“KICO”), since September 2019 and as its President since October 2021. Ms. Golden served as our and KICO’s Chief Operating Officer from September 2019 to September 2023.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Thomas Newgarden</w:t>
      </w:r>
    </w:p>
    <w:p>
      <w:pPr>
        <w:pStyle w:val="TextBody"/>
        <w:bidi w:val="0"/>
        <w:spacing w:lineRule="auto" w:line="26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Mr. Newgarden is an analytics driven insurance executive with over 30 years’ experience in the property and casualty personal lines insurance industry. He played an instrumental role in the acquisition and rehabilitation of National General Insurance (formerly GMAC Insurance). This included serving from 2010 to 2022 as Executive Vice President, Chief Underwriting Officer, Chief Product and Analytics Officer and Chief Business Development Officer, and President of National General Preferred, culminating in the successful sale of the company to Allstate Insurance. Prior to National General, Mr. Newgarden was Vice President and Chief Underwriting Officer at Plymouth Rock Insurance from 2009 to 2011 and Senior Vice President of Personal Lines at Safeco Insurance from 2008 to 2009. He also was a key partner in the development of AIG Private Client Group, last serving from 2006 to 2008 as its Senior Vice President, Chief Underwriting Officer. Since leaving Allstate in 2022, Mr. Newgarden has primarily worked as a consultant and advisor to insurance carriers and other insurance entities. He received his B.A. degree in Economics from Binghamton University. We believe that Mr. Newgarden’s extensive executive level experience in the insurance industry gives him the qualifications and skills to serve as one of our directors.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Jennifer L. Gravelle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Ms. Gravelle has served as our Vice President, Chief Financial Officer and Treasurer since January 2023. Ms. Gravelle has over 20 years of leadership experience in the property and casualty insurance industry. From October 2021 to January 2023, she served as Chief Financial Officer at Slide Insurance Holdings, Inc., a full-stack insurtech organization. From June 2019 to October 2021, Ms. Gravelle was Chief Financial Officer at Allied Trust Insurance Company, a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insurance organization. She served as Chief Financial Officer at Olympus Insurance Company, also a personal property insurance organization, from July 2013 to June 2019. Ms. Gravelle received a B.A. degree in Accounting from Champlain College.</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Sarah (Minlei) Chen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Ms. Chen has served as KICO’s Chief Actuary since November 2020 and as its Senior Vice President and Head of Product Management since August 2022. From January 2018 to October 2020, she was Actuarial Manager/Senior Pricing Manager and Actuary for Homesite Insurance, a property and casualty insurance company. Ms. Chen served as Actuarial Manager of Plymouth Rock Assurance, an auto and home insurer, from November 2013 to January 2018. Ms. Chen received a B.S. degree in Mathematics from Tsinghua University and an M.S. degree in Applied Mathematics from Brown University.</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Floyd R. Tupper</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Mr. Tupper is a certified public accountant in New York City. For over 40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Timothy P. McFadden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Mr. McFadden has more than 30 years of experience in the insurance industry. From 2012 to July 2018, Mr. McFadden served as CEO and President of State Farm Indemnity Auto Insurance Company and Senior Vice President of State Farm Insurance, Eastern Market Area. From 2015 to July 2018, he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since August 2018, served as Chair of our Nominating and Corporate Governance Committee from August 2018 to March 2023 and has served as Lead Independent Director and Chair of our Corporate Sustainability and Risk Management Committee since March 2023. We believe that Mr. McFadden’s executive level experience in the insurance industry gives him the qualifications and skills to serve as one of our directors.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William L. Yankus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serves as a member of the Board of Directors of Jet.AI, Inc. (Nasdaq: JTAI), an innovative private aviation and artificial intelligence company. He has served as one of our directors since March 2016, served as Chair of our Compensation Committee from April 2017 to March 2023, has served as Chair of our Compensation and Finance Committee since March 2023 and served as Chair of our Investment Committee from February 2020 to August 2021. Mr. Yankus received his B.A. degree in Economics and Accounting from The College of the Holy Cross.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Mr. Yankus’ executive level experience in the insurance industry gives him the qualifications and skills to serve as one of our directors.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Carla A. D’Andre</w:t>
      </w:r>
    </w:p>
    <w:p>
      <w:pPr>
        <w:pStyle w:val="TextBody"/>
        <w:bidi w:val="0"/>
        <w:spacing w:before="0" w:after="0"/>
        <w:ind w:left="0" w:right="0" w:firstLine="675"/>
        <w:jc w:val="left"/>
        <w:rPr/>
      </w:pPr>
      <w:r>
        <w:rPr/>
      </w:r>
    </w:p>
    <w:p>
      <w:pPr>
        <w:pStyle w:val="TextBody"/>
        <w:bidi w:val="0"/>
        <w:spacing w:lineRule="auto" w:line="268" w:before="0" w:after="0"/>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Ms. D’Andre has more than 45 years of experience in the insurance industry. Since 2009, Ms. D’Andre has been Chairman, CEO and President of D’Andre Insurance Group, Inc., which she co-founded. D’Andre Insurance Group, Inc. is the parent of two independent insurance agencies. She also serves as a consulting and testifying expert on insurance matters.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 America, a subsidiary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Greenberg School of Risk Management, Insurance and Actuarial Science and the Risk Management &amp; Insurance Council sponsored by Temple University, Fox School of Business. She is a licensed insurance broker in property and casualty and life and health coverages. Ms. D’Andre holds the Chartered Property and Casualty Underwriter, Chartered Life Underwriter, and Associate in Reinsurance ARe designations; a Certificate in Captive Insurance, CCI, and the U.S. Department of Justice, Federal Bureau of Investigation Miami Division Certificate for completing the FBI Citizen’s Academy program. Ms. D’Andre is a Chartered Property and Casualty Underwriter, a Chartered Life Underwriter and an Associate in Reinsurance ARe. She has served as one of our directors since May 2017, served as Chair of our Finance Committee from August 2017 to March 2023 and has served as Chair of our Nominating and Corporate Governance Committee since March 2023. Ms. D’Andre has an M.B.A. from Pace University’s Lubin School of Business, with a concentration in Financial Management,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Manmohan Singh</w:t>
      </w:r>
    </w:p>
    <w:p>
      <w:pPr>
        <w:pStyle w:val="TextBody"/>
        <w:bidi w:val="0"/>
        <w:spacing w:lineRule="auto" w:line="268"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Mr. Singh is the Group Chief Financial Officer and Head of Corporate Development for Angel Oak Companies, overseeing financial operations, including accounting and treasury, for all of Angel Oak’s subsidiaries. He is also a member of the Angel Oak Enterprise Risk Management Committee. Previously, Mr. Singh was a Director in the Insurance Investment Banking team at New York-based Sandler O’Neill &amp; Partners, which was an investment bank specializing in financial institutions that merged with Piper Jaffray Companies to form Piper Sandler Companies. During his 12 years with Sandler O’Neill, Mr. Singh worked extensively in the insurance sector, advising them on capital raising and merger and acquisition related matters. Mr. Singh has been involved with several key merger and acquisition transactions, including those involving private equity buyers and alternative asset managers making forays into the life and annuity sector. Mr. Singh holds a Master of Business Administration degree from the Indiana University Kelley School of Business, a Master of Science degree in Finance from the Department of Financial Studies at the University of Delhi, and a Bachelor of Engineering degree from Deenbandhu Chhotu Ram University of Science and Technology in India. Mr. Singh has served as one of our directors since April 2024. He was appointed pursuant to the provisions of the Note and Warrant Exchange Agreement, dated as of December 9, 2022, between the Company and the purchaser signatories thereto (the “Exchange Agreement”), whereby the holders of a majority of the aggregate principal amount of the promissory notes issued pursuant to the Exchange Agreement (the “Notes”) were granted the right to nominate one person to serve as a member of our Board of Directors. Such nomination right has ceased as the Notes are no longer outstanding. We believe that Mr. Singh’s extensive experience in insurance, financial operations and risk management gives him the qualifications and skills to serve as one of our directors.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Family Relationships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executive officers and directors.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Term of Office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director will hold office until the next annual meeting of stockholders and until his or her successor is elected and qualified or until his or her earlier resignation or removal. Each executive officer will hold office until the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meeting of the Board of Directors following the next annual meeting of stockholders and until his or her successor is elected and qualified or until his or her earlier resignation or removal.</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is responsible for overseeing our accounting and financial reporting processes and the audits of our financial statements. The members of the Audit Committee are Messrs. Tupper, (Chair), Newgarden, Yankus and McFadden.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Audit Committee Financial Expert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 xml:space="preserve">Delinquent Section 16(a) Reports </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Annual Report each reporting person whom we know to have failed to file any required reports under Section 16 on a timely basis during the fiscal year ended December 31, 2024. To our knowledge, based solely on a review of copies of Forms 3, 4 and 5 filed with the SEC and written representations that no other reports were required, during the fiscal year ended December 31, 2024, our officers, directors and 10% stockholders complied with all Section 16(a) filing requirements applicable to them, except that Ms. Golden filed one Form 4 late (reporting one transaction), Ms. Gravelle filed one Form 4 late (reporting one transaction) and Ms. Chen filed one Form 4 late (reporting one transaction). </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Code of Ethics; Officer and Director Trading Restrictions Policy</w:t>
      </w:r>
    </w:p>
    <w:p>
      <w:pPr>
        <w:pStyle w:val="TextBody"/>
        <w:bidi w:val="0"/>
        <w:spacing w:lineRule="auto" w:line="276" w:before="240" w:after="283"/>
        <w:ind w:left="0" w:right="0" w:firstLine="675"/>
        <w:jc w:val="both"/>
        <w:rPr/>
      </w:pPr>
      <w:r>
        <w:rPr>
          <w:rFonts w:ascii="Times New Roman;sans-serif" w:hAnsi="Times New Roman;sans-serif"/>
          <w:b w:val="false"/>
          <w:color w:val="000000"/>
          <w:sz w:val="20"/>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t>
      </w:r>
      <w:r>
        <w:rPr>
          <w:rFonts w:ascii="Times New Roman;sans-serif" w:hAnsi="Times New Roman;sans-serif"/>
          <w:b w:val="false"/>
          <w:color w:val="0000FF"/>
          <w:sz w:val="20"/>
          <w:u w:val="single"/>
        </w:rPr>
        <w:t>www.kingstonecompanies.com</w:t>
      </w:r>
      <w:r>
        <w:rPr>
          <w:rFonts w:ascii="Times New Roman;sans-serif" w:hAnsi="Times New Roman;sans-serif"/>
          <w:b w:val="false"/>
          <w:color w:val="000000"/>
          <w:sz w:val="20"/>
        </w:rPr>
        <w:t xml:space="preserve">. We intend to satisfy the disclosure requirement under Item 5.05(c) of Form 8-K regarding an amendment to, or a waiver from, our Code of Ethics or Officer and Director Trading Restrictions Policy by posting such information on our website, </w:t>
      </w:r>
      <w:r>
        <w:rPr>
          <w:rFonts w:ascii="Times New Roman;sans-serif" w:hAnsi="Times New Roman;sans-serif"/>
          <w:b w:val="false"/>
          <w:color w:val="0000FF"/>
          <w:sz w:val="20"/>
          <w:u w:val="single"/>
        </w:rPr>
        <w:t>www.kingstonecompanies.com</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Insider Trading Policy</w:t>
      </w:r>
    </w:p>
    <w:p>
      <w:pPr>
        <w:pStyle w:val="TextBody"/>
        <w:bidi w:val="0"/>
        <w:spacing w:before="0" w:after="0"/>
        <w:ind w:left="0" w:right="0" w:firstLine="675"/>
        <w:jc w:val="both"/>
        <w:rPr/>
      </w:pPr>
      <w:r>
        <w:rPr/>
      </w:r>
    </w:p>
    <w:p>
      <w:pPr>
        <w:pStyle w:val="TextBody"/>
        <w:bidi w:val="0"/>
        <w:spacing w:lineRule="auto" w:line="268" w:before="0" w:after="0"/>
        <w:ind w:left="0" w:right="0" w:firstLine="675"/>
        <w:jc w:val="both"/>
        <w:rPr>
          <w:rFonts w:ascii="Times New Roman;sans-serif" w:hAnsi="Times New Roman;sans-serif"/>
          <w:b w:val="false"/>
          <w:color w:val="000000"/>
          <w:sz w:val="24"/>
        </w:rPr>
      </w:pPr>
      <w:r>
        <w:rPr>
          <w:rFonts w:ascii="Times New Roman;sans-serif" w:hAnsi="Times New Roman;sans-serif"/>
          <w:b w:val="false"/>
          <w:color w:val="000000"/>
          <w:sz w:val="24"/>
        </w:rPr>
        <w:t>We have adopted an insider trading policy governing the purchase, sale and/or other disposition of our company’s securities by directors, officers and certain designated employees that is designed to promote compliance with insider trading laws, rules and regulations, as well as procedures designed to further the foregoing purposes. A copy of our insider trading policy is filed as an exhibit to this Annual Report on Form 10-K. In addition, from time to time, we may engage in transactions in our company's securities. It is our intent to comply with applicable laws and regulations relating to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pPr>
      <w:r>
        <w:rPr>
          <w:rFonts w:ascii="Times New Roman;sans-serif" w:hAnsi="Times New Roman;sans-serif"/>
          <w:b/>
          <w:color w:val="000000"/>
          <w:sz w:val="20"/>
          <w:u w:val="single"/>
        </w:rPr>
        <w:t>ITEM 11.</w:t>
      </w:r>
      <w:r>
        <w:rPr>
          <w:color w:val="000000"/>
        </w:rPr>
        <w:t xml:space="preserve"> </w:t>
      </w:r>
      <w:r>
        <w:rPr>
          <w:rFonts w:ascii="Times New Roman;sans-serif" w:hAnsi="Times New Roman;sans-serif"/>
          <w:b/>
          <w:color w:val="000000"/>
          <w:sz w:val="20"/>
          <w:u w:val="single"/>
        </w:rPr>
        <w:t>EXECUTIVE COMPENSATION</w:t>
      </w:r>
      <w:r>
        <w:rPr>
          <w:rFonts w:ascii="Times New Roman;sans-serif" w:hAnsi="Times New Roman;sans-serif"/>
          <w:b w:val="false"/>
          <w:color w:val="000000"/>
          <w:sz w:val="20"/>
        </w:rPr>
        <w:t>.</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Summary Compensation Table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concerning the compensation for the fiscal years ended December 31, 2024 and 2023 for certain executive officers, including our Chief Executive Officer (collectively, the “Named Executive Officers”): </w:t>
      </w:r>
    </w:p>
    <w:tbl>
      <w:tblPr>
        <w:tblW w:w="11816" w:type="dxa"/>
        <w:jc w:val="left"/>
        <w:tblInd w:w="0" w:type="dxa"/>
        <w:tblLayout w:type="fixed"/>
        <w:tblCellMar>
          <w:top w:w="28" w:type="dxa"/>
          <w:left w:w="28" w:type="dxa"/>
          <w:bottom w:w="28" w:type="dxa"/>
          <w:right w:w="28" w:type="dxa"/>
        </w:tblCellMar>
      </w:tblPr>
      <w:tblGrid>
        <w:gridCol w:w="313"/>
        <w:gridCol w:w="248"/>
        <w:gridCol w:w="250"/>
        <w:gridCol w:w="109"/>
        <w:gridCol w:w="109"/>
        <w:gridCol w:w="109"/>
        <w:gridCol w:w="155"/>
        <w:gridCol w:w="155"/>
        <w:gridCol w:w="15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196"/>
        <w:gridCol w:w="646"/>
        <w:gridCol w:w="109"/>
        <w:gridCol w:w="109"/>
        <w:gridCol w:w="109"/>
        <w:gridCol w:w="109"/>
        <w:gridCol w:w="433"/>
        <w:gridCol w:w="466"/>
        <w:gridCol w:w="242"/>
        <w:gridCol w:w="235"/>
        <w:gridCol w:w="775"/>
        <w:gridCol w:w="131"/>
        <w:gridCol w:w="115"/>
        <w:gridCol w:w="115"/>
        <w:gridCol w:w="116"/>
        <w:gridCol w:w="109"/>
        <w:gridCol w:w="109"/>
        <w:gridCol w:w="109"/>
        <w:gridCol w:w="196"/>
        <w:gridCol w:w="871"/>
        <w:gridCol w:w="154"/>
      </w:tblGrid>
      <w:tr>
        <w:trPr/>
        <w:tc>
          <w:tcPr>
            <w:tcW w:w="3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Awards(1)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Non-Equity</w:t>
              <w:br/>
              <w:t>Incentive Plan</w:t>
              <w:br/>
              <w:t>Compensation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br/>
              <w:t>Compensation</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Meryl S. Golden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$496,358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 and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Sarah (Minlei) Chen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4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Actuary; Senior Vice President, Kingstone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Jennifer L. Gravelle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4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Vice President, 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8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(2)In January 2024, Ms. Golden was granted 64,085 shares of restricted common stock under our Amended and Restated 2014 Equity Participation Plan (the "2014 Plan"). Such grant vested on the first anniversary of the date of grant.</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(3)In January 2023, Ms. Golden was granted 101,111 shares of restricted common stock under 2014 Plan. Such grant vested to the extent of 50,556 shares on the first anniversary of the date of grant and 50,555 shares on the second anniversary of the date of grant. </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(4)In March 2025, Ms. Chen was granted 10,935 shares of restricted stock under our 2024 Equity Participation Plan (the "2024 Plan") in consideration of services rendered during 2024. Such grant vested to the extent of one-third on the date of grant and will vest to the extent of one-third on each of the first and second anniversaries of the date of grant.</w:t>
      </w:r>
    </w:p>
    <w:p>
      <w:pPr>
        <w:pStyle w:val="TextBody"/>
        <w:bidi w:val="0"/>
        <w:spacing w:lineRule="auto" w:line="276"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(5)In March 2025, Ms. Gravelle was granted 8,787 shares of restricted stock under our 2024 Plan in consideration of services rendered during 2024. Such grant vested to the extent of one-third on the date of grant and will vest to the extent of one-third on each of the first and second anniversaries of the date of grant.</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(6)In January 2023, Ms. Gravelle was granted 14,535 shares of restricted common stock under the 2014 Plan. Such grant vested to the extent of one-third on each of the first and second anniversaries of the date of grant and will vest to the extent of one-third on the third anniversary of the date of grant.</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(7)In January 2024, Ms. Chen was granted an option for the purchase of 10,000 shares of common stock under the Plan. Such option vested to the extent of one-third on each of the first, second and third anniversaries of the date of grant.</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(8)In January 2024, Ms. Gravelle was granted an option for the purchase of 10,000 shares of common stock under the Plan. Such option vested to the extent of one-third on each of the first, second and third anniversaries of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(9)Represents employer matching contributions under our defined contribution plan of $13,800 and a car allowance of $12,000.</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(10)Represents employer matching contributions under our defined contribution plan of $13,200 and a car allowance of $12,000.</w:t>
      </w:r>
    </w:p>
    <w:p>
      <w:pPr>
        <w:pStyle w:val="TextBody"/>
        <w:bidi w:val="0"/>
        <w:spacing w:lineRule="auto" w:line="276"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(11)Represents employer matching contributions under our defined contribution plan.</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Employment Contracts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Meryl S. Golden</w:t>
      </w:r>
    </w:p>
    <w:p>
      <w:pPr>
        <w:pStyle w:val="TextBody"/>
        <w:bidi w:val="0"/>
        <w:spacing w:lineRule="auto" w:line="276" w:before="240" w:after="283"/>
        <w:ind w:left="0" w:right="0" w:firstLine="675"/>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 effective as of January 1, 2023</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2022, we and Ms. Golden entered into a second amended and restated employment agreement which took effect as of January 1, 2023, and expired on December 31, 2024 (the “Second Amended Golden Employment Agreement”).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Second Amended Golden Employment Agreement, Ms. Golden was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each of January 2023 and January 2024 of a number of shares of restricted stock determined by dividing $136,500 by the fair market value of our common stock on the date of grant. The 2023 grant vested with respect to one-half of the award on the first anniversary of the grant date and one-half of the award on December 31, 2024. The 2024 grant vested on January 2, 2025. </w:t>
      </w:r>
    </w:p>
    <w:p>
      <w:pPr>
        <w:pStyle w:val="TextBody"/>
        <w:bidi w:val="0"/>
        <w:spacing w:lineRule="auto" w:line="276" w:before="240" w:after="283"/>
        <w:ind w:left="0" w:right="0" w:firstLine="675"/>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 effective as of January 1, 2025</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2024, we entered into a third amended and restated employment agreement with Ms. Golden, which took effect as of January 1, 2025 and expires on December 31, 2026 (the “Third Amended Golden Employment Agreement”).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Third Amended Golden Employment Agreement, Ms. Golden is entitled to receive an annual base salary of $550,000 (increased from $500,000 previously in effect) and an annual bonus equal to 3% of our consolidated income from operations before taxes, exclusive of our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us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our company (also as was provided for in the Second Amended Golden Employment Agreement). Pursuant to the Third Amended Golden Employment Agreement, Ms. Golden received a grant during January 2025 of 40,000 shares of restricted stock and will be entitled to receive, under certain circumstances, a grant, during January 2026, of 40,000 shares of restricted stock. The 2025 grant will become vested with respect to one-half of the award on the first anniversary of the grant date and one-half on December 31, 2026. The 2026 grant will become vested on the first anniversary of the grant date. The above grants are generally consistent with the grants provided for in the Second Amended Golden Employment Agreement. In the event that we are precluded from making a grant to Ms. Golden in 2026, she would instead be entitled to a cash bonus of $136,500 for such year.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“Termination of Employment and Change-in-Control Arrangements – Meryl S. Golden” below for a discussion of the provisions of the Third Amended Golden Employment Agreement with regard to payments due and the acceleration of stock awards in the event of the termination of Ms. Golden’s employment under certain circumstances and/or in the event of a change in control.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Employee Bonus Plan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Sara (Minlei) Chen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Employee Bonus Plan, Ms. Chen, as a member of our senior leadership team ("SLT"), is eligible to receive a cash bonus and shares of restricted stock based upon the growth and underwriting profitability of our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Jennifer L. Gravelle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Employee Bonus Plan, Ms. Gravelle, as a member of our SLT, is eligible to receive a cash bonus and shares of restricted stock based upon the growth and underwriting profitability of our company.</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exercisable and unexercisable stock options and unvested stock grants held by the above Named Executive Officers as of December 31, 2024:</w:t>
      </w:r>
    </w:p>
    <w:tbl>
      <w:tblPr>
        <w:tblW w:w="11254" w:type="dxa"/>
        <w:jc w:val="left"/>
        <w:tblInd w:w="0" w:type="dxa"/>
        <w:tblLayout w:type="fixed"/>
        <w:tblCellMar>
          <w:top w:w="28" w:type="dxa"/>
          <w:left w:w="28" w:type="dxa"/>
          <w:bottom w:w="28" w:type="dxa"/>
          <w:right w:w="28" w:type="dxa"/>
        </w:tblCellMar>
      </w:tblPr>
      <w:tblGrid>
        <w:gridCol w:w="303"/>
        <w:gridCol w:w="200"/>
        <w:gridCol w:w="203"/>
        <w:gridCol w:w="109"/>
        <w:gridCol w:w="109"/>
        <w:gridCol w:w="109"/>
        <w:gridCol w:w="325"/>
        <w:gridCol w:w="325"/>
        <w:gridCol w:w="326"/>
        <w:gridCol w:w="109"/>
        <w:gridCol w:w="109"/>
        <w:gridCol w:w="109"/>
        <w:gridCol w:w="370"/>
        <w:gridCol w:w="370"/>
        <w:gridCol w:w="371"/>
        <w:gridCol w:w="109"/>
        <w:gridCol w:w="109"/>
        <w:gridCol w:w="109"/>
        <w:gridCol w:w="196"/>
        <w:gridCol w:w="466"/>
        <w:gridCol w:w="109"/>
        <w:gridCol w:w="109"/>
        <w:gridCol w:w="109"/>
        <w:gridCol w:w="109"/>
        <w:gridCol w:w="295"/>
        <w:gridCol w:w="295"/>
        <w:gridCol w:w="296"/>
        <w:gridCol w:w="109"/>
        <w:gridCol w:w="109"/>
        <w:gridCol w:w="109"/>
        <w:gridCol w:w="230"/>
        <w:gridCol w:w="230"/>
        <w:gridCol w:w="231"/>
        <w:gridCol w:w="109"/>
        <w:gridCol w:w="109"/>
        <w:gridCol w:w="109"/>
        <w:gridCol w:w="109"/>
        <w:gridCol w:w="109"/>
        <w:gridCol w:w="109"/>
        <w:gridCol w:w="196"/>
        <w:gridCol w:w="871"/>
        <w:gridCol w:w="109"/>
        <w:gridCol w:w="109"/>
        <w:gridCol w:w="109"/>
        <w:gridCol w:w="109"/>
        <w:gridCol w:w="308"/>
        <w:gridCol w:w="331"/>
        <w:gridCol w:w="172"/>
        <w:gridCol w:w="109"/>
        <w:gridCol w:w="109"/>
        <w:gridCol w:w="109"/>
        <w:gridCol w:w="308"/>
        <w:gridCol w:w="331"/>
        <w:gridCol w:w="172"/>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br/>
              <w:t>Underlying</w:t>
              <w:br/>
              <w:t>Unexercised</w:t>
              <w:br/>
              <w:t>Options</w:t>
              <w:br/>
              <w:t>Exercisable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br/>
              <w:t>Underlying</w:t>
              <w:br/>
              <w:t>Unexercised Options</w:t>
              <w:br/>
              <w:t xml:space="preserve">Unexercisable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Exercise Price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of</w:t>
              <w:br/>
              <w:t>Stock</w:t>
              <w:br/>
              <w:t>That Have Not Vested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 Value of Shares of</w:t>
              <w:br/>
              <w:t>Stock That Have</w:t>
              <w:br/>
              <w:t>Not Vested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w:t>
              <w:br/>
              <w:t>Awards: Number of</w:t>
              <w:br/>
              <w:t>Unearned Shares That</w:t>
              <w:br/>
              <w:t>Have Not Vested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w:t>
              <w:br/>
              <w:t>Awards: Market or</w:t>
              <w:br/>
              <w:t>Payout Value of</w:t>
              <w:br/>
              <w:t>Unearned Shares That</w:t>
              <w:br/>
              <w:t>Have Not Vested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Meryl S. Golden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74,085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1,125,351 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Sarah (Minlei) Chen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Jennifer L. Gravelle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 </w:t>
      </w:r>
    </w:p>
    <w:p>
      <w:pPr>
        <w:pStyle w:val="TextBody"/>
        <w:bidi w:val="0"/>
        <w:spacing w:lineRule="auto" w:line="276"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(1)Such shares vested to the extent of 64,085 shares on January 2, 2025 and 10,000 shares on January 3, 2025.</w:t>
      </w:r>
    </w:p>
    <w:p>
      <w:pPr>
        <w:pStyle w:val="TextBody"/>
        <w:bidi w:val="0"/>
        <w:spacing w:before="0" w:after="0"/>
        <w:ind w:left="0" w:right="0" w:hanging="720"/>
        <w:jc w:val="both"/>
        <w:rPr/>
      </w:pPr>
      <w:r>
        <w:rPr/>
      </w:r>
    </w:p>
    <w:p>
      <w:pPr>
        <w:pStyle w:val="TextBody"/>
        <w:bidi w:val="0"/>
        <w:spacing w:lineRule="auto" w:line="276"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(2)Excludes 10,935 shares of restricted stock granted on March 3, 2025 to Ms Chen under our 2024 Plan in consideration of services rendered during 2024. Such grant vested to the extent of one-third on March 3, 2025 and will vest to the extent of one-third on each of the first and second anniversaries of the date of grant.</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(3)Such shares vested to the extent of 4,845 shares on January 17, 2025, 4,845 shares on January 17, 2026. Excludes 8,787 shares of restricted stock granted on March 3, 2025 to Ms Gravelle under our 2024 Plan in consideration of services rendered during 2024. Such grant vested to the extent of one-third on March 3, 2025 and will vest to the extent of one-third on each of the first and second anniversaries of the date of grant.</w:t>
      </w:r>
    </w:p>
    <w:p>
      <w:pPr>
        <w:pStyle w:val="TextBody"/>
        <w:bidi w:val="0"/>
        <w:spacing w:before="0" w:after="0"/>
        <w:ind w:left="0" w:right="0" w:hanging="450"/>
        <w:jc w:val="both"/>
        <w:rPr/>
      </w:pPr>
      <w:r>
        <w:rPr/>
      </w:r>
    </w:p>
    <w:p>
      <w:pPr>
        <w:pStyle w:val="TextBody"/>
        <w:bidi w:val="0"/>
        <w:spacing w:lineRule="auto" w:line="276" w:before="0" w:after="0"/>
        <w:ind w:left="0" w:right="0" w:hanging="450"/>
        <w:jc w:val="both"/>
        <w:rPr/>
      </w:pPr>
      <w:r>
        <w:rPr>
          <w:rFonts w:ascii="Times New Roman;sans-serif" w:hAnsi="Times New Roman;sans-serif"/>
          <w:b/>
          <w:i/>
          <w:color w:val="000000"/>
          <w:sz w:val="20"/>
        </w:rPr>
        <w:t>Termination of Employment and</w:t>
      </w:r>
      <w:r>
        <w:rPr>
          <w:color w:val="000000"/>
        </w:rPr>
        <w:t xml:space="preserve"> </w:t>
      </w:r>
      <w:r>
        <w:rPr>
          <w:rFonts w:ascii="Times New Roman;sans-serif" w:hAnsi="Times New Roman;sans-serif"/>
          <w:b/>
          <w:i/>
          <w:color w:val="000000"/>
          <w:sz w:val="24"/>
        </w:rPr>
        <w:t>Change-in-Control Arrangements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Meryl S. Golden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Third Amended Golden Employment Agreement, in the event that Ms. Golden’s employment is terminated by us without cause, or she resigns for good reason (each as defined in the Third Amended Golden Employment Agreement), Ms. Golden would be entitled to receive her annual base salary for the remainder of the term or for twelve months, whichever is later. In addition, pursuant to the 2014 Plan and the 2024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Ms. Golden would be entitled to receive, under certain circumstances, a payment equal to 1.5 times her then annual base salary and her accrued bonus in the event of the termination of her employment within eighteen months following a change in control of our company. In addition, pursuant to the 2014 Plan and the 2024 Plan, Ms. Golden’s outstanding restricted stock awards will vest in the event of a change of control of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Sarah (Minlei) Chen</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2014 Plan and the 2024 Plan, in the event of a termination of employment due to the death or disability of Ms. Chen, the stock grants scheduled to vest on the next vesting date following such event shall vest under certain circumstances notwithstanding such event. In addition, pursuant to the 2014 Plan and the 2024 Plan, Ms. Chen’s outstanding restricted stock awards will vest in the event of a change of control of our company.</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Jennifer L. Gravelle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2014 Plan and the 2024 Plan, in the event of a termination of employment due to the death or disability of Ms. Gravelle, the stock grants scheduled to vest on the next vesting date following such event shall vest under certain circumstances notwithstanding such event. In addition, pursuant to the 2014 Plan and the 2024 Plan, Ms. Gravelle’s outstanding restricted stock awards will vest in the event of a change of control of our company.</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Compensation of Directors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the compensation of our non-employee directors for the fiscal year ended December 31, 2024:</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DIRECTOR COMPENSATION</w:t>
      </w:r>
    </w:p>
    <w:tbl>
      <w:tblPr>
        <w:tblW w:w="9019" w:type="dxa"/>
        <w:jc w:val="left"/>
        <w:tblInd w:w="0" w:type="dxa"/>
        <w:tblLayout w:type="fixed"/>
        <w:tblCellMar>
          <w:top w:w="28" w:type="dxa"/>
          <w:left w:w="28" w:type="dxa"/>
          <w:bottom w:w="28" w:type="dxa"/>
          <w:right w:w="28" w:type="dxa"/>
        </w:tblCellMar>
      </w:tblPr>
      <w:tblGrid>
        <w:gridCol w:w="700"/>
        <w:gridCol w:w="615"/>
        <w:gridCol w:w="620"/>
        <w:gridCol w:w="109"/>
        <w:gridCol w:w="109"/>
        <w:gridCol w:w="109"/>
        <w:gridCol w:w="282"/>
        <w:gridCol w:w="966"/>
        <w:gridCol w:w="146"/>
        <w:gridCol w:w="109"/>
        <w:gridCol w:w="109"/>
        <w:gridCol w:w="109"/>
        <w:gridCol w:w="301"/>
        <w:gridCol w:w="1029"/>
        <w:gridCol w:w="155"/>
        <w:gridCol w:w="109"/>
        <w:gridCol w:w="109"/>
        <w:gridCol w:w="109"/>
        <w:gridCol w:w="547"/>
        <w:gridCol w:w="547"/>
        <w:gridCol w:w="285"/>
        <w:gridCol w:w="109"/>
        <w:gridCol w:w="109"/>
        <w:gridCol w:w="109"/>
        <w:gridCol w:w="211"/>
        <w:gridCol w:w="826"/>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Fees Earned or</w:t>
              <w:br/>
              <w:t>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Newgarden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P. McFadden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Floyd R. Tupper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L. Yankus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A. D’Andre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Manmohan Singh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number of unvested restricted stock awards outstanding as of fiscal year end for each non-employee director is as follows:</w:t>
      </w:r>
    </w:p>
    <w:tbl>
      <w:tblPr>
        <w:tblW w:w="4076" w:type="dxa"/>
        <w:jc w:val="left"/>
        <w:tblInd w:w="0" w:type="dxa"/>
        <w:tblLayout w:type="fixed"/>
        <w:tblCellMar>
          <w:top w:w="28" w:type="dxa"/>
          <w:left w:w="28" w:type="dxa"/>
          <w:bottom w:w="28" w:type="dxa"/>
          <w:right w:w="28" w:type="dxa"/>
        </w:tblCellMar>
      </w:tblPr>
      <w:tblGrid>
        <w:gridCol w:w="700"/>
        <w:gridCol w:w="615"/>
        <w:gridCol w:w="620"/>
        <w:gridCol w:w="109"/>
        <w:gridCol w:w="109"/>
        <w:gridCol w:w="109"/>
        <w:gridCol w:w="530"/>
        <w:gridCol w:w="530"/>
        <w:gridCol w:w="75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Unvested Restricted</w:t>
              <w:br/>
              <w:t>Stock Awards (#)</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Newgarden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6,114</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P. McFadden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24,883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Floyd R. Tupper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24,883</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L. Yankus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24,883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A. D’Andre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24,883</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Manmohan Singh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8,728</w:t>
            </w:r>
          </w:p>
        </w:tc>
      </w:tr>
    </w:tbl>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non-employee directors are entitled to receive annual compensation for their services as directors as follows:</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$50,000;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an additional $125,000 for service as Non-Executive Chairman of the Board, an additional $25,000 for service as Audit Committee chair, an additional $20,000 for service as Compensation and Finance Committee chair, an additional $10,000 for service as Investment Committee chair, and an additional $15,000 for service as chair of other committees; and</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$53,000 of our common stock determined by the closing stock price on the first business day of the year, which vest on the first anniversary of the grant date.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i/>
          <w:color w:val="212529"/>
          <w:sz w:val="20"/>
        </w:rPr>
      </w:pPr>
      <w:r>
        <w:rPr>
          <w:rFonts w:ascii="Times New Roman;sans-serif" w:hAnsi="Times New Roman;sans-serif"/>
          <w:b/>
          <w:i/>
          <w:color w:val="212529"/>
          <w:sz w:val="20"/>
        </w:rPr>
        <w:t>Equity Award Grant Practices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awards for Ms. Golden are set out in the Third Amended Golden Employment Agreement. Equity awards for the other Named Executive Officers are discretionary and are generally granted to them in February or March each year pursuant to our Employee Bonus Plan which provides for the grant of restricted common stock based upon our growth and underwriting profitability in the prior fiscal year. In certain circumstances, including the hiring or promotion of an officer, the Compensation and Finance Committee may approve grants to be effective at other times. The Compensation and Finance Committee did not take material nonpublic information into account when determining the timing and terms of equity awards in 2024, and we do not time the disclosure of material nonpublic information for the purpose of affecting the value of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pPr>
      <w:r>
        <w:rPr>
          <w:rFonts w:ascii="Times New Roman;sans-serif" w:hAnsi="Times New Roman;sans-serif"/>
          <w:b/>
          <w:color w:val="000000"/>
          <w:sz w:val="20"/>
          <w:u w:val="single"/>
        </w:rPr>
        <w:t>ITEM 12.</w:t>
      </w:r>
      <w:r>
        <w:rPr>
          <w:color w:val="000000"/>
        </w:rPr>
        <w:t xml:space="preserve"> </w:t>
      </w:r>
      <w:r>
        <w:rPr>
          <w:rFonts w:ascii="Times New Roman;sans-serif" w:hAnsi="Times New Roman;sans-serif"/>
          <w:b/>
          <w:color w:val="000000"/>
          <w:sz w:val="20"/>
          <w:u w:val="single"/>
        </w:rPr>
        <w:t>SECURITY OWNERSHIP OF CERTAIN BENEFICIAL OWNERS AND</w:t>
      </w:r>
      <w:r>
        <w:rPr>
          <w:color w:val="000000"/>
        </w:rPr>
        <w:t xml:space="preserve"> </w:t>
      </w:r>
      <w:r>
        <w:rPr>
          <w:rFonts w:ascii="Times New Roman;sans-serif" w:hAnsi="Times New Roman;sans-serif"/>
          <w:b/>
          <w:color w:val="000000"/>
          <w:sz w:val="20"/>
          <w:u w:val="single"/>
        </w:rPr>
        <w:t>MANAGEMENT AND RELATED STOCKHOLDER MATTERS.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Security Ownership</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as of March 12, 2025,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tbl>
      <w:tblPr>
        <w:tblW w:w="7729" w:type="dxa"/>
        <w:jc w:val="left"/>
        <w:tblInd w:w="0" w:type="dxa"/>
        <w:tblLayout w:type="fixed"/>
        <w:tblCellMar>
          <w:top w:w="28" w:type="dxa"/>
          <w:left w:w="28" w:type="dxa"/>
          <w:bottom w:w="28" w:type="dxa"/>
          <w:right w:w="28" w:type="dxa"/>
        </w:tblCellMar>
      </w:tblPr>
      <w:tblGrid>
        <w:gridCol w:w="983"/>
        <w:gridCol w:w="865"/>
        <w:gridCol w:w="867"/>
        <w:gridCol w:w="109"/>
        <w:gridCol w:w="109"/>
        <w:gridCol w:w="109"/>
        <w:gridCol w:w="584"/>
        <w:gridCol w:w="584"/>
        <w:gridCol w:w="586"/>
        <w:gridCol w:w="259"/>
        <w:gridCol w:w="259"/>
        <w:gridCol w:w="261"/>
        <w:gridCol w:w="109"/>
        <w:gridCol w:w="109"/>
        <w:gridCol w:w="109"/>
        <w:gridCol w:w="324"/>
        <w:gridCol w:w="324"/>
        <w:gridCol w:w="807"/>
        <w:gridCol w:w="10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Address</w:t>
              <w:br/>
              <w:t>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Beneficially Owned</w:t>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w:t>
              <w:br/>
              <w:t>Percent of Class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Meryl S. Golden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207,747</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Floyd R. Tupper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151,718</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P. McFadden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103,382</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A. D'Andre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94,237</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L. Yankus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91,834</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Newgarden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w:t>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Manmohan Singh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w:t>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(Minlei) Chen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L. Gravelle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Barry B. Goldstein</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 Box 450 Hewlett, NY 11557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918,780</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All executive officers</w:t>
            </w:r>
          </w:p>
          <w:p>
            <w:pPr>
              <w:pStyle w:val="TableContents"/>
              <w:bidi w:val="0"/>
              <w:spacing w:lineRule="auto" w:line="276" w:before="0" w:after="0"/>
              <w:jc w:val="lef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and directors as a group</w:t>
            </w:r>
          </w:p>
          <w:p>
            <w:pPr>
              <w:pStyle w:val="TableContents"/>
              <w:bidi w:val="0"/>
              <w:spacing w:lineRule="auto" w:line="276" w:before="0" w:after="0"/>
              <w:jc w:val="both"/>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(9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709,668</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(1)Includes 20,000 shares held in a retirement trust for the benefit of Ms. Golden. The inclusion of the shares owned by the retirement trust shall not be construed as an admission that Ms. Golden is, for purposes of Section 13(d) or 13(g) of the Exchange Act, the beneficial owner of such shares.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(2)Includes (i) 32,395 shares owned by Mr. Tupper’s wife, (ii) 6,675 shares held in a retirement trust for the benefit of Mr. Tupper and (iii) 810 shares held in a retirement trust for the benefit of Mr. Tupper’s wife. Mr. Tupper has sole voting and dispositive power over 118,513 shares of common stock and shared voting and dispositive power over 33,205 shares of common stock. The inclusion of the shares owned by Mr. Tupper’s wife and the retirement trusts for the benefit of Mr. Tupper and his wife shall not be construed as an admission that Mr. Tupper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Section 13(d) or 13(g) of the Exchange Act, the beneficial owner of such shares.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(3)Represents (i) 88,837 shares owned by a limited liability company controlled by Ms. D’Andre, (ii) 1,400 shares held in a retirement trust for the benefit of Ms. D’Andre and (iii) 4,000 shares owned by a limited liability company controlled by Ms. D'Andre's husband. The inclusion of the shares owned by the limited liability companies and the retirement trust shall not be construed as an admission that Ms. D’Andre is, for purposes of Section 13(d) or 13(g) of the Exchange Act, the beneficial owner of such shares.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(4)Includes 3,334 shares issuable upon the exercise of currently exercisable options.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(5)The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845,612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2024, with respect to compensation plans (including individual compensation arrangements) under which our common stock is authorized for issuance, aggregated as follows:</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All compensation plans previously approved by security holders; and</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All compensation plans not previously approved by security holders.</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1142"/>
        <w:gridCol w:w="1002"/>
        <w:gridCol w:w="1008"/>
        <w:gridCol w:w="656"/>
        <w:gridCol w:w="656"/>
        <w:gridCol w:w="658"/>
        <w:gridCol w:w="109"/>
        <w:gridCol w:w="109"/>
        <w:gridCol w:w="109"/>
        <w:gridCol w:w="501"/>
        <w:gridCol w:w="1214"/>
        <w:gridCol w:w="261"/>
        <w:gridCol w:w="109"/>
        <w:gridCol w:w="109"/>
        <w:gridCol w:w="109"/>
        <w:gridCol w:w="691"/>
        <w:gridCol w:w="691"/>
        <w:gridCol w:w="692"/>
        <w:gridCol w:w="109"/>
        <w:gridCol w:w="109"/>
        <w:gridCol w:w="161"/>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w:t>
              <w:br/>
              <w:t>upon exercise of outstanding</w:t>
              <w:br/>
              <w:t>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br/>
              <w:t>of outstanding 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remaining</w:t>
              <w:br/>
              <w:t>available for future issuance</w:t>
              <w:br/>
              <w:t>under equity compensation plans</w:t>
              <w:br/>
              <w:t>(excluding securities reflected in</w:t>
              <w:br/>
              <w:t>column (a))</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1,490,744</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1,490,744</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76" w:before="1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(1)Includes 267,586 shares reserved for issuance pursuant to unvested restricted stock grants.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pPr>
      <w:r>
        <w:rPr>
          <w:rFonts w:ascii="Times New Roman;sans-serif" w:hAnsi="Times New Roman;sans-serif"/>
          <w:b/>
          <w:color w:val="000000"/>
          <w:sz w:val="20"/>
          <w:u w:val="single"/>
        </w:rPr>
        <w:t>ITEM 13.</w:t>
      </w:r>
      <w:r>
        <w:rPr>
          <w:color w:val="000000"/>
        </w:rPr>
        <w:t xml:space="preserve"> </w:t>
      </w:r>
      <w:r>
        <w:rPr>
          <w:rFonts w:ascii="Times New Roman;sans-serif" w:hAnsi="Times New Roman;sans-serif"/>
          <w:b/>
          <w:color w:val="000000"/>
          <w:sz w:val="20"/>
          <w:u w:val="single"/>
        </w:rPr>
        <w:t>CERTAIN RELATIONSHIPS AND RELATED TRANSACTIONS, AND DIRECTOR INDEPENDENCE.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Director Independence</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currently comprised of Meryl S. Golden, Thomas Newgarden, Floyd R. Tupper, William L. Yankus, Carla A. D’Andre, Timothy P. McFadden and Manmohan Singh. Our board of directors has determined that each of Messrs. Newgarden, Tupper, Yankus, McFadden and Singh and Ms. D’Andre is independent under applicable Nasdaq listing standards and federal securities rules and regulations.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Audit Committee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Board’s Audit Committee currently are Messrs. Tupper (Chair), Newgarden, Yankus and McFadden, each of whom is independent under applicable Nasdaq listing standards and federal securities rules and regulations on independence of Audit Committee members.</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Nominating and Corporate Governance Committee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Board’s Nominating and Corporate Governance Committee currently are Ms. D’Andre (Chair) and Messrs. McFadden, Tupper and Singh, each of whom is independent under applicable Nasdaq listing standards and federal securities rules and regulations on independence.</w:t>
      </w:r>
    </w:p>
    <w:p>
      <w:pPr>
        <w:pStyle w:val="TextBody"/>
        <w:bidi w:val="0"/>
        <w:spacing w:lineRule="auto" w:line="276" w:before="240" w:after="283"/>
        <w:ind w:left="0" w:right="0" w:firstLine="675"/>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and Finance Committee</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Board’s Compensation and Finance Committee currently are Messrs. Yankus (Chair), Newgarden, Tupper and Singh and Ms. D’Andre, each of whom is independent under applicable Nasdaq listing standards and federal securities rules and regulations on independence.</w:t>
      </w:r>
    </w:p>
    <w:p>
      <w:pPr>
        <w:pStyle w:val="TextBody"/>
        <w:bidi w:val="0"/>
        <w:spacing w:lineRule="auto" w:line="276" w:before="240" w:after="283"/>
        <w:ind w:left="0" w:right="0" w:firstLine="675"/>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pPr>
      <w:r>
        <w:rPr>
          <w:rFonts w:ascii="Times New Roman;sans-serif" w:hAnsi="Times New Roman;sans-serif"/>
          <w:b/>
          <w:color w:val="000000"/>
          <w:sz w:val="20"/>
          <w:u w:val="single"/>
        </w:rPr>
        <w:t>ITEM 14.</w:t>
      </w:r>
      <w:r>
        <w:rPr>
          <w:color w:val="000000"/>
        </w:rPr>
        <w:t xml:space="preserve"> </w:t>
      </w:r>
      <w:r>
        <w:rPr>
          <w:rFonts w:ascii="Times New Roman;sans-serif" w:hAnsi="Times New Roman;sans-serif"/>
          <w:b/>
          <w:color w:val="000000"/>
          <w:sz w:val="20"/>
          <w:u w:val="single"/>
        </w:rPr>
        <w:t>PRINCIPAL ACCOUNTANT FEES AND SERVICES.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fees billed to us by Marcum LLP, our independent auditors, for professional services rendered for the fiscal years ended December 31, 2024 and 2023.</w:t>
      </w:r>
    </w:p>
    <w:tbl>
      <w:tblPr>
        <w:tblW w:w="5928"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276"/>
        <w:gridCol w:w="1081"/>
        <w:gridCol w:w="142"/>
        <w:gridCol w:w="109"/>
        <w:gridCol w:w="109"/>
        <w:gridCol w:w="109"/>
        <w:gridCol w:w="276"/>
        <w:gridCol w:w="1081"/>
        <w:gridCol w:w="142"/>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Fiscal 2024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 Fees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428,995 </w:t>
            </w:r>
          </w:p>
        </w:tc>
        <w:tc>
          <w:tcPr>
            <w:tcW w:w="1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326,035 </w:t>
            </w:r>
          </w:p>
        </w:tc>
        <w:tc>
          <w:tcPr>
            <w:tcW w:w="1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428,995 </w:t>
            </w:r>
          </w:p>
        </w:tc>
        <w:tc>
          <w:tcPr>
            <w:tcW w:w="1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326,035 </w:t>
            </w:r>
          </w:p>
        </w:tc>
        <w:tc>
          <w:tcPr>
            <w:tcW w:w="1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(1)Audit Fees consist of fees and expenses billed for services rendered for the audit of our consolidated financial statements and review of our condensed consolidated financial statements included in our Quarterly Reports on Form 10-Q. Fees in 2024 also include services rendered in connection with the filing of Forms S-3 and S-8, comfort letter, and billings for services rendered with statutory audit filing of KICO. Fees in 2023 also include services rendered in connection with the filing of Form S-8, and responses in connection with a DFS examination of KICO and services rendered with statutory audit filing of KICO.</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(2)Marcum did not provide any tax services during the fiscal year.</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(3)Marcum did not provide any “Audit-Related” services during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(4)Marcum did not provide any other services during the fiscal year.</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ans-serif" w:hAnsi="Times New Roman;sans-serif"/>
          <w:b/>
          <w:color w:val="000000"/>
          <w:sz w:val="20"/>
          <w:u w:val="single"/>
        </w:rPr>
        <w:t>ITEM 15.</w:t>
      </w:r>
      <w:r>
        <w:rPr>
          <w:color w:val="000000"/>
        </w:rPr>
        <w:t xml:space="preserve"> </w:t>
      </w:r>
      <w:r>
        <w:rPr>
          <w:rFonts w:ascii="Times New Roman;sans-serif" w:hAnsi="Times New Roman;sans-serif"/>
          <w:b/>
          <w:color w:val="000000"/>
          <w:sz w:val="20"/>
          <w:u w:val="single"/>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8"/>
        <w:gridCol w:w="2612"/>
        <w:gridCol w:w="37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ans-serif" w:hAnsi="Times New Roman;sans-serif"/>
                  <w:b w:val="false"/>
                  <w:color w:val="0000EE"/>
                  <w:sz w:val="20"/>
                  <w:shd w:fill="CCEEFF" w:val="clear"/>
                </w:rPr>
                <w:t>3(a)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ans-serif" w:hAnsi="Times New Roman;sans-serif"/>
                  <w:b w:val="false"/>
                  <w:color w:val="0000EE"/>
                  <w:sz w:val="20"/>
                  <w:shd w:fill="CCEEFF" w:val="clear"/>
                </w:rPr>
                <w:t>Restated Certificate of Incorporation, as amended (incorporated by reference to Exhibit 3(a) to the Company’s Quarterly Report on Form 10-Q for the period ended March 31, 2014, filed on May 15, 2014).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ans-serif" w:hAnsi="Times New Roman;sans-serif"/>
                  <w:b w:val="false"/>
                  <w:color w:val="0000EE"/>
                  <w:sz w:val="20"/>
                  <w:shd w:fill="CCEEFF" w:val="clear"/>
                </w:rPr>
                <w:t>3(b)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Times New Roman;sans-serif" w:hAnsi="Times New Roman;sans-serif"/>
                  <w:b w:val="false"/>
                  <w:color w:val="0000EE"/>
                  <w:sz w:val="20"/>
                  <w:shd w:fill="CCEEFF" w:val="clear"/>
                </w:rPr>
                <w:t>By-laws, as amended (incorporated by reference to Exhibit 3.1 to the Company’s Current Report on Form 8-K filed on November 9, 2009).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7">
              <w:r>
                <w:rPr>
                  <w:rStyle w:val="InternetLink"/>
                  <w:rFonts w:ascii="Times New Roman;sans-serif" w:hAnsi="Times New Roman;sans-serif"/>
                  <w:b w:val="false"/>
                  <w:color w:val="0000EE"/>
                  <w:sz w:val="20"/>
                  <w:shd w:fill="CCEEFF" w:val="clear"/>
                </w:rPr>
                <w:t>4(a)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8">
              <w:r>
                <w:rPr>
                  <w:rStyle w:val="InternetLink"/>
                  <w:rFonts w:ascii="Times New Roman;sans-serif" w:hAnsi="Times New Roman;sans-serif"/>
                  <w:b w:val="false"/>
                  <w:color w:val="000080"/>
                  <w:sz w:val="20"/>
                  <w:shd w:fill="CCEEFF" w:val="clear"/>
                </w:rPr>
                <w:t xml:space="preserve">Note </w:t>
              </w:r>
            </w:hyperlink>
            <w:hyperlink r:id="rId9">
              <w:r>
                <w:rPr>
                  <w:rStyle w:val="InternetLink"/>
                  <w:rFonts w:ascii="Times New Roman;sans-serif" w:hAnsi="Times New Roman;sans-serif"/>
                  <w:b w:val="false"/>
                  <w:color w:val="000080"/>
                  <w:sz w:val="20"/>
                  <w:shd w:fill="CCEEFF" w:val="clear"/>
                </w:rPr>
                <w:t xml:space="preserve">Exchange Agreement, dated as of </w:t>
              </w:r>
            </w:hyperlink>
            <w:hyperlink r:id="rId10">
              <w:r>
                <w:rPr>
                  <w:rStyle w:val="InternetLink"/>
                  <w:rFonts w:ascii="Times New Roman;sans-serif" w:hAnsi="Times New Roman;sans-serif"/>
                  <w:b w:val="false"/>
                  <w:color w:val="000080"/>
                  <w:sz w:val="20"/>
                  <w:shd w:fill="CCEEFF" w:val="clear"/>
                </w:rPr>
                <w:t>August 30</w:t>
              </w:r>
            </w:hyperlink>
            <w:hyperlink r:id="rId11">
              <w:r>
                <w:rPr>
                  <w:rStyle w:val="InternetLink"/>
                  <w:rFonts w:ascii="Times New Roman;sans-serif" w:hAnsi="Times New Roman;sans-serif"/>
                  <w:b w:val="false"/>
                  <w:color w:val="000080"/>
                  <w:sz w:val="20"/>
                  <w:shd w:fill="CCEEFF" w:val="clear"/>
                </w:rPr>
                <w:t>, 202</w:t>
              </w:r>
            </w:hyperlink>
            <w:hyperlink r:id="rId12">
              <w:r>
                <w:rPr>
                  <w:rStyle w:val="InternetLink"/>
                  <w:rFonts w:ascii="Times New Roman;sans-serif" w:hAnsi="Times New Roman;sans-serif"/>
                  <w:b w:val="false"/>
                  <w:color w:val="000080"/>
                  <w:sz w:val="20"/>
                  <w:shd w:fill="CCEEFF" w:val="clear"/>
                </w:rPr>
                <w:t>4</w:t>
              </w:r>
            </w:hyperlink>
            <w:hyperlink r:id="rId13">
              <w:r>
                <w:rPr>
                  <w:rStyle w:val="InternetLink"/>
                  <w:rFonts w:ascii="Times New Roman;sans-serif" w:hAnsi="Times New Roman;sans-serif"/>
                  <w:b w:val="false"/>
                  <w:color w:val="000080"/>
                  <w:sz w:val="20"/>
                  <w:shd w:fill="CCEEFF" w:val="clear"/>
                </w:rPr>
                <w:t xml:space="preserve">, between Kingstone Companies, Inc. and the several holders of Existing Notes party thereto (incorporated by reference to Exhibit 10.1 to the Company’s Current Report on Form 8-K filed on </w:t>
              </w:r>
            </w:hyperlink>
            <w:hyperlink r:id="rId14">
              <w:r>
                <w:rPr>
                  <w:rStyle w:val="InternetLink"/>
                  <w:rFonts w:ascii="Times New Roman;sans-serif" w:hAnsi="Times New Roman;sans-serif"/>
                  <w:b w:val="false"/>
                  <w:color w:val="000080"/>
                  <w:sz w:val="20"/>
                  <w:shd w:fill="CCEEFF" w:val="clear"/>
                </w:rPr>
                <w:t>September 3</w:t>
              </w:r>
            </w:hyperlink>
            <w:hyperlink r:id="rId15">
              <w:r>
                <w:rPr>
                  <w:rStyle w:val="InternetLink"/>
                  <w:rFonts w:ascii="Times New Roman;sans-serif" w:hAnsi="Times New Roman;sans-serif"/>
                  <w:b w:val="false"/>
                  <w:color w:val="000080"/>
                  <w:sz w:val="20"/>
                  <w:shd w:fill="CCEEFF" w:val="clear"/>
                </w:rPr>
                <w:t>, 202</w:t>
              </w:r>
            </w:hyperlink>
            <w:hyperlink r:id="rId16">
              <w:r>
                <w:rPr>
                  <w:rStyle w:val="InternetLink"/>
                  <w:rFonts w:ascii="Times New Roman;sans-serif" w:hAnsi="Times New Roman;sans-serif"/>
                  <w:b w:val="false"/>
                  <w:color w:val="000080"/>
                  <w:sz w:val="20"/>
                  <w:shd w:fill="CCEEFF" w:val="clear"/>
                </w:rPr>
                <w:t>4</w:t>
              </w:r>
            </w:hyperlink>
            <w:hyperlink r:id="rId17">
              <w:r>
                <w:rPr>
                  <w:rStyle w:val="InternetLink"/>
                  <w:rFonts w:ascii="Times New Roman;sans-serif" w:hAnsi="Times New Roman;sans-serif"/>
                  <w:b w:val="false"/>
                  <w:color w:val="000080"/>
                  <w:sz w:val="20"/>
                  <w:shd w:fill="CCEEFF" w:val="clear"/>
                </w:rPr>
                <w:t>).</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8">
              <w:r>
                <w:rPr>
                  <w:rStyle w:val="InternetLink"/>
                  <w:rFonts w:ascii="Times New Roman;sans-serif" w:hAnsi="Times New Roman;sans-serif"/>
                  <w:b w:val="false"/>
                  <w:color w:val="0000EE"/>
                  <w:sz w:val="20"/>
                  <w:shd w:fill="CCEEFF" w:val="clear"/>
                </w:rPr>
                <w:t>4(b)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ans-serif" w:hAnsi="Times New Roman;sans-serif"/>
                  <w:b w:val="false"/>
                  <w:color w:val="000080"/>
                  <w:sz w:val="20"/>
                  <w:shd w:fill="CCEEFF" w:val="clear"/>
                </w:rPr>
                <w:t>Form of 1</w:t>
              </w:r>
            </w:hyperlink>
            <w:hyperlink r:id="rId20">
              <w:r>
                <w:rPr>
                  <w:rStyle w:val="InternetLink"/>
                  <w:rFonts w:ascii="Times New Roman;sans-serif" w:hAnsi="Times New Roman;sans-serif"/>
                  <w:b w:val="false"/>
                  <w:color w:val="000080"/>
                  <w:sz w:val="20"/>
                  <w:shd w:fill="CCEEFF" w:val="clear"/>
                </w:rPr>
                <w:t>3</w:t>
              </w:r>
            </w:hyperlink>
            <w:hyperlink r:id="rId21">
              <w:r>
                <w:rPr>
                  <w:rStyle w:val="InternetLink"/>
                  <w:rFonts w:ascii="Times New Roman;sans-serif" w:hAnsi="Times New Roman;sans-serif"/>
                  <w:b w:val="false"/>
                  <w:color w:val="000080"/>
                  <w:sz w:val="20"/>
                  <w:shd w:fill="CCEEFF" w:val="clear"/>
                </w:rPr>
                <w:t>.</w:t>
              </w:r>
            </w:hyperlink>
            <w:hyperlink r:id="rId22">
              <w:r>
                <w:rPr>
                  <w:rStyle w:val="InternetLink"/>
                  <w:rFonts w:ascii="Times New Roman;sans-serif" w:hAnsi="Times New Roman;sans-serif"/>
                  <w:b w:val="false"/>
                  <w:color w:val="000080"/>
                  <w:sz w:val="20"/>
                  <w:shd w:fill="CCEEFF" w:val="clear"/>
                </w:rPr>
                <w:t>75</w:t>
              </w:r>
            </w:hyperlink>
            <w:hyperlink r:id="rId23">
              <w:r>
                <w:rPr>
                  <w:rStyle w:val="InternetLink"/>
                  <w:rFonts w:ascii="Times New Roman;sans-serif" w:hAnsi="Times New Roman;sans-serif"/>
                  <w:b w:val="false"/>
                  <w:color w:val="000080"/>
                  <w:sz w:val="20"/>
                  <w:shd w:fill="CCEEFF" w:val="clear"/>
                </w:rPr>
                <w:t>% Note due 202</w:t>
              </w:r>
            </w:hyperlink>
            <w:hyperlink r:id="rId24">
              <w:r>
                <w:rPr>
                  <w:rStyle w:val="InternetLink"/>
                  <w:rFonts w:ascii="Times New Roman;sans-serif" w:hAnsi="Times New Roman;sans-serif"/>
                  <w:b w:val="false"/>
                  <w:color w:val="000080"/>
                  <w:sz w:val="20"/>
                  <w:shd w:fill="CCEEFF" w:val="clear"/>
                </w:rPr>
                <w:t>6</w:t>
              </w:r>
            </w:hyperlink>
            <w:hyperlink r:id="rId25">
              <w:r>
                <w:rPr>
                  <w:rStyle w:val="InternetLink"/>
                  <w:rFonts w:ascii="Times New Roman;sans-serif" w:hAnsi="Times New Roman;sans-serif"/>
                  <w:b w:val="false"/>
                  <w:color w:val="000080"/>
                  <w:sz w:val="20"/>
                  <w:shd w:fill="CCEEFF" w:val="clear"/>
                </w:rPr>
                <w:t xml:space="preserve"> issued by the Company representing $1</w:t>
              </w:r>
            </w:hyperlink>
            <w:hyperlink r:id="rId26">
              <w:r>
                <w:rPr>
                  <w:rStyle w:val="InternetLink"/>
                  <w:rFonts w:ascii="Times New Roman;sans-serif" w:hAnsi="Times New Roman;sans-serif"/>
                  <w:b w:val="false"/>
                  <w:color w:val="000080"/>
                  <w:sz w:val="20"/>
                  <w:shd w:fill="CCEEFF" w:val="clear"/>
                </w:rPr>
                <w:t>4</w:t>
              </w:r>
            </w:hyperlink>
            <w:hyperlink r:id="rId27">
              <w:r>
                <w:rPr>
                  <w:rStyle w:val="InternetLink"/>
                  <w:rFonts w:ascii="Times New Roman;sans-serif" w:hAnsi="Times New Roman;sans-serif"/>
                  <w:b w:val="false"/>
                  <w:color w:val="000080"/>
                  <w:sz w:val="20"/>
                  <w:shd w:fill="CCEEFF" w:val="clear"/>
                </w:rPr>
                <w:t>,950,000 aggregate principal amount of notes (incorporated by reference to Exhibit 10.2 to the Company’s Current Report on Form 8-K filed on</w:t>
              </w:r>
            </w:hyperlink>
            <w:hyperlink r:id="rId28">
              <w:r>
                <w:rPr>
                  <w:rStyle w:val="InternetLink"/>
                  <w:rFonts w:ascii="Times New Roman;sans-serif" w:hAnsi="Times New Roman;sans-serif"/>
                  <w:b w:val="false"/>
                  <w:color w:val="000080"/>
                  <w:sz w:val="20"/>
                  <w:shd w:fill="CCEEFF" w:val="clear"/>
                </w:rPr>
                <w:t xml:space="preserve"> September 3</w:t>
              </w:r>
            </w:hyperlink>
            <w:hyperlink r:id="rId29">
              <w:r>
                <w:rPr>
                  <w:rStyle w:val="InternetLink"/>
                  <w:rFonts w:ascii="Times New Roman;sans-serif" w:hAnsi="Times New Roman;sans-serif"/>
                  <w:b w:val="false"/>
                  <w:color w:val="000080"/>
                  <w:sz w:val="20"/>
                  <w:shd w:fill="CCEEFF" w:val="clear"/>
                </w:rPr>
                <w:t>, 202</w:t>
              </w:r>
            </w:hyperlink>
            <w:hyperlink r:id="rId30">
              <w:r>
                <w:rPr>
                  <w:rStyle w:val="InternetLink"/>
                  <w:rFonts w:ascii="Times New Roman;sans-serif" w:hAnsi="Times New Roman;sans-serif"/>
                  <w:b w:val="false"/>
                  <w:color w:val="000080"/>
                  <w:sz w:val="20"/>
                  <w:shd w:fill="CCEEFF" w:val="clear"/>
                </w:rPr>
                <w:t>4</w:t>
              </w:r>
            </w:hyperlink>
            <w:hyperlink r:id="rId31">
              <w:r>
                <w:rPr>
                  <w:rStyle w:val="InternetLink"/>
                  <w:rFonts w:ascii="Times New Roman;sans-serif" w:hAnsi="Times New Roman;sans-serif"/>
                  <w:b w:val="false"/>
                  <w:color w:val="000080"/>
                  <w:sz w:val="20"/>
                  <w:shd w:fill="CCEEFF" w:val="clear"/>
                </w:rPr>
                <w:t xml:space="preserve"> (included as Exhibit 1 to the Note </w:t>
              </w:r>
            </w:hyperlink>
            <w:hyperlink r:id="rId32">
              <w:r>
                <w:rPr>
                  <w:rStyle w:val="InternetLink"/>
                  <w:rFonts w:ascii="Times New Roman;sans-serif" w:hAnsi="Times New Roman;sans-serif"/>
                  <w:b w:val="false"/>
                  <w:color w:val="000080"/>
                  <w:sz w:val="20"/>
                  <w:shd w:fill="CCEEFF" w:val="clear"/>
                </w:rPr>
                <w:t>Exchange Agreement filed as Exhibit 10.1 thereto)).</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3">
              <w:r>
                <w:rPr>
                  <w:rStyle w:val="InternetLink"/>
                  <w:rFonts w:ascii="Times New Roman;sans-serif" w:hAnsi="Times New Roman;sans-serif"/>
                  <w:b w:val="false"/>
                  <w:color w:val="0000EE"/>
                  <w:sz w:val="20"/>
                  <w:shd w:fill="CCEEFF" w:val="clear"/>
                </w:rPr>
                <w:t>4(c)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4">
              <w:r>
                <w:rPr>
                  <w:rStyle w:val="InternetLink"/>
                  <w:rFonts w:ascii="Times New Roman;sans-serif" w:hAnsi="Times New Roman;sans-serif"/>
                  <w:b w:val="false"/>
                  <w:color w:val="0000EE"/>
                  <w:sz w:val="20"/>
                  <w:shd w:fill="CCEEFF" w:val="clear"/>
                </w:rPr>
                <w:t>Form of Warrant Certificate issued by the Company for the purchase of an aggregate of 969,525 shares of common stock (incorporated by reference to Exhibit 10.3 to the Company’s Current Report on Form 8-K filed on December 12, 2022 (included as Exhibit 2 to the Note and Warrant Exchange Agreement filed as Exhibit 10.1 thereto)).</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rPr>
            </w:pPr>
            <w:r>
              <w:rPr>
                <w:rFonts w:ascii="Times New Roman;sans-serif" w:hAnsi="Times New Roman;sans-serif"/>
                <w:b w:val="false"/>
                <w:color w:val="0000EE"/>
                <w:sz w:val="20"/>
              </w:rPr>
              <w:t>4(d)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4dexhibit4d-form10xkv2.htm">
              <w:r>
                <w:rPr>
                  <w:rStyle w:val="InternetLink"/>
                  <w:rFonts w:ascii="Times New Roman;sans-serif" w:hAnsi="Times New Roman;sans-serif"/>
                  <w:b w:val="false"/>
                  <w:color w:val="0000FF"/>
                  <w:sz w:val="20"/>
                </w:rPr>
                <w:t>Description of Securities Registered Under Section 12 of the Securities Exchange Act of 1934.*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5">
              <w:r>
                <w:rPr>
                  <w:rStyle w:val="InternetLink"/>
                  <w:rFonts w:ascii="Times New Roman;sans-serif" w:hAnsi="Times New Roman;sans-serif"/>
                  <w:b w:val="false"/>
                  <w:color w:val="3051F2"/>
                  <w:sz w:val="20"/>
                </w:rPr>
                <w:t>10(a)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6">
              <w:r>
                <w:rPr>
                  <w:rStyle w:val="InternetLink"/>
                  <w:rFonts w:ascii="Times New Roman;sans-serif" w:hAnsi="Times New Roman;sans-serif"/>
                  <w:b w:val="false"/>
                  <w:color w:val="3051F2"/>
                  <w:sz w:val="20"/>
                </w:rPr>
                <w:t>Amended and Restated 2014 Equity Participation Plan (incorporated by reference to Exhibit 10(a) to the Company's Annual Report on Form 10-K for the year ended December 31, 2023, filed on April 1, 2024).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7">
              <w:r>
                <w:rPr>
                  <w:rStyle w:val="InternetLink"/>
                  <w:rFonts w:ascii="Times New Roman;sans-serif" w:hAnsi="Times New Roman;sans-serif"/>
                  <w:b w:val="false"/>
                  <w:color w:val="0000EE"/>
                  <w:sz w:val="20"/>
                  <w:shd w:fill="CCEEFF" w:val="clear"/>
                </w:rPr>
                <w:t>10(b)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0b2024equityparticipatio.htm">
              <w:r>
                <w:rPr>
                  <w:rStyle w:val="InternetLink"/>
                  <w:rFonts w:ascii="Times New Roman;sans-serif" w:hAnsi="Times New Roman;sans-serif"/>
                  <w:b w:val="false"/>
                  <w:color w:val="0000FF"/>
                  <w:sz w:val="20"/>
                  <w:u w:val="single"/>
                </w:rPr>
                <w:t>2024 Equity Participation Plan.*</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8">
              <w:r>
                <w:rPr>
                  <w:rStyle w:val="InternetLink"/>
                  <w:rFonts w:ascii="Times New Roman;sans-serif" w:hAnsi="Times New Roman;sans-serif"/>
                  <w:b w:val="false"/>
                  <w:color w:val="0000EE"/>
                  <w:sz w:val="20"/>
                  <w:shd w:fill="CCEEFF" w:val="clear"/>
                </w:rPr>
                <w:t>10(h)</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EE"/>
                <w:sz w:val="20"/>
                <w:shd w:fill="CCEEFF" w:val="clear"/>
              </w:rPr>
              <w:t>Third</w:t>
            </w:r>
            <w:hyperlink r:id="rId39">
              <w:r>
                <w:rPr>
                  <w:rStyle w:val="InternetLink"/>
                  <w:rFonts w:ascii="Times New Roman;sans-serif" w:hAnsi="Times New Roman;sans-serif"/>
                  <w:b w:val="false"/>
                  <w:color w:val="000080"/>
                  <w:sz w:val="20"/>
                  <w:shd w:fill="CCEEFF" w:val="clear"/>
                </w:rPr>
                <w:t xml:space="preserve"> Amended and Restated Employment Agreement, dated as of April 15, 2024, by and between Kingstone Companies, Inc. and Meryl S. Golden (incorporated by reference to Exhibit 10.1 to the Company’s Current Report on Form 8-K filed on April 17, 2024).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EE"/>
                <w:sz w:val="20"/>
              </w:rPr>
            </w:pPr>
            <w:r>
              <w:rPr>
                <w:rFonts w:ascii="Times New Roman;sans-serif" w:hAnsi="Times New Roman;sans-serif"/>
                <w:b w:val="false"/>
                <w:color w:val="0000EE"/>
                <w:sz w:val="20"/>
              </w:rPr>
              <w:t>10(i)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40">
              <w:r>
                <w:rPr>
                  <w:rStyle w:val="InternetLink"/>
                  <w:rFonts w:ascii="Times New Roman;sans-serif" w:hAnsi="Times New Roman;sans-serif"/>
                  <w:b w:val="false"/>
                  <w:color w:val="0000FF"/>
                  <w:sz w:val="20"/>
                  <w:u w:val="single"/>
                </w:rPr>
                <w:t>Sales Agreement, dated as of May 24, 2024, by and between Kingstone Companies, Inc. and Janney Montgomery Scott LLC (incorporated by reference to Exhibit 1.1 to the Company's Current Report on Form 8-K filed on May 24, 2024).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10(j)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jfloydrtuppersga1-2x258.htm">
              <w:r>
                <w:rPr>
                  <w:rStyle w:val="InternetLink"/>
                  <w:rFonts w:ascii="Times New Roman;sans-serif" w:hAnsi="Times New Roman;sans-serif"/>
                  <w:b w:val="false"/>
                  <w:color w:val="0000FF"/>
                  <w:sz w:val="20"/>
                  <w:shd w:fill="CCEEFF" w:val="clear"/>
                </w:rPr>
                <w:t>Stock Grant Agreement, dated as of January 2, 2025, between Kingstone Companies, Inc. and Floyd R. Tupper.*</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carladandresga1-2x2584631.htm">
              <w:r>
                <w:rPr>
                  <w:rStyle w:val="InternetLink"/>
                  <w:rFonts w:ascii="Times New Roman;sans-serif" w:hAnsi="Times New Roman;sans-serif"/>
                  <w:b w:val="false"/>
                  <w:color w:val="0000FF"/>
                  <w:sz w:val="20"/>
                  <w:u w:val="single"/>
                  <w:shd w:fill="CCEEFF" w:val="clear"/>
                </w:rPr>
                <w:t>S</w:t>
              </w:r>
            </w:hyperlink>
            <w:hyperlink w:anchor="acarladandresga1-2x2584631.htm">
              <w:r>
                <w:rPr>
                  <w:rStyle w:val="InternetLink"/>
                  <w:rFonts w:ascii="Times New Roman;sans-serif" w:hAnsi="Times New Roman;sans-serif"/>
                  <w:b w:val="false"/>
                  <w:color w:val="0000FF"/>
                  <w:sz w:val="20"/>
                  <w:shd w:fill="CCEEFF" w:val="clear"/>
                </w:rPr>
                <w:t>tock Grant Agreement, dated as of January 2, 2025, between Kingstone Companies, Inc. and Carla D’Andre.*</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10(l)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lwilliamyankussga1-2x25.htm">
              <w:r>
                <w:rPr>
                  <w:rStyle w:val="InternetLink"/>
                  <w:rFonts w:ascii="Times New Roman;sans-serif" w:hAnsi="Times New Roman;sans-serif"/>
                  <w:b w:val="false"/>
                  <w:color w:val="0000FF"/>
                  <w:sz w:val="20"/>
                  <w:shd w:fill="CCEEFF" w:val="clear"/>
                </w:rPr>
                <w:t>Stock Grant Agreement, dated as of January 2, 2025, between Kingstone Companies, Inc. and William L. Yankus.*</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6"/>
        <w:gridCol w:w="198"/>
        <w:gridCol w:w="201"/>
        <w:gridCol w:w="109"/>
        <w:gridCol w:w="109"/>
        <w:gridCol w:w="109"/>
        <w:gridCol w:w="2802"/>
        <w:gridCol w:w="2641"/>
        <w:gridCol w:w="3750"/>
      </w:tblGrid>
      <w:tr>
        <w:trPr/>
        <w:tc>
          <w:tcPr>
            <w:tcW w:w="2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10(m)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mtmcfaddensga1-2x258463.htm">
              <w:r>
                <w:rPr>
                  <w:rStyle w:val="InternetLink"/>
                  <w:rFonts w:ascii="Times New Roman;sans-serif" w:hAnsi="Times New Roman;sans-serif"/>
                  <w:b w:val="false"/>
                  <w:color w:val="0000FF"/>
                  <w:sz w:val="20"/>
                  <w:shd w:fill="CCEEFF" w:val="clear"/>
                </w:rPr>
                <w:t>Stock Grant Agreement, dated as of January 2, 2025, between Kingstone Companies, Inc. and Timothy P. McFadden.*</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10(n)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nmgoldensga1-2584626551.htm">
              <w:r>
                <w:rPr>
                  <w:rStyle w:val="InternetLink"/>
                  <w:rFonts w:ascii="Times New Roman;sans-serif" w:hAnsi="Times New Roman;sans-serif"/>
                  <w:b w:val="false"/>
                  <w:color w:val="0000FF"/>
                  <w:sz w:val="20"/>
                  <w:shd w:fill="CCEEFF" w:val="clear"/>
                </w:rPr>
                <w:t>Stock Grant Agreement, dated as of January 2, 2025, between Kingstone Companies, Inc. and Meryl S. Golden.*</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EE"/>
                <w:sz w:val="20"/>
              </w:rPr>
            </w:pPr>
            <w:r>
              <w:rPr>
                <w:rFonts w:ascii="Times New Roman;sans-serif" w:hAnsi="Times New Roman;sans-serif"/>
                <w:b w:val="false"/>
                <w:color w:val="0000EE"/>
                <w:sz w:val="20"/>
              </w:rPr>
              <w:t>10(o)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othomasnewgardensga1225.htm">
              <w:r>
                <w:rPr>
                  <w:rStyle w:val="InternetLink"/>
                  <w:rFonts w:ascii="Times New Roman;sans-serif" w:hAnsi="Times New Roman;sans-serif"/>
                  <w:b w:val="false"/>
                  <w:color w:val="0000FF"/>
                  <w:sz w:val="20"/>
                  <w:shd w:fill="CCEEFF" w:val="clear"/>
                </w:rPr>
                <w:t>Stock Grant Agreement, dated as of January 2, 2025, between Kingstone Companies, Inc. and Thomas Newgarden.*</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EE"/>
                <w:sz w:val="20"/>
              </w:rPr>
            </w:pPr>
            <w:r>
              <w:rPr>
                <w:rFonts w:ascii="Times New Roman;sans-serif" w:hAnsi="Times New Roman;sans-serif"/>
                <w:b w:val="false"/>
                <w:color w:val="0000EE"/>
                <w:sz w:val="20"/>
              </w:rPr>
              <w:t>10(p)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pmanmohansinghsga1_2x25.htm">
              <w:r>
                <w:rPr>
                  <w:rStyle w:val="InternetLink"/>
                  <w:rFonts w:ascii="Times New Roman;sans-serif" w:hAnsi="Times New Roman;sans-serif"/>
                  <w:b w:val="false"/>
                  <w:color w:val="0000FF"/>
                  <w:sz w:val="20"/>
                  <w:shd w:fill="CCEEFF" w:val="clear"/>
                </w:rPr>
                <w:t>Stock Grant Agreement, dated as of January 2, 2025, between Kingstone Companies, Inc. and Manmohan Singh.*</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EE"/>
                <w:sz w:val="20"/>
              </w:rPr>
            </w:pPr>
            <w:r>
              <w:rPr>
                <w:rFonts w:ascii="Times New Roman;sans-serif" w:hAnsi="Times New Roman;sans-serif"/>
                <w:b w:val="false"/>
                <w:color w:val="0000EE"/>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rsa-schen3_3x2510935share.htm">
              <w:r>
                <w:rPr>
                  <w:rStyle w:val="InternetLink"/>
                  <w:rFonts w:ascii="Times New Roman;sans-serif" w:hAnsi="Times New Roman;sans-serif"/>
                  <w:b w:val="false"/>
                  <w:color w:val="000080"/>
                  <w:sz w:val="20"/>
                  <w:shd w:fill="CCEEFF" w:val="clear"/>
                </w:rPr>
                <w:t xml:space="preserve">Stock Grant Agreement, dated as of March 3, 2025, between Kingstone Companies, Inc. and Sarah </w:t>
              </w:r>
            </w:hyperlink>
            <w:hyperlink w:anchor="arsa-schen3_3x2510935share.htm">
              <w:r>
                <w:rPr>
                  <w:rStyle w:val="InternetLink"/>
                  <w:rFonts w:ascii="Times New Roman;sans-serif" w:hAnsi="Times New Roman;sans-serif"/>
                  <w:b w:val="false"/>
                  <w:color w:val="000080"/>
                  <w:sz w:val="20"/>
                  <w:shd w:fill="CCEEFF" w:val="clear"/>
                </w:rPr>
                <w:t>(Minlei) Chen.*</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rPr>
            </w:pPr>
            <w:r>
              <w:rPr>
                <w:rFonts w:ascii="Times New Roman;sans-serif" w:hAnsi="Times New Roman;sans-serif"/>
                <w:b w:val="false"/>
                <w:color w:val="0000EE"/>
                <w:sz w:val="20"/>
              </w:rPr>
              <w:t>10(r)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rrsa-jgravelle3_3x25878.htm">
              <w:r>
                <w:rPr>
                  <w:rStyle w:val="InternetLink"/>
                  <w:rFonts w:ascii="Times New Roman;sans-serif" w:hAnsi="Times New Roman;sans-serif"/>
                  <w:b w:val="false"/>
                  <w:color w:val="0000FF"/>
                  <w:sz w:val="20"/>
                  <w:shd w:fill="CCEEFF" w:val="clear"/>
                </w:rPr>
                <w:t>Stock Grant Agreement, dated as of March 3, 2025, between Kingstone Companies, Inc. and Jennifer L. Gravelle.*</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rPr>
            </w:pPr>
            <w:r>
              <w:rPr>
                <w:rFonts w:ascii="Times New Roman;sans-serif" w:hAnsi="Times New Roman;sans-serif"/>
                <w:b w:val="false"/>
                <w:color w:val="0000EE"/>
                <w:sz w:val="20"/>
              </w:rPr>
              <w:t>10(s)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0s2025bonusstructurere.htm">
              <w:r>
                <w:rPr>
                  <w:rStyle w:val="InternetLink"/>
                  <w:rFonts w:ascii="Times New Roman;sans-serif" w:hAnsi="Times New Roman;sans-serif"/>
                  <w:b w:val="false"/>
                  <w:color w:val="000080"/>
                  <w:sz w:val="20"/>
                  <w:shd w:fill="CCEEFF" w:val="clear"/>
                </w:rPr>
                <w:t xml:space="preserve">2025 </w:t>
              </w:r>
            </w:hyperlink>
            <w:hyperlink w:anchor="a10s2025bonusstructurere.htm">
              <w:r>
                <w:rPr>
                  <w:rStyle w:val="InternetLink"/>
                  <w:rFonts w:ascii="Times New Roman;sans-serif" w:hAnsi="Times New Roman;sans-serif"/>
                  <w:b w:val="false"/>
                  <w:color w:val="000080"/>
                  <w:sz w:val="20"/>
                  <w:shd w:fill="CCEEFF" w:val="clear"/>
                </w:rPr>
                <w:t>Employee Bonus Plan</w:t>
              </w:r>
            </w:hyperlink>
            <w:hyperlink w:anchor="a10s2025bonusstructurere.htm">
              <w:r>
                <w:rPr>
                  <w:rStyle w:val="InternetLink"/>
                  <w:rFonts w:ascii="Times New Roman;sans-serif" w:hAnsi="Times New Roman;sans-serif"/>
                  <w:b w:val="false"/>
                  <w:color w:val="000080"/>
                  <w:sz w:val="20"/>
                  <w:shd w:fill="CCEEFF" w:val="clear"/>
                </w:rPr>
                <w:t xml:space="preserve"> </w:t>
              </w:r>
            </w:hyperlink>
            <w:hyperlink w:anchor="a10s2025bonusstructurere.htm">
              <w:r>
                <w:rPr>
                  <w:rStyle w:val="InternetLink"/>
                  <w:rFonts w:ascii="Times New Roman;sans-serif" w:hAnsi="Times New Roman;sans-serif"/>
                  <w:b w:val="false"/>
                  <w:color w:val="000080"/>
                  <w:sz w:val="20"/>
                  <w:shd w:fill="CCEEFF" w:val="clear"/>
                </w:rPr>
                <w:t>#</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rPr>
            </w:pPr>
            <w:r>
              <w:rPr>
                <w:rFonts w:ascii="Times New Roman;sans-serif" w:hAnsi="Times New Roman;sans-serif"/>
                <w:b w:val="false"/>
                <w:color w:val="0000EE"/>
                <w:sz w:val="20"/>
              </w:rPr>
              <w:t>10(t)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1">
              <w:r>
                <w:rPr>
                  <w:rStyle w:val="InternetLink"/>
                  <w:rFonts w:ascii="Times New Roman;sans-serif" w:hAnsi="Times New Roman;sans-serif"/>
                  <w:b w:val="false"/>
                  <w:color w:val="0000FF"/>
                  <w:sz w:val="20"/>
                  <w:u w:val="single"/>
                  <w:shd w:fill="CCEEFF" w:val="clear"/>
                </w:rPr>
                <w:t>Contract of Sale, dated February 5, 2025, between 15 Joys Lane, LLC and The County of Ulster (incorporated by reference to Exhibit 10.1 to the Company's Current Report on Form 8-K filed on February 7, 2025).</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rPr>
            </w:pPr>
            <w:r>
              <w:rPr>
                <w:rFonts w:ascii="Times New Roman;sans-serif" w:hAnsi="Times New Roman;sans-serif"/>
                <w:b w:val="false"/>
                <w:color w:val="0000EE"/>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19insidertradingpolicyv2.htm">
              <w:r>
                <w:rPr>
                  <w:rStyle w:val="InternetLink"/>
                  <w:rFonts w:ascii="Times New Roman;sans-serif" w:hAnsi="Times New Roman;sans-serif"/>
                  <w:b w:val="false"/>
                  <w:color w:val="000080"/>
                  <w:sz w:val="20"/>
                  <w:shd w:fill="CCEEFF" w:val="clear"/>
                </w:rPr>
                <w:t xml:space="preserve">Kingstone Companies, Inc. </w:t>
              </w:r>
            </w:hyperlink>
            <w:hyperlink w:anchor="a19insidertradingpolicyv2.htm">
              <w:r>
                <w:rPr>
                  <w:rStyle w:val="InternetLink"/>
                  <w:rFonts w:ascii="Times New Roman;sans-serif" w:hAnsi="Times New Roman;sans-serif"/>
                  <w:b w:val="false"/>
                  <w:color w:val="000080"/>
                  <w:sz w:val="20"/>
                  <w:shd w:fill="CCEEFF" w:val="clear"/>
                </w:rPr>
                <w:t>Insider</w:t>
              </w:r>
            </w:hyperlink>
            <w:hyperlink w:anchor="a19insidertradingpolicyv2.htm">
              <w:r>
                <w:rPr>
                  <w:rStyle w:val="InternetLink"/>
                  <w:rFonts w:ascii="Times New Roman;sans-serif" w:hAnsi="Times New Roman;sans-serif"/>
                  <w:b w:val="false"/>
                  <w:color w:val="000080"/>
                  <w:sz w:val="20"/>
                  <w:shd w:fill="CCEEFF" w:val="clear"/>
                </w:rPr>
                <w:t xml:space="preserve"> Trading </w:t>
              </w:r>
            </w:hyperlink>
            <w:hyperlink w:anchor="a19insidertradingpolicyv2.htm">
              <w:r>
                <w:rPr>
                  <w:rStyle w:val="InternetLink"/>
                  <w:rFonts w:ascii="Times New Roman;sans-serif" w:hAnsi="Times New Roman;sans-serif"/>
                  <w:b w:val="false"/>
                  <w:color w:val="000080"/>
                  <w:sz w:val="20"/>
                  <w:shd w:fill="CCEEFF" w:val="clear"/>
                </w:rPr>
                <w:t>Policy.*</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Times New Roman;sans-serif" w:hAnsi="Times New Roman;sans-serif"/>
                  <w:b w:val="false"/>
                  <w:color w:val="0000EE"/>
                  <w:sz w:val="20"/>
                  <w:shd w:fill="CCEEFF" w:val="clear"/>
                </w:rPr>
                <w:t>Subsidiaries (incorporated by reference to Exhibit 21 to the Company’s Annual Report on Form 10-K for the year ended December 31, 2016, filed on March 16, 2017).</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a23consent76900695-aa21x42.htm">
              <w:r>
                <w:rPr>
                  <w:rStyle w:val="InternetLink"/>
                  <w:rFonts w:ascii="Times New Roman;sans-serif" w:hAnsi="Times New Roman;sans-serif"/>
                  <w:b w:val="false"/>
                  <w:color w:val="0000FF"/>
                  <w:sz w:val="20"/>
                  <w:shd w:fill="CCEEFF" w:val="clear"/>
                </w:rPr>
                <w:t>Consent of Marcum LLP.*</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EE"/>
              </w:rPr>
            </w:pPr>
            <w:r>
              <w:rPr>
                <w:color w:val="0000EE"/>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31(a)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kins-20241231xex31a.htm">
              <w:r>
                <w:rPr>
                  <w:rStyle w:val="InternetLink"/>
                  <w:rFonts w:ascii="Times New Roman;sans-serif" w:hAnsi="Times New Roman;sans-serif"/>
                  <w:b w:val="false"/>
                  <w:color w:val="0000FF"/>
                  <w:sz w:val="20"/>
                  <w:shd w:fill="CCEEFF" w:val="clear"/>
                </w:rPr>
                <w:t>Rule 13a-14(a)/15d-14(a) Certification of Chief Executive Officer as Adopted Pursuant to Section 302 of the Sarbanes-Oxley Act of 2002.*</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EE"/>
                <w:sz w:val="20"/>
                <w:shd w:fill="CCEEFF" w:val="clear"/>
              </w:rPr>
            </w:pPr>
            <w:r>
              <w:rPr>
                <w:rFonts w:ascii="Times New Roman;sans-serif" w:hAnsi="Times New Roman;sans-serif"/>
                <w:b w:val="false"/>
                <w:color w:val="0000EE"/>
                <w:sz w:val="20"/>
                <w:shd w:fill="CCEEFF" w:val="clear"/>
              </w:rPr>
              <w:t>31(b)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kins-20241231xex31b.htm">
              <w:r>
                <w:rPr>
                  <w:rStyle w:val="InternetLink"/>
                  <w:rFonts w:ascii="Times New Roman;sans-serif" w:hAnsi="Times New Roman;sans-serif"/>
                  <w:b w:val="false"/>
                  <w:color w:val="0000FF"/>
                  <w:sz w:val="20"/>
                  <w:shd w:fill="CCEEFF" w:val="clear"/>
                </w:rPr>
                <w:t>Rule 13a-14(a)/15d-14(a) Certification of Principal Financial Officer as Adopted Pursuant to Section 302 of the Sarbanes-Oxley Act of 2002.*</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EE"/>
              </w:rPr>
            </w:pPr>
            <w:r>
              <w:rPr>
                <w:color w:val="0000EE"/>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kins-20241231xex32.htm">
              <w:r>
                <w:rPr>
                  <w:rStyle w:val="InternetLink"/>
                  <w:rFonts w:ascii="Times New Roman;sans-serif" w:hAnsi="Times New Roman;sans-serif"/>
                  <w:b w:val="false"/>
                  <w:color w:val="0000FF"/>
                  <w:sz w:val="20"/>
                  <w:shd w:fill="CCEEFF" w:val="clear"/>
                </w:rPr>
                <w:t>Certification of Chief Executive Officer and Principal Financial Officer Pursuant to 18 U.S.C. Section 1350, as Adopted Pursuant to Section 906 of the Sarbanes-Oxley Act of 2002.**</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Times New Roman;sans-serif" w:hAnsi="Times New Roman;sans-serif"/>
                  <w:b w:val="false"/>
                  <w:color w:val="000080"/>
                  <w:sz w:val="20"/>
                  <w:u w:val="single"/>
                  <w:shd w:fill="CCEEFF" w:val="clear"/>
                </w:rPr>
                <w:t>Clawback Policy</w:t>
              </w:r>
            </w:hyperlink>
            <w:hyperlink r:id="rId44">
              <w:r>
                <w:rPr>
                  <w:rStyle w:val="InternetLink"/>
                  <w:rFonts w:ascii="Times New Roman;sans-serif" w:hAnsi="Times New Roman;sans-serif"/>
                  <w:b w:val="false"/>
                  <w:color w:val="000080"/>
                  <w:sz w:val="20"/>
                  <w:u w:val="single"/>
                  <w:shd w:fill="CCEEFF" w:val="clear"/>
                </w:rPr>
                <w:t xml:space="preserve"> </w:t>
              </w:r>
            </w:hyperlink>
            <w:hyperlink r:id="rId45">
              <w:r>
                <w:rPr>
                  <w:rStyle w:val="InternetLink"/>
                  <w:rFonts w:ascii="Times New Roman;sans-serif" w:hAnsi="Times New Roman;sans-serif"/>
                  <w:b w:val="false"/>
                  <w:color w:val="000080"/>
                  <w:sz w:val="20"/>
                  <w:u w:val="single"/>
                </w:rPr>
                <w:t xml:space="preserve">(incorporated by reference to Exhibit </w:t>
              </w:r>
            </w:hyperlink>
            <w:hyperlink r:id="rId46">
              <w:r>
                <w:rPr>
                  <w:rStyle w:val="InternetLink"/>
                  <w:rFonts w:ascii="Times New Roman;sans-serif" w:hAnsi="Times New Roman;sans-serif"/>
                  <w:b w:val="false"/>
                  <w:color w:val="000080"/>
                  <w:sz w:val="20"/>
                  <w:u w:val="single"/>
                </w:rPr>
                <w:t>97</w:t>
              </w:r>
            </w:hyperlink>
            <w:hyperlink r:id="rId47">
              <w:r>
                <w:rPr>
                  <w:rStyle w:val="InternetLink"/>
                  <w:rFonts w:ascii="Times New Roman;sans-serif" w:hAnsi="Times New Roman;sans-serif"/>
                  <w:b w:val="false"/>
                  <w:color w:val="000080"/>
                  <w:sz w:val="20"/>
                  <w:u w:val="single"/>
                </w:rPr>
                <w:t xml:space="preserve"> to the Company's Annual Report on Form 10-K for the year ended December 31, 2023, filed on April 1, 2024).</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 XBRL Taxonomy Extension Schema.*</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 XBRL Taxonomy Extension Calculation Linkbase.*</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tbl>
      <w:tblPr>
        <w:tblW w:w="6430" w:type="dxa"/>
        <w:jc w:val="left"/>
        <w:tblInd w:w="0" w:type="dxa"/>
        <w:tblLayout w:type="fixed"/>
        <w:tblCellMar>
          <w:top w:w="28" w:type="dxa"/>
          <w:left w:w="28" w:type="dxa"/>
          <w:bottom w:w="28" w:type="dxa"/>
          <w:right w:w="28" w:type="dxa"/>
        </w:tblCellMar>
      </w:tblPr>
      <w:tblGrid>
        <w:gridCol w:w="315"/>
        <w:gridCol w:w="276"/>
        <w:gridCol w:w="278"/>
        <w:gridCol w:w="109"/>
        <w:gridCol w:w="109"/>
        <w:gridCol w:w="109"/>
        <w:gridCol w:w="1531"/>
        <w:gridCol w:w="1531"/>
        <w:gridCol w:w="2172"/>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 XBRL Taxonomy Extension Definition Linkbase.*</w:t>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 XBRL Taxonomy Extension Label Linkbase.*</w:t>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 XBRL Taxonomy Extension Presentation Linkbase.*</w:t>
            </w:r>
          </w:p>
        </w:tc>
      </w:tr>
    </w:tbl>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the exhibit (indicated by asterisks) have been omitted pursuant to Item 601 (b)(10)(iv)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16. FORM 10-K SUMMARY.</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897" w:type="dxa"/>
        <w:jc w:val="left"/>
        <w:tblInd w:w="0" w:type="dxa"/>
        <w:tblLayout w:type="fixed"/>
        <w:tblCellMar>
          <w:top w:w="28" w:type="dxa"/>
          <w:left w:w="28" w:type="dxa"/>
          <w:bottom w:w="28" w:type="dxa"/>
          <w:right w:w="28" w:type="dxa"/>
        </w:tblCellMar>
      </w:tblPr>
      <w:tblGrid>
        <w:gridCol w:w="721"/>
        <w:gridCol w:w="634"/>
        <w:gridCol w:w="640"/>
        <w:gridCol w:w="502"/>
        <w:gridCol w:w="502"/>
        <w:gridCol w:w="502"/>
        <w:gridCol w:w="674"/>
        <w:gridCol w:w="674"/>
        <w:gridCol w:w="676"/>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KINGSTONE COMPANIES,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18, 2025</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Meryl S.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Meryl S. Golden </w:t>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76" w:before="1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1892" w:type="dxa"/>
        <w:jc w:val="left"/>
        <w:tblInd w:w="0" w:type="dxa"/>
        <w:tblLayout w:type="fixed"/>
        <w:tblCellMar>
          <w:top w:w="28" w:type="dxa"/>
          <w:left w:w="28" w:type="dxa"/>
          <w:bottom w:w="28" w:type="dxa"/>
          <w:right w:w="28" w:type="dxa"/>
        </w:tblCellMar>
      </w:tblPr>
      <w:tblGrid>
        <w:gridCol w:w="447"/>
        <w:gridCol w:w="301"/>
        <w:gridCol w:w="303"/>
        <w:gridCol w:w="109"/>
        <w:gridCol w:w="109"/>
        <w:gridCol w:w="109"/>
        <w:gridCol w:w="714"/>
        <w:gridCol w:w="309"/>
        <w:gridCol w:w="313"/>
        <w:gridCol w:w="109"/>
        <w:gridCol w:w="109"/>
        <w:gridCol w:w="109"/>
        <w:gridCol w:w="209"/>
        <w:gridCol w:w="209"/>
        <w:gridCol w:w="21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72"/>
      </w:tblGrid>
      <w:tr>
        <w:trPr/>
        <w:tc>
          <w:tcPr>
            <w:tcW w:w="4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Meryl S. Golden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w:t>
              <w:br/>
              <w:t>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Meryl S. Golden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Thomas Newgarden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Non-Executive Chairman of the Board and 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Newgarden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Jennifer L. Gravelle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Chief Financial Officer and Treasurer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Jennifer L. Gravelle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Victor Brodsky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 Brodsky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Floyd R. Tupper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Floyd R. Tupper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Timothy P. McFadden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P. McFadden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William L. Yankus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William L. Yankus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Carla A. D’Andre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A. D’Andre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Manmohan Singh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Manmohan Singh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center"/>
        <w:rPr/>
      </w:pPr>
      <w:r>
        <w:rPr>
          <w:rFonts w:ascii="Times New Roman;sans-serif" w:hAnsi="Times New Roman;sans-serif"/>
          <w:b/>
          <w:color w:val="000000"/>
          <w:sz w:val="20"/>
        </w:rPr>
        <w:t>Index to Consolidated Financial Statements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290"/>
        <w:gridCol w:w="2864"/>
        <w:gridCol w:w="2879"/>
        <w:gridCol w:w="265"/>
        <w:gridCol w:w="265"/>
        <w:gridCol w:w="267"/>
        <w:gridCol w:w="109"/>
        <w:gridCol w:w="109"/>
        <w:gridCol w:w="157"/>
      </w:tblGrid>
      <w:tr>
        <w:trPr/>
        <w:tc>
          <w:tcPr>
            <w:tcW w:w="329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45">
              <w:r>
                <w:rPr>
                  <w:rStyle w:val="InternetLink"/>
                  <w:rFonts w:ascii="Times New Roman;sans-serif" w:hAnsi="Times New Roman;sans-serif"/>
                  <w:b w:val="false"/>
                  <w:color w:val="0000FF"/>
                  <w:sz w:val="20"/>
                  <w:u w:val="single"/>
                </w:rPr>
                <w:t>Report of Independent Registered Public Accounting Firm</w:t>
              </w:r>
            </w:hyperlink>
          </w:p>
        </w:tc>
        <w:tc>
          <w:tcPr>
            <w:tcW w:w="79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F-</w:t>
            </w:r>
            <w:hyperlink w:anchor="ia1d559869f3348e89eea93a7b3c6d447_145">
              <w:r>
                <w:rPr>
                  <w:rStyle w:val="InternetLink"/>
                  <w:rFonts w:ascii="Times New Roman;sans-serif" w:hAnsi="Times New Roman;sans-serif"/>
                  <w:b w:val="false"/>
                  <w:strike w:val="false"/>
                  <w:dstrike w:val="false"/>
                  <w:color w:val="000000"/>
                  <w:sz w:val="20"/>
                  <w:u w:val="none"/>
                  <w:effect w:val="none"/>
                </w:rPr>
                <w:t>2</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48">
              <w:r>
                <w:rPr>
                  <w:rStyle w:val="InternetLink"/>
                  <w:rFonts w:ascii="Times New Roman;sans-serif" w:hAnsi="Times New Roman;sans-serif"/>
                  <w:b w:val="false"/>
                  <w:color w:val="000080"/>
                  <w:sz w:val="20"/>
                  <w:u w:val="single"/>
                </w:rPr>
                <w:t>Consolidated Balance Sheets as of December 31, 202</w:t>
              </w:r>
            </w:hyperlink>
            <w:hyperlink w:anchor="ia1d559869f3348e89eea93a7b3c6d447_148">
              <w:r>
                <w:rPr>
                  <w:rStyle w:val="InternetLink"/>
                  <w:rFonts w:ascii="Times New Roman;sans-serif" w:hAnsi="Times New Roman;sans-serif"/>
                  <w:b w:val="false"/>
                  <w:color w:val="000080"/>
                  <w:sz w:val="20"/>
                  <w:u w:val="single"/>
                </w:rPr>
                <w:t>4</w:t>
              </w:r>
            </w:hyperlink>
            <w:hyperlink w:anchor="ia1d559869f3348e89eea93a7b3c6d447_148">
              <w:r>
                <w:rPr>
                  <w:rStyle w:val="InternetLink"/>
                  <w:rFonts w:ascii="Times New Roman;sans-serif" w:hAnsi="Times New Roman;sans-serif"/>
                  <w:b w:val="false"/>
                  <w:color w:val="000080"/>
                  <w:sz w:val="20"/>
                  <w:u w:val="single"/>
                </w:rPr>
                <w:t xml:space="preserve"> and </w:t>
              </w:r>
            </w:hyperlink>
            <w:hyperlink w:anchor="ia1d559869f3348e89eea93a7b3c6d447_148">
              <w:r>
                <w:rPr>
                  <w:rStyle w:val="InternetLink"/>
                  <w:rFonts w:ascii="Times New Roman;sans-serif" w:hAnsi="Times New Roman;sans-serif"/>
                  <w:b w:val="false"/>
                  <w:color w:val="000080"/>
                  <w:sz w:val="20"/>
                  <w:u w:val="single"/>
                </w:rPr>
                <w:t>2023</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F-</w:t>
            </w:r>
            <w:hyperlink w:anchor="ia1d559869f3348e89eea93a7b3c6d447_148">
              <w:r>
                <w:rPr>
                  <w:rStyle w:val="InternetLink"/>
                  <w:rFonts w:ascii="Times New Roman;sans-serif" w:hAnsi="Times New Roman;sans-serif"/>
                  <w:b w:val="false"/>
                  <w:strike w:val="false"/>
                  <w:dstrike w:val="false"/>
                  <w:color w:val="000000"/>
                  <w:sz w:val="20"/>
                  <w:u w:val="none"/>
                  <w:effect w:val="none"/>
                </w:rPr>
                <w:t>4</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51">
              <w:r>
                <w:rPr>
                  <w:rStyle w:val="InternetLink"/>
                  <w:rFonts w:ascii="Times New Roman;sans-serif" w:hAnsi="Times New Roman;sans-serif"/>
                  <w:b w:val="false"/>
                  <w:color w:val="000080"/>
                  <w:sz w:val="20"/>
                  <w:u w:val="single"/>
                </w:rPr>
                <w:t xml:space="preserve">Consolidated Statements of Operations and Comprehensive </w:t>
              </w:r>
            </w:hyperlink>
            <w:hyperlink w:anchor="ia1d559869f3348e89eea93a7b3c6d447_151">
              <w:r>
                <w:rPr>
                  <w:rStyle w:val="InternetLink"/>
                  <w:rFonts w:ascii="Times New Roman;sans-serif" w:hAnsi="Times New Roman;sans-serif"/>
                  <w:b w:val="false"/>
                  <w:color w:val="000080"/>
                  <w:sz w:val="20"/>
                  <w:u w:val="single"/>
                </w:rPr>
                <w:t>Income</w:t>
              </w:r>
            </w:hyperlink>
            <w:hyperlink w:anchor="ia1d559869f3348e89eea93a7b3c6d447_151">
              <w:r>
                <w:rPr>
                  <w:rStyle w:val="InternetLink"/>
                  <w:rFonts w:ascii="Times New Roman;sans-serif" w:hAnsi="Times New Roman;sans-serif"/>
                  <w:b w:val="false"/>
                  <w:color w:val="000080"/>
                  <w:sz w:val="20"/>
                  <w:u w:val="single"/>
                </w:rPr>
                <w:t xml:space="preserve"> (</w:t>
              </w:r>
            </w:hyperlink>
            <w:hyperlink w:anchor="ia1d559869f3348e89eea93a7b3c6d447_151">
              <w:r>
                <w:rPr>
                  <w:rStyle w:val="InternetLink"/>
                  <w:rFonts w:ascii="Times New Roman;sans-serif" w:hAnsi="Times New Roman;sans-serif"/>
                  <w:b w:val="false"/>
                  <w:color w:val="000080"/>
                  <w:sz w:val="20"/>
                  <w:u w:val="single"/>
                </w:rPr>
                <w:t>Loss)</w:t>
              </w:r>
            </w:hyperlink>
            <w:hyperlink w:anchor="ia1d559869f3348e89eea93a7b3c6d447_151">
              <w:r>
                <w:rPr>
                  <w:rStyle w:val="InternetLink"/>
                  <w:rFonts w:ascii="Times New Roman;sans-serif" w:hAnsi="Times New Roman;sans-serif"/>
                  <w:b w:val="false"/>
                  <w:color w:val="000080"/>
                  <w:sz w:val="20"/>
                  <w:u w:val="single"/>
                </w:rPr>
                <w:t xml:space="preserve"> for the years ended December 31, 202</w:t>
              </w:r>
            </w:hyperlink>
            <w:hyperlink w:anchor="ia1d559869f3348e89eea93a7b3c6d447_151">
              <w:r>
                <w:rPr>
                  <w:rStyle w:val="InternetLink"/>
                  <w:rFonts w:ascii="Times New Roman;sans-serif" w:hAnsi="Times New Roman;sans-serif"/>
                  <w:b w:val="false"/>
                  <w:color w:val="000080"/>
                  <w:sz w:val="20"/>
                  <w:u w:val="single"/>
                </w:rPr>
                <w:t>4</w:t>
              </w:r>
            </w:hyperlink>
            <w:hyperlink w:anchor="ia1d559869f3348e89eea93a7b3c6d447_151">
              <w:r>
                <w:rPr>
                  <w:rStyle w:val="InternetLink"/>
                  <w:rFonts w:ascii="Times New Roman;sans-serif" w:hAnsi="Times New Roman;sans-serif"/>
                  <w:b w:val="false"/>
                  <w:color w:val="000080"/>
                  <w:sz w:val="20"/>
                  <w:u w:val="single"/>
                </w:rPr>
                <w:t xml:space="preserve"> and </w:t>
              </w:r>
            </w:hyperlink>
            <w:hyperlink w:anchor="ia1d559869f3348e89eea93a7b3c6d447_151">
              <w:r>
                <w:rPr>
                  <w:rStyle w:val="InternetLink"/>
                  <w:rFonts w:ascii="Times New Roman;sans-serif" w:hAnsi="Times New Roman;sans-serif"/>
                  <w:b w:val="false"/>
                  <w:color w:val="000080"/>
                  <w:sz w:val="20"/>
                  <w:u w:val="single"/>
                </w:rPr>
                <w:t>2023</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F-</w:t>
            </w:r>
            <w:hyperlink w:anchor="ia1d559869f3348e89eea93a7b3c6d447_151">
              <w:r>
                <w:rPr>
                  <w:rStyle w:val="InternetLink"/>
                  <w:rFonts w:ascii="Times New Roman;sans-serif" w:hAnsi="Times New Roman;sans-serif"/>
                  <w:b w:val="false"/>
                  <w:strike w:val="false"/>
                  <w:dstrike w:val="false"/>
                  <w:color w:val="000000"/>
                  <w:sz w:val="20"/>
                  <w:u w:val="none"/>
                  <w:effect w:val="none"/>
                </w:rPr>
                <w:t>5</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54">
              <w:r>
                <w:rPr>
                  <w:rStyle w:val="InternetLink"/>
                  <w:rFonts w:ascii="Times New Roman;sans-serif" w:hAnsi="Times New Roman;sans-serif"/>
                  <w:b w:val="false"/>
                  <w:color w:val="000080"/>
                  <w:sz w:val="20"/>
                  <w:u w:val="single"/>
                </w:rPr>
                <w:t>Consolidated Statements of Stockholders’ Equity for the years ended December 31, 202</w:t>
              </w:r>
            </w:hyperlink>
            <w:hyperlink w:anchor="ia1d559869f3348e89eea93a7b3c6d447_154">
              <w:r>
                <w:rPr>
                  <w:rStyle w:val="InternetLink"/>
                  <w:rFonts w:ascii="Times New Roman;sans-serif" w:hAnsi="Times New Roman;sans-serif"/>
                  <w:b w:val="false"/>
                  <w:color w:val="000080"/>
                  <w:sz w:val="20"/>
                  <w:u w:val="single"/>
                </w:rPr>
                <w:t>4</w:t>
              </w:r>
            </w:hyperlink>
            <w:hyperlink w:anchor="ia1d559869f3348e89eea93a7b3c6d447_154">
              <w:r>
                <w:rPr>
                  <w:rStyle w:val="InternetLink"/>
                  <w:rFonts w:ascii="Times New Roman;sans-serif" w:hAnsi="Times New Roman;sans-serif"/>
                  <w:b w:val="false"/>
                  <w:color w:val="000080"/>
                  <w:sz w:val="20"/>
                  <w:u w:val="single"/>
                </w:rPr>
                <w:t xml:space="preserve"> and </w:t>
              </w:r>
            </w:hyperlink>
            <w:hyperlink w:anchor="ia1d559869f3348e89eea93a7b3c6d447_154">
              <w:r>
                <w:rPr>
                  <w:rStyle w:val="InternetLink"/>
                  <w:rFonts w:ascii="Times New Roman;sans-serif" w:hAnsi="Times New Roman;sans-serif"/>
                  <w:b w:val="false"/>
                  <w:color w:val="000080"/>
                  <w:sz w:val="20"/>
                  <w:u w:val="single"/>
                </w:rPr>
                <w:t>2023</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F-</w:t>
            </w:r>
            <w:hyperlink w:anchor="ia1d559869f3348e89eea93a7b3c6d447_154">
              <w:r>
                <w:rPr>
                  <w:rStyle w:val="InternetLink"/>
                  <w:rFonts w:ascii="Times New Roman;sans-serif" w:hAnsi="Times New Roman;sans-serif"/>
                  <w:b w:val="false"/>
                  <w:strike w:val="false"/>
                  <w:dstrike w:val="false"/>
                  <w:color w:val="000000"/>
                  <w:sz w:val="20"/>
                  <w:u w:val="none"/>
                  <w:effect w:val="none"/>
                </w:rPr>
                <w:t>6</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57">
              <w:r>
                <w:rPr>
                  <w:rStyle w:val="InternetLink"/>
                  <w:rFonts w:ascii="Times New Roman;sans-serif" w:hAnsi="Times New Roman;sans-serif"/>
                  <w:b w:val="false"/>
                  <w:color w:val="000080"/>
                  <w:sz w:val="20"/>
                  <w:u w:val="single"/>
                </w:rPr>
                <w:t>Consolidated Statements of Cash Flows for the years ended December 31, 202</w:t>
              </w:r>
            </w:hyperlink>
            <w:hyperlink w:anchor="ia1d559869f3348e89eea93a7b3c6d447_157">
              <w:r>
                <w:rPr>
                  <w:rStyle w:val="InternetLink"/>
                  <w:rFonts w:ascii="Times New Roman;sans-serif" w:hAnsi="Times New Roman;sans-serif"/>
                  <w:b w:val="false"/>
                  <w:color w:val="000080"/>
                  <w:sz w:val="20"/>
                  <w:u w:val="single"/>
                </w:rPr>
                <w:t>4</w:t>
              </w:r>
            </w:hyperlink>
            <w:hyperlink w:anchor="ia1d559869f3348e89eea93a7b3c6d447_157">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3</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F-</w:t>
            </w:r>
            <w:hyperlink w:anchor="ia1d559869f3348e89eea93a7b3c6d447_157">
              <w:r>
                <w:rPr>
                  <w:rStyle w:val="InternetLink"/>
                  <w:rFonts w:ascii="Times New Roman;sans-serif" w:hAnsi="Times New Roman;sans-serif"/>
                  <w:b w:val="false"/>
                  <w:strike w:val="false"/>
                  <w:dstrike w:val="false"/>
                  <w:color w:val="000000"/>
                  <w:sz w:val="20"/>
                  <w:u w:val="none"/>
                  <w:effect w:val="none"/>
                </w:rPr>
                <w:t>7</w:t>
              </w:r>
            </w:hyperlink>
            <w:r>
              <w:rPr>
                <w:rFonts w:ascii="Times New Roman;sans-serif" w:hAnsi="Times New Roman;sans-serif"/>
                <w:b w:val="false"/>
                <w:color w:val="000000"/>
                <w:sz w:val="20"/>
              </w:rPr>
              <w:t xml:space="preserve"> – F-</w:t>
            </w:r>
            <w:hyperlink w:anchor="ibe336a20106c472ea0dfb1711859e0c7_317">
              <w:r>
                <w:rPr>
                  <w:rStyle w:val="InternetLink"/>
                  <w:rFonts w:ascii="Times New Roman;sans-serif" w:hAnsi="Times New Roman;sans-serif"/>
                  <w:b w:val="false"/>
                  <w:strike w:val="false"/>
                  <w:dstrike w:val="false"/>
                  <w:color w:val="000000"/>
                  <w:sz w:val="20"/>
                  <w:u w:val="none"/>
                  <w:effect w:val="none"/>
                </w:rPr>
                <w:t>8</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a1d559869f3348e89eea93a7b3c6d447_160">
              <w:r>
                <w:rPr>
                  <w:rStyle w:val="InternetLink"/>
                  <w:rFonts w:ascii="Times New Roman;sans-serif" w:hAnsi="Times New Roman;sans-serif"/>
                  <w:b w:val="false"/>
                  <w:color w:val="0000FF"/>
                  <w:sz w:val="20"/>
                  <w:u w:val="single"/>
                </w:rPr>
                <w:t>Notes to Consolidated Financial Statements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F-</w:t>
            </w:r>
            <w:hyperlink w:anchor="ia1d559869f3348e89eea93a7b3c6d447_160">
              <w:r>
                <w:rPr>
                  <w:rStyle w:val="InternetLink"/>
                  <w:rFonts w:ascii="Times New Roman;sans-serif" w:hAnsi="Times New Roman;sans-serif"/>
                  <w:b w:val="false"/>
                  <w:strike w:val="false"/>
                  <w:dstrike w:val="false"/>
                  <w:color w:val="000000"/>
                  <w:sz w:val="20"/>
                  <w:u w:val="none"/>
                  <w:effect w:val="none"/>
                </w:rPr>
                <w:t>9</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 of</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Kingstone Companies, Inc.</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76" w:before="240" w:after="283"/>
        <w:jc w:val="both"/>
        <w:rPr/>
      </w:pPr>
      <w:r>
        <w:rPr>
          <w:rFonts w:ascii="Times New Roman;sans-serif" w:hAnsi="Times New Roman;sans-serif"/>
          <w:b w:val="false"/>
          <w:color w:val="000000"/>
          <w:sz w:val="20"/>
        </w:rPr>
        <w:t>We have audited the accompanying consolidated balance sheets of Kingstone Companies, Inc. and subsidiaries (the “Company”) as of December 31, 2024 and 2023, the related consolidated statements of operations and comprehensive income (loss), stockholders’ equity and cash flows for each of the two years in the period ended December 31, 2024, and the related notes</w:t>
      </w:r>
      <w:r>
        <w:rPr>
          <w:color w:val="000000"/>
        </w:rPr>
        <w:t xml:space="preserve"> </w:t>
      </w:r>
      <w:r>
        <w:rPr>
          <w:rFonts w:ascii="Times New Roman;sans-serif" w:hAnsi="Times New Roman;sans-serif"/>
          <w:b w:val="false"/>
          <w:color w:val="000000"/>
          <w:sz w:val="20"/>
        </w:rPr>
        <w:t>(collectively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the Estimate of Loss and Loss Adjustment Expense (“LAE”) Reserves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Notes 2 and 11 to the financial statements, the loss and LAE reserves represent the Company’s estimate of the ultimate liability for unpaid losses. These reserves are based on facts and circumstances then known and include provisions for claims that have been reported and claims that have been incurred but not reported (“IBNR”). The projection of future claim payments and reporting is based on analyses of the Company’s historical experience, supplemented by analyses of industry loss data. At December 31, 2024, the Company’s loss and LAE reserves balance was approximately $126.2 million.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that led us to conclude the estimate of loss and LAE reserves was a critical audit matter include the significance of the reserves to the Company’s financial statements, the inherent judgment necessary to estimate the reserves, and the degree of variability involved in determining the estimate. Therefore, we determined that the liability for loss and LAE reserves was a critical audit matter, which required significant auditor judgment and specialized skill and knowledge including the involvement of actuarial specialists.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How the Critical Audit Matter Was Addressed in the Audit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the Company’s loss and LAE reserves included, but were not limited to, testing the Company’s reserving process, including the actuarial analyses and the determination of the Company’s estimate of the loss and LAE reserves as follows:</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Utilizing consulting actuarial professionals with specialized skills and knowledge to analyze the appropriateness of the methodologies utilized by the Company to estimate reserves and to determine the reasonableness of the gross and net loss and LAE reserves recorded by the Company as of December 31, 2024.</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Analyzing the consistency of the Company’s recorded reserves relative to the actuarial central estimates of the reserve range determined by the Company’s independent actuarial firm at December 31, 2024 in comparison to December 31, 2023.</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Performing hindsight analysis to determine the completeness and accuracy of reserves recorded in the prior year and performing analytical procedures on current year reserves.</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Analyzing the 2024 quarterly actuarial reports prepared by the Company’s Chief Actuary.</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Testing a sample of claims, including the establishment of individual case reserves and the settlement and payment.</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Verifying the accuracy and completeness of the underlying data, including historical claims data, provided to the independent actuarial firm engaged by the Company for the purpose of preparing the actuarial analysis at December 31, 2024.</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Marcum LLP</w:t>
      </w:r>
    </w:p>
    <w:p>
      <w:pPr>
        <w:pStyle w:val="TextBody"/>
        <w:bidi w:val="0"/>
        <w:spacing w:lineRule="auto" w:line="276" w:before="0" w:after="0"/>
        <w:jc w:val="both"/>
        <w:rPr/>
      </w:pPr>
      <w:r>
        <w:rPr>
          <w:rFonts w:ascii="Times New Roman;sans-serif" w:hAnsi="Times New Roman;sans-serif"/>
          <w:b w:val="false"/>
          <w:color w:val="000000"/>
          <w:sz w:val="20"/>
        </w:rPr>
        <w:t>We have served as the Company’s auditor since 2012</w:t>
      </w:r>
      <w:r>
        <w:rPr>
          <w:rFonts w:ascii="Times New Roman;sans-serif" w:hAnsi="Times New Roman;sans-serif"/>
          <w:b/>
          <w:color w:val="000000"/>
          <w:sz w:val="20"/>
        </w:rPr>
        <w: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Marcum LLP</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Hartford, CT</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18, 2025</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PCAOB ID Number 688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KINGSTONE COMPANIES, INC. AND SUBSIDIARIES </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378"/>
        <w:gridCol w:w="1970"/>
        <w:gridCol w:w="1986"/>
        <w:gridCol w:w="211"/>
        <w:gridCol w:w="1186"/>
        <w:gridCol w:w="109"/>
        <w:gridCol w:w="109"/>
        <w:gridCol w:w="109"/>
        <w:gridCol w:w="109"/>
        <w:gridCol w:w="211"/>
        <w:gridCol w:w="1186"/>
        <w:gridCol w:w="109"/>
        <w:gridCol w:w="155"/>
        <w:gridCol w:w="155"/>
        <w:gridCol w:w="222"/>
      </w:tblGrid>
      <w:tr>
        <w:trPr/>
        <w:tc>
          <w:tcPr>
            <w:tcW w:w="237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5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Fixed-maturity securities, held-to-maturity, at amortized cost (fair value of $5,959,265 at December 31, 2024 and $6,106,148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Fixed-maturity securities, available-for-sale, at fair value (amortized cost of $202,308,158 at December 31, 2024 and $164,460,942 at December 31, 2023)</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of $13,527,554 at December 31, 2024 and $17,986,783 at December 31, 2023)</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208,617,941 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174,632,828 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of allowance for credit losses of $402,290 at December 31, 2024 and $268,617 at December 31, 2023</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receivables,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assets </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374,915,843 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317,633,210 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premiums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balances payable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ceding commission revenue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net (Current $6,849,257 and long-term $4,322,163 at December 31, 2024 and current $19,580,109 and long-term $5,663,421 at December 31, 2023)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308,207,392 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283,129,071 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Commitments and Contingencies (Note 17)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Stockholders' Equity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authorized 2,500,000 shares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authorized 20,000,000 shares; issued 14,448,205 shares at December 31, 2024 and 12,248,313 shares at December 31, 2023; outstanding 12,924,080 shares at December 31, 2024 and 10,776,907 shares at December 31, 2023</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(12,274,563)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72,276,458 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40,071,620 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1,524,125 shares at December 31, 2024 and 1,471,406 shares</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stockholders' equity </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66,708,451 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34,504,139 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374,915,843 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317,633,210 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KINGSTONE COMPANIES, INC. AND SUBSIDIARIES </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    </w:t>
      </w:r>
    </w:p>
    <w:tbl>
      <w:tblPr>
        <w:tblW w:w="8537" w:type="dxa"/>
        <w:jc w:val="left"/>
        <w:tblInd w:w="0" w:type="dxa"/>
        <w:tblLayout w:type="fixed"/>
        <w:tblCellMar>
          <w:top w:w="28" w:type="dxa"/>
          <w:left w:w="28" w:type="dxa"/>
          <w:bottom w:w="28" w:type="dxa"/>
          <w:right w:w="28" w:type="dxa"/>
        </w:tblCellMar>
      </w:tblPr>
      <w:tblGrid>
        <w:gridCol w:w="1499"/>
        <w:gridCol w:w="1316"/>
        <w:gridCol w:w="1325"/>
        <w:gridCol w:w="109"/>
        <w:gridCol w:w="109"/>
        <w:gridCol w:w="109"/>
        <w:gridCol w:w="211"/>
        <w:gridCol w:w="1186"/>
        <w:gridCol w:w="109"/>
        <w:gridCol w:w="109"/>
        <w:gridCol w:w="109"/>
        <w:gridCol w:w="109"/>
        <w:gridCol w:w="211"/>
        <w:gridCol w:w="1186"/>
        <w:gridCol w:w="109"/>
        <w:gridCol w:w="213"/>
        <w:gridCol w:w="213"/>
        <w:gridCol w:w="305"/>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Years ended December 31,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1"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155,142,103 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144,190,714 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131,853,946 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151,556,245 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18,358,436 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(6,168,346)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income,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 in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available-for-sale-securities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unrealized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4,663,119 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related to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99,087 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3,683,865 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10,756,487</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10,756,487</w:t>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Dividends declared and paid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KINGSTONE COMPANIES, INC. AND SUBSIDIARIES </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5348" w:type="dxa"/>
        <w:jc w:val="left"/>
        <w:tblInd w:w="0" w:type="dxa"/>
        <w:tblLayout w:type="fixed"/>
        <w:tblCellMar>
          <w:top w:w="28" w:type="dxa"/>
          <w:left w:w="28" w:type="dxa"/>
          <w:bottom w:w="28" w:type="dxa"/>
          <w:right w:w="28" w:type="dxa"/>
        </w:tblCellMar>
      </w:tblPr>
      <w:tblGrid>
        <w:gridCol w:w="630"/>
        <w:gridCol w:w="225"/>
        <w:gridCol w:w="226"/>
        <w:gridCol w:w="196"/>
        <w:gridCol w:w="406"/>
        <w:gridCol w:w="109"/>
        <w:gridCol w:w="109"/>
        <w:gridCol w:w="109"/>
        <w:gridCol w:w="109"/>
        <w:gridCol w:w="196"/>
        <w:gridCol w:w="406"/>
        <w:gridCol w:w="109"/>
        <w:gridCol w:w="109"/>
        <w:gridCol w:w="109"/>
        <w:gridCol w:w="109"/>
        <w:gridCol w:w="480"/>
        <w:gridCol w:w="481"/>
        <w:gridCol w:w="186"/>
        <w:gridCol w:w="109"/>
        <w:gridCol w:w="109"/>
        <w:gridCol w:w="109"/>
        <w:gridCol w:w="196"/>
        <w:gridCol w:w="736"/>
        <w:gridCol w:w="109"/>
        <w:gridCol w:w="109"/>
        <w:gridCol w:w="109"/>
        <w:gridCol w:w="109"/>
        <w:gridCol w:w="196"/>
        <w:gridCol w:w="961"/>
        <w:gridCol w:w="109"/>
        <w:gridCol w:w="109"/>
        <w:gridCol w:w="109"/>
        <w:gridCol w:w="109"/>
        <w:gridCol w:w="196"/>
        <w:gridCol w:w="976"/>
        <w:gridCol w:w="109"/>
        <w:gridCol w:w="109"/>
        <w:gridCol w:w="109"/>
        <w:gridCol w:w="109"/>
        <w:gridCol w:w="196"/>
        <w:gridCol w:w="976"/>
        <w:gridCol w:w="109"/>
        <w:gridCol w:w="109"/>
        <w:gridCol w:w="109"/>
        <w:gridCol w:w="109"/>
        <w:gridCol w:w="435"/>
        <w:gridCol w:w="436"/>
        <w:gridCol w:w="186"/>
        <w:gridCol w:w="109"/>
        <w:gridCol w:w="109"/>
        <w:gridCol w:w="109"/>
        <w:gridCol w:w="196"/>
        <w:gridCol w:w="886"/>
        <w:gridCol w:w="109"/>
        <w:gridCol w:w="109"/>
        <w:gridCol w:w="109"/>
        <w:gridCol w:w="109"/>
        <w:gridCol w:w="196"/>
        <w:gridCol w:w="961"/>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76" w:type="dxa"/>
            <w:gridSpan w:val="60"/>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Years ended December 31, 2024 and 2023</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Capital </w:t>
              <w:br/>
              <w:t xml:space="preserve">in Excess </w:t>
              <w:br/>
              <w:t xml:space="preserve">of Par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w:t>
              <w:br/>
              <w:t xml:space="preserve">Other </w:t>
              <w:br/>
              <w:t xml:space="preserve">Comprehensive </w:t>
              <w:br/>
              <w:t>Loss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pPr>
            <w:r>
              <w:rPr>
                <w:rFonts w:ascii="Times New Roman;sans-serif" w:hAnsi="Times New Roman;sans-serif"/>
                <w:b w:val="false"/>
                <w:sz w:val="16"/>
              </w:rPr>
              <w:br/>
              <w:br/>
            </w:r>
            <w:r>
              <w:rPr>
                <w:rFonts w:ascii="Times New Roman;sans-serif" w:hAnsi="Times New Roman;sans-serif"/>
                <w:b w:val="false"/>
                <w:color w:val="000000"/>
                <w:sz w:val="16"/>
              </w:rPr>
              <w:t xml:space="preserve">Accumulated </w:t>
              <w:br/>
              <w:t>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Treasury Stock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Shares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1, 2023</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12,171,512 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121,715 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74,519,590 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(15,958,428)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(16,945,964)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1,471,406 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(5,567,481)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36,169,432 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awards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deducted from restricted stock</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awards for payment of withholding taxes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(6,168,346)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(6,168,346)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unrealized losses on available-</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for-sale securities, net of tax</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12,248,313 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75,338,010 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(12,274,563)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(23,114,310)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1,471,406 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awards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offering costs of $427,179</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1,437,287 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13,596,437 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13,610,807 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warrants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deducted from restricted stock</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awards for payment of withholding taxes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(1,309,320)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unrealized losses on available-</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for-sale securities, net of tax</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2024</w:t>
            </w:r>
          </w:p>
        </w:tc>
        <w:tc>
          <w:tcPr>
            <w:tcW w:w="711"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14,448,205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144,482 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89,063,326 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(12,175,476)</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(4,755,874)</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1,524,125 </w:t>
            </w:r>
          </w:p>
        </w:tc>
        <w:tc>
          <w:tcPr>
            <w:tcW w:w="18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(5,568,007)</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66,708,451 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KINGSTONE COMPANIES, INC. AND SUBSIDIARIES </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087" w:type="dxa"/>
        <w:jc w:val="left"/>
        <w:tblInd w:w="0" w:type="dxa"/>
        <w:tblLayout w:type="fixed"/>
        <w:tblCellMar>
          <w:top w:w="28" w:type="dxa"/>
          <w:left w:w="28" w:type="dxa"/>
          <w:bottom w:w="28" w:type="dxa"/>
          <w:right w:w="28" w:type="dxa"/>
        </w:tblCellMar>
      </w:tblPr>
      <w:tblGrid>
        <w:gridCol w:w="1858"/>
        <w:gridCol w:w="1629"/>
        <w:gridCol w:w="1643"/>
        <w:gridCol w:w="109"/>
        <w:gridCol w:w="109"/>
        <w:gridCol w:w="109"/>
        <w:gridCol w:w="211"/>
        <w:gridCol w:w="1081"/>
        <w:gridCol w:w="109"/>
        <w:gridCol w:w="109"/>
        <w:gridCol w:w="109"/>
        <w:gridCol w:w="109"/>
        <w:gridCol w:w="211"/>
        <w:gridCol w:w="1051"/>
        <w:gridCol w:w="109"/>
        <w:gridCol w:w="155"/>
        <w:gridCol w:w="155"/>
        <w:gridCol w:w="221"/>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(gains) on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on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bond discount,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and issuance costs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operating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operating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balances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flows provided by (used in) operating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57,947,771 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(11,326,850)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 fixed-maturity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(51,496,673)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 fixed-maturity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maturity - fixed-maturity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flows (used in) provided by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(35,261,441)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9,461,700 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 on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 on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costs on 2024 and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 paid on vested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flows used in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(2,993,887)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(1,116,080)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KINGSTONE COMPANIES, INC. AND SUBSIDIARIES </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tbl>
      <w:tblPr>
        <w:tblW w:w="9767" w:type="dxa"/>
        <w:jc w:val="left"/>
        <w:tblInd w:w="0" w:type="dxa"/>
        <w:tblLayout w:type="fixed"/>
        <w:tblCellMar>
          <w:top w:w="28" w:type="dxa"/>
          <w:left w:w="28" w:type="dxa"/>
          <w:bottom w:w="28" w:type="dxa"/>
          <w:right w:w="28" w:type="dxa"/>
        </w:tblCellMar>
      </w:tblPr>
      <w:tblGrid>
        <w:gridCol w:w="2161"/>
        <w:gridCol w:w="1897"/>
        <w:gridCol w:w="1911"/>
        <w:gridCol w:w="109"/>
        <w:gridCol w:w="109"/>
        <w:gridCol w:w="109"/>
        <w:gridCol w:w="211"/>
        <w:gridCol w:w="1081"/>
        <w:gridCol w:w="109"/>
        <w:gridCol w:w="109"/>
        <w:gridCol w:w="109"/>
        <w:gridCol w:w="109"/>
        <w:gridCol w:w="211"/>
        <w:gridCol w:w="1051"/>
        <w:gridCol w:w="109"/>
        <w:gridCol w:w="109"/>
        <w:gridCol w:w="109"/>
        <w:gridCol w:w="154"/>
      </w:tblGrid>
      <w:tr>
        <w:trPr/>
        <w:tc>
          <w:tcPr>
            <w:tcW w:w="216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Years ended December 31,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and cash equivalents, end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28,669,441 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Supplemental disclosures of cash flow information: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Supplemental schedule of non-cash investing and financing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these consolidated </w:t>
      </w:r>
      <w:bookmarkStart w:id="0" w:name="ibe336a20106c472ea0dfb1711859e0c7_317"/>
      <w:bookmarkEnd w:id="0"/>
      <w:r>
        <w:rPr>
          <w:rFonts w:ascii="Times New Roman;sans-serif" w:hAnsi="Times New Roman;sans-serif"/>
          <w:b w:val="false"/>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1 - Nature of Business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Kingstone Companies, Inc. (referred to herein as "Kingstone" or the “Company” or, on a standalone basis for the parent company only, the “Holding Company”), operates through its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years ended December 31, 2024 and 2023, 96.0% and 88.3%,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on the accrual basis of accounting in accordance with accounting principles generally accepted in the United States of America ("GAAP").</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Principles of Consolidation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Kingstone and its wholly owned subsidiaries: (1) KICO and its wholly owned subsidiaries, CMIC Properties, Inc. and 15 Joys Lane, LLC, which together own the land and building from which KICO operates (see Note 20 - Subsequent Events), and (2) Cosi. All significant inter-company account balances and transactions have been eliminated in consolidation.</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Use of Estimates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Revenue Recognition </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Premiums Earned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Ceding Commission Revenue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Loss and Loss Adjustment Expenses (“LAE”) Reserves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Reinsurance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operations and comprehensive income (loss) are net of reinsurance recoveries.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remaining contract period in proportion to the reinsurance protection provided, or recorded periodically, as per the terms of the contract, in a direct relationship to the gross premium recording.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2024 and 2023. The Company did not expense any uncollectible reinsurance for the years ended December 31, 2024 and 2023.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its net reinsurance receivables separately from its reinsurance balances payable in accordance with Accounting Standards Update ("ASU") 2011-11, Balance Sheet (Topic 210). Additionally, prepaid premiums for excess of loss and catastrophe reinsurance treaties are presented net in reinsurance balances payable as a reduction to reinsurance premiums payable as they meet the net accounting criteria of Topic 210. The Company has entered into reinsurance agreements wherein the right of offset exists in accordance with Accounting Standards Codification (ASC) 210-20.</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Losses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credit losses on receivables and held-to-maturity securities in accordance with ASC 326.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Cash and Cash Equivalents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original maturities of three months or less to be cash equivalents. The Company maintains its cash balances at several financial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Investments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fixed-maturity securities as either held-to-maturity or available-for-sale. Fixed-maturity securities that the Company has the specific intent and ability to hold until maturity are classified as such and carried at amortized cost. Available-for-sale securities are reported at their estimated fair values based on quoted market prices from recognized pricing services, adjusted for an allowance for expected credit losses, with unrealized gains and losses, net of tax effects, reported as a separate component of accumulated other comprehensive loss. Realized gains and losses are determined on the specific identification method and reported in net income (loss) in the consolidated statements of operations and comprehensive income (loss).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securities are reported at their estimated fair values based on quoted market prices from recognized pricing services, with unrealized gains and losses reported in net gains (losses) on investments in the consolidated statements of operations and comprehensive income (loss). Other investments are reported at their estimated fair values using the net asset value (“NAV”) per share (or its equivalent) of the instrument with unrealized gains and losses reported in net gains (losses) on investments in the consolidated statements of operations and comprehensive income (loss). See Note - 3, Investments for additional discussion.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all debt securities with unrealized losses on a quarterly basis to assess whether the decline in the securities’ fair value necessitates the recognition of an allowance for credit losses. Factors considered in the review include the extent to which the fair value has been less than amortized cost,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the issuer to make scheduled interest or principal payments, the payment structure of the investment and the issuers’ ability to make contractual payments on the investment.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sell its available-for-sale securities, equity securities, and other investments in response to changes in interest rates, risk/reward characteristics, liquidity needs or other factors. 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$1,697,000 and $1,262,000 as of December 31, 2024 and 2023, respectively, and is included in other assets on the accompanying consolidated balance sheets.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loss based on the fair value of the security at the time of assessment.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fixed maturity securities, a credit loss exists if the present value of cash flows expected to be collected is less than the amortized cost basis. The allowance for credit loss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net of tax.</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a policy election to present accrued interest balances separately from the amortized cost basis of assets and has elected the practical expedient to exclude the accrued interest from the tabular disclosures for available-for-sale and held-to-maturity securities. The Company has elected not to estimate an allowance for credit losses on accrued interest receivable. The accrual of interest income is discontinued, and the asset is placed on nonaccrual status in the quarter that payment becomes delinquent. Interest accrued but not received for assets on nonaccrual status is reversed through investment income. Interest received for assets that are on nonaccrual status is recognized as payment is received. The asset is returned to accrual status when the principal and interest amounts contractually due are brought current and future payments are expected.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identify any available-for-sale securities as of December 31, 2024 and 2023 which presented a risk of loss due to credit deterioration of the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Premiums Receivable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receivable include balances due currently or in the future and are presented net of an allowance for credit losses of approximately $402,000 and $269,000 as of December 31, 2024 and 2023, respectively. The allowance for credit losses is based on an analysis of amounts receivable giving consideration to historical loss experience and current economic conditions and reflects an amount that, in management’s judgment, is adequate. Uncollectible premiums receivable balances of approximately $115,000 and $75,000 were written off for the years ended December 31, 2024 and 2023, respectively. The Company evaluates cancellations after the balance sheet date and has determined that the cancellations are not material; therefore no additional cancellation reserve was recognized as of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Deferred Policy Acquisition Costs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the related premiums are earned.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Intangible Assets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Property and Equipment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automobiles, furniture and other equipment is three years, computer software is three to five years, and building and building improvements is 39 years.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2024 and 2023, the fair value of the real estate assets is estimated to be in excess of the carrying value. See Note 20 - Subsequent Events.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Income Taxes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(loss) in the period that includes the enactment date. The Company files a consolidated tax return with its subsidiaries. At December 31, 2024 and 2023, the Company had no material unrecognized tax benefits and no adjustments to liabilities or operations were required.</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Concentration, Credit Risk and Market Risk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 a variety of investment strategies.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cash equivalents were as follows:</w:t>
      </w:r>
    </w:p>
    <w:tbl>
      <w:tblPr>
        <w:tblW w:w="7085" w:type="dxa"/>
        <w:jc w:val="left"/>
        <w:tblInd w:w="0" w:type="dxa"/>
        <w:tblLayout w:type="fixed"/>
        <w:tblCellMar>
          <w:top w:w="28" w:type="dxa"/>
          <w:left w:w="28" w:type="dxa"/>
          <w:bottom w:w="28" w:type="dxa"/>
          <w:right w:w="28" w:type="dxa"/>
        </w:tblCellMar>
      </w:tblPr>
      <w:tblGrid>
        <w:gridCol w:w="1374"/>
        <w:gridCol w:w="1207"/>
        <w:gridCol w:w="1213"/>
        <w:gridCol w:w="211"/>
        <w:gridCol w:w="976"/>
        <w:gridCol w:w="109"/>
        <w:gridCol w:w="109"/>
        <w:gridCol w:w="109"/>
        <w:gridCol w:w="109"/>
        <w:gridCol w:w="211"/>
        <w:gridCol w:w="976"/>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bank repurchase agreement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2,465,459 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3,329,963 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 outstanding premiums receivable balance is generally diversified due to the large number of individual insureds comprising the Company’s customer base. For the years ended December 31, 2024 and 2023, 96.0% and 88.3%, respectively, of KICO’s direct written premiums came from policies written in the state of New York policies.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Reinsurance for reinsurance recoverables on unpaid and paid losses by reinsurer. Management’s policy is to review all outstanding receivables quarterly as well as the bad debt write-offs experienced in the past and establish an allowance for credit losses, if deemed necessary.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premiums earned from lines of business in excess of 10% of the total subject the Company to concentration risk for the years ended December 31, 2024 and 2023 is as follows:</w:t>
      </w:r>
    </w:p>
    <w:tbl>
      <w:tblPr>
        <w:tblW w:w="6985" w:type="dxa"/>
        <w:jc w:val="left"/>
        <w:tblInd w:w="0" w:type="dxa"/>
        <w:tblLayout w:type="fixed"/>
        <w:tblCellMar>
          <w:top w:w="28" w:type="dxa"/>
          <w:left w:w="28" w:type="dxa"/>
          <w:bottom w:w="28" w:type="dxa"/>
          <w:right w:w="28" w:type="dxa"/>
        </w:tblCellMar>
      </w:tblPr>
      <w:tblGrid>
        <w:gridCol w:w="1386"/>
        <w:gridCol w:w="1216"/>
        <w:gridCol w:w="1222"/>
        <w:gridCol w:w="352"/>
        <w:gridCol w:w="264"/>
        <w:gridCol w:w="486"/>
        <w:gridCol w:w="195"/>
        <w:gridCol w:w="195"/>
        <w:gridCol w:w="195"/>
        <w:gridCol w:w="352"/>
        <w:gridCol w:w="264"/>
        <w:gridCol w:w="486"/>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Lines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4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4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not subject to concentration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premiums earned</w:t>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(1)For the years ended December 31, 2024 and 2023, premiums earned not subject to concentration are comprised primarily of one line of business.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Earnings (Loss) per share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common share is computed by dividing income (loss) available to common stockholders by the weighted-average number of common shares outstanding. Diluted earnings (loss) per common share reflects, in periods in which they have a dilutive effect, the impact of common shares issuable upon the exercise of stock options and warrants as well as non-vested restricted stock awards. The computation of diluted earnings (loss) per share excludes those options and warrants with an exercise price in excess of the average market price of the Company’s common shares during the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presented. Additionally, the computation of diluted earnings (loss) per share excludes unvested restricted stock awards as calculated using the treasury stock method.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Advertising Costs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charged to operations as incurred. Advertising costs are included in other underwriting expenses in the accompanying consolidated statements of operations and comprehensive income (loss) and were approximately $100,000 and $86,000 for the years ended December 31, 2024 and 2023, respectively.</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Stock-based Compensation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 2024 and 2023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Warrants</w:t>
      </w:r>
    </w:p>
    <w:p>
      <w:pPr>
        <w:pStyle w:val="TextBody"/>
        <w:bidi w:val="0"/>
        <w:spacing w:lineRule="auto" w:line="276" w:before="240" w:after="283"/>
        <w:jc w:val="both"/>
        <w:rPr/>
      </w:pPr>
      <w:r>
        <w:rPr>
          <w:rFonts w:ascii="Times New Roman;sans-serif" w:hAnsi="Times New Roman;sans-serif"/>
          <w:b w:val="false"/>
          <w:color w:val="000000"/>
          <w:sz w:val="20"/>
        </w:rPr>
        <w:t xml:space="preserve">The Company’s outstanding issued warrants are accounted for as equity in accordance with ASC 480-10, </w:t>
      </w:r>
      <w:r>
        <w:rPr>
          <w:rFonts w:ascii="Times New Roman;sans-serif" w:hAnsi="Times New Roman;sans-serif"/>
          <w:b w:val="false"/>
          <w:i/>
          <w:color w:val="000000"/>
          <w:sz w:val="20"/>
        </w:rPr>
        <w:t>Accounting for Certain Financial Instruments with Characteristics of both Liabilities and</w:t>
      </w:r>
      <w:r>
        <w:rPr>
          <w:color w:val="000000"/>
        </w:rPr>
        <w:t xml:space="preserve"> </w:t>
      </w:r>
      <w:r>
        <w:rPr>
          <w:rFonts w:ascii="Times New Roman;sans-serif" w:hAnsi="Times New Roman;sans-serif"/>
          <w:b w:val="false"/>
          <w:i/>
          <w:color w:val="000000"/>
          <w:sz w:val="20"/>
        </w:rPr>
        <w:t xml:space="preserve">Equity. </w:t>
      </w:r>
      <w:r>
        <w:rPr>
          <w:rFonts w:ascii="Times New Roman;sans-serif" w:hAnsi="Times New Roman;sans-serif"/>
          <w:b w:val="false"/>
          <w:color w:val="000000"/>
          <w:sz w:val="20"/>
        </w:rPr>
        <w:t>The Company’s warrants are accounted for at fair value on the issuance date.</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Compensated Absences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of the Company are entitled to paid vacations,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operating leases in accordance with ASU 2016-02 – Leases (Topic 842) (“ASU 2016-02”). Under ASU 2016-02, the Company recognizes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right-of-use asset is amortized as rent expense on a straight-line basis (See Note 17 - Commitments and Contingencies - Office Leases).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Comprehensive Income (Loss)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is comprised of revenues, expenses, gains and losses that are included in comprehensive income (loss) but are excluded from net income (loss) as these amounts are recorded directly as an adjustment to stockholders' equity, and result primarily from changes in unrealized gains and losses on available-for-sale securities, net of the related income taxes.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Changes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(the "FASB") issued ASU No. 2023-07, Improvements to Reportable Segment Disclosures ("ASU 2023-07), which introduces improvements to the information that a public entity discloses about its reportable segments and addresses investor requests for more information about reportable segment expenses. ASU 2023-07 does not change the current guidance related to the identification of operating segments, the determination of reportable segments, or the aggregation criteria. Rather, the new guidance introduces additional disclosure requirements and expands those requirements to entities with a single reportable segment, not just entities with multiple reportable segments. ASU 2023-07 is effective for fiscal years beginning after December 15, 2023, and interim periods within fiscal years beginning after December 15, 2024. The Company retrospectively adopted ASU 2023-07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31, 2024, and has added the required disclosures for entities with a single reportable segment for the years ended December 31, 2024 and December 31, 2023. See Note 19 - Segment Reporting.</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 Accounting Pronouncements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31,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with early adoption permitted. The adoption of ASU-2023-09 is required to be adopted on a prospective basis, although retrospective application is also permitted. The Company is currently evaluating the impact of ASU 2023-09 on its disclosures and method of adopting.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ASU2025-01, beginning after December 15, 2026, and interim reporting periods within fiscal years beginning after December 15, 2027. ASU 2024-03 can be applied on a prospective basis; however, retrospective application is permitted. Early adoption is permitted. As ASU 2024-03 only requires additional disclosure, it will not have a material impact on the Company's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all other recently issued accounting pronouncements will not have a material impact on its consolidated financial position, results of operations and cash flows, or do not apply to its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3 - Investments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Fixed-Maturity Securities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estimated fair value, and unrealized gains and losses on investments in fixed-maturity securities classified as available-for-sale as of December 31, 2024 and 2023 are summarized as follows:</w:t>
      </w:r>
    </w:p>
    <w:tbl>
      <w:tblPr>
        <w:tblW w:w="12061" w:type="dxa"/>
        <w:jc w:val="left"/>
        <w:tblInd w:w="0" w:type="dxa"/>
        <w:tblLayout w:type="fixed"/>
        <w:tblCellMar>
          <w:top w:w="28" w:type="dxa"/>
          <w:left w:w="28" w:type="dxa"/>
          <w:bottom w:w="28" w:type="dxa"/>
          <w:right w:w="28" w:type="dxa"/>
        </w:tblCellMar>
      </w:tblPr>
      <w:tblGrid>
        <w:gridCol w:w="516"/>
        <w:gridCol w:w="453"/>
        <w:gridCol w:w="457"/>
        <w:gridCol w:w="109"/>
        <w:gridCol w:w="109"/>
        <w:gridCol w:w="109"/>
        <w:gridCol w:w="211"/>
        <w:gridCol w:w="1186"/>
        <w:gridCol w:w="109"/>
        <w:gridCol w:w="109"/>
        <w:gridCol w:w="109"/>
        <w:gridCol w:w="109"/>
        <w:gridCol w:w="211"/>
        <w:gridCol w:w="826"/>
        <w:gridCol w:w="109"/>
        <w:gridCol w:w="109"/>
        <w:gridCol w:w="109"/>
        <w:gridCol w:w="109"/>
        <w:gridCol w:w="211"/>
        <w:gridCol w:w="991"/>
        <w:gridCol w:w="109"/>
        <w:gridCol w:w="109"/>
        <w:gridCol w:w="109"/>
        <w:gridCol w:w="109"/>
        <w:gridCol w:w="211"/>
        <w:gridCol w:w="1096"/>
        <w:gridCol w:w="109"/>
        <w:gridCol w:w="109"/>
        <w:gridCol w:w="109"/>
        <w:gridCol w:w="109"/>
        <w:gridCol w:w="211"/>
        <w:gridCol w:w="1186"/>
        <w:gridCol w:w="109"/>
        <w:gridCol w:w="109"/>
        <w:gridCol w:w="109"/>
        <w:gridCol w:w="109"/>
        <w:gridCol w:w="211"/>
        <w:gridCol w:w="1096"/>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 xml:space="preserve">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 xml:space="preserve">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Unrealized</w:t>
              <w:br/>
              <w:t>Losses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w:t>
              <w:br/>
              <w:t>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Fixed-Maturity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corporations and agencies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 Territories and Possessions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 Industrial and miscellaneous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and other asset backed securities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202,308,158 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(1,307,940)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(14,226,427)</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186,893,438 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(15,414,720)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tbl>
      <w:tblPr>
        <w:tblW w:w="10906" w:type="dxa"/>
        <w:jc w:val="left"/>
        <w:tblInd w:w="0" w:type="dxa"/>
        <w:tblLayout w:type="fixed"/>
        <w:tblCellMar>
          <w:top w:w="28" w:type="dxa"/>
          <w:left w:w="28" w:type="dxa"/>
          <w:bottom w:w="28" w:type="dxa"/>
          <w:right w:w="28" w:type="dxa"/>
        </w:tblCellMar>
      </w:tblPr>
      <w:tblGrid>
        <w:gridCol w:w="467"/>
        <w:gridCol w:w="411"/>
        <w:gridCol w:w="413"/>
        <w:gridCol w:w="109"/>
        <w:gridCol w:w="109"/>
        <w:gridCol w:w="109"/>
        <w:gridCol w:w="196"/>
        <w:gridCol w:w="1051"/>
        <w:gridCol w:w="109"/>
        <w:gridCol w:w="109"/>
        <w:gridCol w:w="109"/>
        <w:gridCol w:w="109"/>
        <w:gridCol w:w="196"/>
        <w:gridCol w:w="736"/>
        <w:gridCol w:w="109"/>
        <w:gridCol w:w="109"/>
        <w:gridCol w:w="109"/>
        <w:gridCol w:w="109"/>
        <w:gridCol w:w="196"/>
        <w:gridCol w:w="661"/>
        <w:gridCol w:w="109"/>
        <w:gridCol w:w="109"/>
        <w:gridCol w:w="109"/>
        <w:gridCol w:w="109"/>
        <w:gridCol w:w="196"/>
        <w:gridCol w:w="976"/>
        <w:gridCol w:w="109"/>
        <w:gridCol w:w="109"/>
        <w:gridCol w:w="109"/>
        <w:gridCol w:w="109"/>
        <w:gridCol w:w="196"/>
        <w:gridCol w:w="1051"/>
        <w:gridCol w:w="109"/>
        <w:gridCol w:w="109"/>
        <w:gridCol w:w="109"/>
        <w:gridCol w:w="109"/>
        <w:gridCol w:w="196"/>
        <w:gridCol w:w="976"/>
        <w:gridCol w:w="109"/>
        <w:gridCol w:w="109"/>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Cost or </w:t>
              <w:b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Net</w:t>
              <w:br/>
              <w:t>Unrealized</w:t>
              <w:br/>
              <w:t>Losses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Less than </w:t>
              <w:br/>
              <w:t>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More than</w:t>
              <w:br/>
              <w:t>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Fixed-Maturity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and obligations of U.S. government corporations and agencies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 and other asset backed securities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(6,430,114)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164,460,942 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115,560 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(19,517)</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(15,636,188)</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148,920,797 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(15,540,145)</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October 2022, KICO placed certain U.S. Treasury securities to fulfill the required collateral for a sale leaseback transaction in a designated custodian account (see Note 9 – Debt - “Equipment Financing”). As of December 31, 2024 KICO had sold its U.S. Treasury securities and replaced a portion of its other fixed-maturity securities in the designated custodian account, As of December 31, 2024 and 2023, the amount of required collateral was approximately $5,308,000 and $6,999,000, respectively. As of December 31, 2024 and 2023, the estimated fair value of the eligible collateral was approximately $5,308,000 and $6,999,000, respectively.</w:t>
      </w:r>
    </w:p>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(2)KICO has placed certain residential mortgage 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2024, the estimated fair value of the eligible investments was approximately $10,130,000. KICO will retain all rights regarding all securities if pledged as collateral. As of December 31, 2024 and 2023 there was no outstanding balance on the FHLBNY credit line.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amortized cost and estimated fair value of the Company’s investments in available-for-sale fixed-maturity securities by contractual maturity as of December 31, 2024 and 2023 is shown below:</w:t>
      </w:r>
    </w:p>
    <w:tbl>
      <w:tblPr>
        <w:tblW w:w="10205" w:type="dxa"/>
        <w:jc w:val="left"/>
        <w:tblInd w:w="0" w:type="dxa"/>
        <w:tblLayout w:type="fixed"/>
        <w:tblCellMar>
          <w:top w:w="28" w:type="dxa"/>
          <w:left w:w="28" w:type="dxa"/>
          <w:bottom w:w="28" w:type="dxa"/>
          <w:right w:w="28" w:type="dxa"/>
        </w:tblCellMar>
      </w:tblPr>
      <w:tblGrid>
        <w:gridCol w:w="906"/>
        <w:gridCol w:w="794"/>
        <w:gridCol w:w="799"/>
        <w:gridCol w:w="109"/>
        <w:gridCol w:w="109"/>
        <w:gridCol w:w="109"/>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11"/>
        <w:gridCol w:w="1186"/>
        <w:gridCol w:w="109"/>
        <w:gridCol w:w="109"/>
        <w:gridCol w:w="109"/>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Remaining Time to 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 than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and other 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202,308,158 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186,893,438 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164,460,942 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148,920,797 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605" cy="14605"/>
                <wp:effectExtent l="0" t="0" r="0" b="0"/>
                <wp:wrapNone/>
                <wp:docPr id="98" name="Frame9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maturities may differ from contractual maturities because certain borrowers have the right to call or prepay obligations with or without penalties.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Securities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estimated fair value of, and gross unrealized gains and losses on, investments in equity securities as of December 31, 2024 and 2023 are as follows:</w:t>
      </w:r>
    </w:p>
    <w:tbl>
      <w:tblPr>
        <w:tblW w:w="9602" w:type="dxa"/>
        <w:jc w:val="left"/>
        <w:tblInd w:w="0" w:type="dxa"/>
        <w:tblLayout w:type="fixed"/>
        <w:tblCellMar>
          <w:top w:w="28" w:type="dxa"/>
          <w:left w:w="28" w:type="dxa"/>
          <w:bottom w:w="28" w:type="dxa"/>
          <w:right w:w="28" w:type="dxa"/>
        </w:tblCellMar>
      </w:tblPr>
      <w:tblGrid>
        <w:gridCol w:w="1125"/>
        <w:gridCol w:w="987"/>
        <w:gridCol w:w="993"/>
        <w:gridCol w:w="109"/>
        <w:gridCol w:w="109"/>
        <w:gridCol w:w="109"/>
        <w:gridCol w:w="211"/>
        <w:gridCol w:w="1081"/>
        <w:gridCol w:w="109"/>
        <w:gridCol w:w="109"/>
        <w:gridCol w:w="109"/>
        <w:gridCol w:w="109"/>
        <w:gridCol w:w="255"/>
        <w:gridCol w:w="255"/>
        <w:gridCol w:w="134"/>
        <w:gridCol w:w="109"/>
        <w:gridCol w:w="109"/>
        <w:gridCol w:w="109"/>
        <w:gridCol w:w="211"/>
        <w:gridCol w:w="1051"/>
        <w:gridCol w:w="109"/>
        <w:gridCol w:w="109"/>
        <w:gridCol w:w="109"/>
        <w:gridCol w:w="109"/>
        <w:gridCol w:w="211"/>
        <w:gridCol w:w="1081"/>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Gains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Value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exchange 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13,527,554 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(3,231,049)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10,296,505 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1141"/>
        <w:gridCol w:w="1001"/>
        <w:gridCol w:w="1007"/>
        <w:gridCol w:w="109"/>
        <w:gridCol w:w="109"/>
        <w:gridCol w:w="109"/>
        <w:gridCol w:w="211"/>
        <w:gridCol w:w="1081"/>
        <w:gridCol w:w="109"/>
        <w:gridCol w:w="109"/>
        <w:gridCol w:w="109"/>
        <w:gridCol w:w="109"/>
        <w:gridCol w:w="211"/>
        <w:gridCol w:w="826"/>
        <w:gridCol w:w="109"/>
        <w:gridCol w:w="109"/>
        <w:gridCol w:w="109"/>
        <w:gridCol w:w="109"/>
        <w:gridCol w:w="211"/>
        <w:gridCol w:w="1051"/>
        <w:gridCol w:w="109"/>
        <w:gridCol w:w="109"/>
        <w:gridCol w:w="109"/>
        <w:gridCol w:w="109"/>
        <w:gridCol w:w="211"/>
        <w:gridCol w:w="1081"/>
        <w:gridCol w:w="109"/>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Fair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exchange 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17,986,783 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314,816 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(3,539,259)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14,762,340 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Investments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estimated fair value of, and gross unrealized gains on, the Company’s other investments as of December 31, 2024 and 2023 are as follows:</w:t>
      </w:r>
    </w:p>
    <w:tbl>
      <w:tblPr>
        <w:tblW w:w="11236" w:type="dxa"/>
        <w:jc w:val="left"/>
        <w:tblInd w:w="0" w:type="dxa"/>
        <w:tblLayout w:type="fixed"/>
        <w:tblCellMar>
          <w:top w:w="28" w:type="dxa"/>
          <w:left w:w="28" w:type="dxa"/>
          <w:bottom w:w="28" w:type="dxa"/>
          <w:right w:w="28" w:type="dxa"/>
        </w:tblCellMar>
      </w:tblPr>
      <w:tblGrid>
        <w:gridCol w:w="408"/>
        <w:gridCol w:w="357"/>
        <w:gridCol w:w="36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Gains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Fair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12"/>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2,393,616 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4,380,656 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3,897,150 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Held-to-Maturity Securities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or amortized cost and estimated fair value of, and gross unrealized gains and losses on, investments in held-to-maturity fixed-maturity securities as of December 31, 2024 and 2023 are summarized as follows:</w:t>
      </w:r>
    </w:p>
    <w:tbl>
      <w:tblPr>
        <w:tblW w:w="11216" w:type="dxa"/>
        <w:jc w:val="left"/>
        <w:tblInd w:w="0" w:type="dxa"/>
        <w:tblLayout w:type="fixed"/>
        <w:tblCellMar>
          <w:top w:w="28" w:type="dxa"/>
          <w:left w:w="28" w:type="dxa"/>
          <w:bottom w:w="28" w:type="dxa"/>
          <w:right w:w="28" w:type="dxa"/>
        </w:tblCellMar>
      </w:tblPr>
      <w:tblGrid>
        <w:gridCol w:w="571"/>
        <w:gridCol w:w="500"/>
        <w:gridCol w:w="505"/>
        <w:gridCol w:w="109"/>
        <w:gridCol w:w="109"/>
        <w:gridCol w:w="109"/>
        <w:gridCol w:w="211"/>
        <w:gridCol w:w="976"/>
        <w:gridCol w:w="109"/>
        <w:gridCol w:w="109"/>
        <w:gridCol w:w="109"/>
        <w:gridCol w:w="109"/>
        <w:gridCol w:w="411"/>
        <w:gridCol w:w="411"/>
        <w:gridCol w:w="214"/>
        <w:gridCol w:w="109"/>
        <w:gridCol w:w="109"/>
        <w:gridCol w:w="109"/>
        <w:gridCol w:w="211"/>
        <w:gridCol w:w="736"/>
        <w:gridCol w:w="109"/>
        <w:gridCol w:w="109"/>
        <w:gridCol w:w="109"/>
        <w:gridCol w:w="109"/>
        <w:gridCol w:w="211"/>
        <w:gridCol w:w="991"/>
        <w:gridCol w:w="109"/>
        <w:gridCol w:w="109"/>
        <w:gridCol w:w="109"/>
        <w:gridCol w:w="109"/>
        <w:gridCol w:w="211"/>
        <w:gridCol w:w="976"/>
        <w:gridCol w:w="109"/>
        <w:gridCol w:w="109"/>
        <w:gridCol w:w="109"/>
        <w:gridCol w:w="109"/>
        <w:gridCol w:w="211"/>
        <w:gridCol w:w="991"/>
        <w:gridCol w:w="109"/>
        <w:gridCol w:w="109"/>
        <w:gridCol w:w="109"/>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 xml:space="preserve">Cost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 xml:space="preserve">Gains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Unrealized 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 xml:space="preserve">Value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br/>
              <w:t>Unrealized</w:t>
              <w:br/>
              <w:t>Gains/</w:t>
              <w:br/>
              <w:t>(Losses)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12 Months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282" w:type="dxa"/>
            <w:gridSpan w:val="24"/>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Held-to-Maturity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Territories and Possessions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7,047,342 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(1,047,793)</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5,959,265 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(1,088,077)</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816" w:type="dxa"/>
        <w:jc w:val="left"/>
        <w:tblInd w:w="0" w:type="dxa"/>
        <w:tblLayout w:type="fixed"/>
        <w:tblCellMar>
          <w:top w:w="28" w:type="dxa"/>
          <w:left w:w="28" w:type="dxa"/>
          <w:bottom w:w="28" w:type="dxa"/>
          <w:right w:w="28" w:type="dxa"/>
        </w:tblCellMar>
      </w:tblPr>
      <w:tblGrid>
        <w:gridCol w:w="571"/>
        <w:gridCol w:w="500"/>
        <w:gridCol w:w="505"/>
        <w:gridCol w:w="109"/>
        <w:gridCol w:w="109"/>
        <w:gridCol w:w="109"/>
        <w:gridCol w:w="211"/>
        <w:gridCol w:w="976"/>
        <w:gridCol w:w="109"/>
        <w:gridCol w:w="109"/>
        <w:gridCol w:w="109"/>
        <w:gridCol w:w="109"/>
        <w:gridCol w:w="211"/>
        <w:gridCol w:w="721"/>
        <w:gridCol w:w="109"/>
        <w:gridCol w:w="109"/>
        <w:gridCol w:w="109"/>
        <w:gridCol w:w="109"/>
        <w:gridCol w:w="211"/>
        <w:gridCol w:w="631"/>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09"/>
        <w:gridCol w:w="109"/>
        <w:gridCol w:w="109"/>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or </w:t>
              <w:br/>
              <w:t xml:space="preserve">Amortized </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Unrealized </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Unrealized 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br/>
              <w:t>Unrealized</w:t>
              <w:br/>
              <w:t>Gains/</w:t>
              <w:br/>
              <w:t>(Losses)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12 Months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 xml:space="preserve">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Held-to-Maturity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Territories and Possessions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7,052,541 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(955,414)</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6,106,148 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(946,393)</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Held-to-maturity U.S. Treasury securities are held in trust pursuant to various states’ minimum fund requirements.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amortized cost and the estimated fair value of the Company’s investments in held-to-maturity securities by contractual maturity as of December 31, 2024 and 2023 is shown below: </w:t>
      </w:r>
    </w:p>
    <w:tbl>
      <w:tblPr>
        <w:tblW w:w="9473" w:type="dxa"/>
        <w:jc w:val="left"/>
        <w:tblInd w:w="0" w:type="dxa"/>
        <w:tblLayout w:type="fixed"/>
        <w:tblCellMar>
          <w:top w:w="28" w:type="dxa"/>
          <w:left w:w="28" w:type="dxa"/>
          <w:bottom w:w="28" w:type="dxa"/>
          <w:right w:w="28" w:type="dxa"/>
        </w:tblCellMar>
      </w:tblPr>
      <w:tblGrid>
        <w:gridCol w:w="946"/>
        <w:gridCol w:w="829"/>
        <w:gridCol w:w="834"/>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Remaining Time to 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 than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7,047,342 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5,959,265 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7,052,541 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6,106,148 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actual maturities may differ from contractual maturities because certain borrowers have the right to call or prepay obligations with or without penalties.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allowance for credit losses on held-to-maturity fixed-maturity securities as of December 31, 2024 and December 31, 2023 , respectively.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 Income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Major categories of the Company’s net investment income are summarized as follows:</w:t>
      </w:r>
    </w:p>
    <w:tbl>
      <w:tblPr>
        <w:tblW w:w="5556" w:type="dxa"/>
        <w:jc w:val="left"/>
        <w:tblInd w:w="0" w:type="dxa"/>
        <w:tblLayout w:type="fixed"/>
        <w:tblCellMar>
          <w:top w:w="28" w:type="dxa"/>
          <w:left w:w="28" w:type="dxa"/>
          <w:bottom w:w="28" w:type="dxa"/>
          <w:right w:w="28" w:type="dxa"/>
        </w:tblCellMar>
      </w:tblPr>
      <w:tblGrid>
        <w:gridCol w:w="819"/>
        <w:gridCol w:w="720"/>
        <w:gridCol w:w="726"/>
        <w:gridCol w:w="211"/>
        <w:gridCol w:w="976"/>
        <w:gridCol w:w="109"/>
        <w:gridCol w:w="109"/>
        <w:gridCol w:w="109"/>
        <w:gridCol w:w="109"/>
        <w:gridCol w:w="211"/>
        <w:gridCol w:w="976"/>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Expenses: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6,823,590 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6,008,682 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Proceeds from the redemption of fixed-maturity securities held-to-maturity were $0 and $750,000 for the years ended December 31, 2024 and 2023, respectively.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sale and maturity of fixed-maturity securities available-for-sale were $127,665,799 and $61,935,658 for the years ended December 31, 2024 and 2023, respectively.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equity securities were $4,410,859 and $99,917 for the years ended December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gains (losses) on investments for the years ended December 31, 2024 and 2023 are summarized as follows:</w:t>
      </w:r>
    </w:p>
    <w:tbl>
      <w:tblPr>
        <w:tblW w:w="5496" w:type="dxa"/>
        <w:jc w:val="left"/>
        <w:tblInd w:w="0" w:type="dxa"/>
        <w:tblLayout w:type="fixed"/>
        <w:tblCellMar>
          <w:top w:w="28" w:type="dxa"/>
          <w:left w:w="28" w:type="dxa"/>
          <w:bottom w:w="28" w:type="dxa"/>
          <w:right w:w="28" w:type="dxa"/>
        </w:tblCellMar>
      </w:tblPr>
      <w:tblGrid>
        <w:gridCol w:w="853"/>
        <w:gridCol w:w="748"/>
        <w:gridCol w:w="754"/>
        <w:gridCol w:w="211"/>
        <w:gridCol w:w="826"/>
        <w:gridCol w:w="109"/>
        <w:gridCol w:w="109"/>
        <w:gridCol w:w="109"/>
        <w:gridCol w:w="109"/>
        <w:gridCol w:w="211"/>
        <w:gridCol w:w="976"/>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Realized Gains (Losses) </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Fixed-maturity securities: </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securities: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Unrealized (Losses) Gains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Securities: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Investments: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1,125,498 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investments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2,134,554 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Allowance for Credit Losses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identify any available-for-sale securities as of December 31, 2024 and December 31, 2023 which presented a risk of loss due to credit deterioration of the security.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there were 204 and 140 fixed-maturity securities, respectively, that accounted for the gross unrealized losses. The Company determined that none of the unrealized losses were deemed to be credit losses for its portfolio of investments for the years ended December 31, 2024 and 2023.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available-for-sale securities with unrealized losses representing declines that were considered temporary at December 31, 2024 and 2023 as follows:</w:t>
      </w:r>
    </w:p>
    <w:tbl>
      <w:tblPr>
        <w:tblW w:w="13467" w:type="dxa"/>
        <w:jc w:val="left"/>
        <w:tblInd w:w="0" w:type="dxa"/>
        <w:tblLayout w:type="fixed"/>
        <w:tblCellMar>
          <w:top w:w="28" w:type="dxa"/>
          <w:left w:w="28" w:type="dxa"/>
          <w:bottom w:w="28" w:type="dxa"/>
          <w:right w:w="28" w:type="dxa"/>
        </w:tblCellMar>
      </w:tblPr>
      <w:tblGrid>
        <w:gridCol w:w="451"/>
        <w:gridCol w:w="396"/>
        <w:gridCol w:w="399"/>
        <w:gridCol w:w="109"/>
        <w:gridCol w:w="109"/>
        <w:gridCol w:w="109"/>
        <w:gridCol w:w="196"/>
        <w:gridCol w:w="961"/>
        <w:gridCol w:w="109"/>
        <w:gridCol w:w="109"/>
        <w:gridCol w:w="109"/>
        <w:gridCol w:w="109"/>
        <w:gridCol w:w="196"/>
        <w:gridCol w:w="886"/>
        <w:gridCol w:w="109"/>
        <w:gridCol w:w="109"/>
        <w:gridCol w:w="109"/>
        <w:gridCol w:w="109"/>
        <w:gridCol w:w="250"/>
        <w:gridCol w:w="250"/>
        <w:gridCol w:w="251"/>
        <w:gridCol w:w="109"/>
        <w:gridCol w:w="109"/>
        <w:gridCol w:w="109"/>
        <w:gridCol w:w="196"/>
        <w:gridCol w:w="1051"/>
        <w:gridCol w:w="109"/>
        <w:gridCol w:w="109"/>
        <w:gridCol w:w="109"/>
        <w:gridCol w:w="109"/>
        <w:gridCol w:w="196"/>
        <w:gridCol w:w="976"/>
        <w:gridCol w:w="109"/>
        <w:gridCol w:w="109"/>
        <w:gridCol w:w="109"/>
        <w:gridCol w:w="109"/>
        <w:gridCol w:w="250"/>
        <w:gridCol w:w="250"/>
        <w:gridCol w:w="251"/>
        <w:gridCol w:w="109"/>
        <w:gridCol w:w="109"/>
        <w:gridCol w:w="109"/>
        <w:gridCol w:w="196"/>
        <w:gridCol w:w="1051"/>
        <w:gridCol w:w="109"/>
        <w:gridCol w:w="109"/>
        <w:gridCol w:w="109"/>
        <w:gridCol w:w="109"/>
        <w:gridCol w:w="196"/>
        <w:gridCol w:w="976"/>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2" w:type="dxa"/>
            <w:gridSpan w:val="4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Total</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 xml:space="preserve">Value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 xml:space="preserve">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 of </w:t>
              <w:br/>
              <w:t xml:space="preserve">Positions </w:t>
              <w:br/>
              <w:t xml:space="preserve">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 xml:space="preserve">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Fixed-Maturity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(3,398,080)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51,411,296 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55,381,083 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 and other 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54,521,963 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78,432,187 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(1,307,940)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103,755,251 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(14,226,427)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182,187,438 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(15,534,367)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tbl>
      <w:tblPr>
        <w:tblW w:w="13152" w:type="dxa"/>
        <w:jc w:val="left"/>
        <w:tblInd w:w="0" w:type="dxa"/>
        <w:tblLayout w:type="fixed"/>
        <w:tblCellMar>
          <w:top w:w="28" w:type="dxa"/>
          <w:left w:w="28" w:type="dxa"/>
          <w:bottom w:w="28" w:type="dxa"/>
          <w:right w:w="28" w:type="dxa"/>
        </w:tblCellMar>
      </w:tblPr>
      <w:tblGrid>
        <w:gridCol w:w="451"/>
        <w:gridCol w:w="396"/>
        <w:gridCol w:w="399"/>
        <w:gridCol w:w="109"/>
        <w:gridCol w:w="109"/>
        <w:gridCol w:w="109"/>
        <w:gridCol w:w="196"/>
        <w:gridCol w:w="871"/>
        <w:gridCol w:w="109"/>
        <w:gridCol w:w="109"/>
        <w:gridCol w:w="109"/>
        <w:gridCol w:w="109"/>
        <w:gridCol w:w="196"/>
        <w:gridCol w:w="661"/>
        <w:gridCol w:w="109"/>
        <w:gridCol w:w="109"/>
        <w:gridCol w:w="109"/>
        <w:gridCol w:w="109"/>
        <w:gridCol w:w="250"/>
        <w:gridCol w:w="250"/>
        <w:gridCol w:w="251"/>
        <w:gridCol w:w="109"/>
        <w:gridCol w:w="109"/>
        <w:gridCol w:w="109"/>
        <w:gridCol w:w="196"/>
        <w:gridCol w:w="1051"/>
        <w:gridCol w:w="109"/>
        <w:gridCol w:w="109"/>
        <w:gridCol w:w="109"/>
        <w:gridCol w:w="109"/>
        <w:gridCol w:w="196"/>
        <w:gridCol w:w="976"/>
        <w:gridCol w:w="109"/>
        <w:gridCol w:w="109"/>
        <w:gridCol w:w="109"/>
        <w:gridCol w:w="109"/>
        <w:gridCol w:w="250"/>
        <w:gridCol w:w="250"/>
        <w:gridCol w:w="251"/>
        <w:gridCol w:w="109"/>
        <w:gridCol w:w="109"/>
        <w:gridCol w:w="109"/>
        <w:gridCol w:w="196"/>
        <w:gridCol w:w="1051"/>
        <w:gridCol w:w="109"/>
        <w:gridCol w:w="109"/>
        <w:gridCol w:w="109"/>
        <w:gridCol w:w="109"/>
        <w:gridCol w:w="196"/>
        <w:gridCol w:w="976"/>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7" w:type="dxa"/>
            <w:gridSpan w:val="45"/>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Total</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 xml:space="preserve">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 xml:space="preserve">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w:t>
              <w:br/>
              <w:t>Losses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Fixed-Maturity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 and other 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6,063,428 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122,181,902 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(15,636,188)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128,245,330 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(15,655,705)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 4 - Fair Value Measurements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periods of market disruption, and the reliability and transparency of the assumptions used to determine fair value. The hierarchy requires the use of observable market data when available. The levels of the hierarchy and those investments included in each are as follows: </w:t>
      </w:r>
    </w:p>
    <w:p>
      <w:pPr>
        <w:pStyle w:val="TextBody"/>
        <w:bidi w:val="0"/>
        <w:spacing w:lineRule="auto" w:line="276" w:before="240" w:after="283"/>
        <w:jc w:val="both"/>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 xml:space="preserve">Inputs to the valuation methodology are quoted prices (unadjusted) for identical assets or liabilities traded in active markets. Included are those investments traded on an active exchange, such as the Nasdaq Global Select Market, U.S. Treasury securities and obligations of U.S. government agencies, together with corporate debt securities that are generally investment grade. </w:t>
      </w:r>
    </w:p>
    <w:p>
      <w:pPr>
        <w:pStyle w:val="TextBody"/>
        <w:bidi w:val="0"/>
        <w:spacing w:lineRule="auto" w:line="276" w:before="240" w:after="283"/>
        <w:jc w:val="both"/>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Inputs to the valuation methodology include quoted prices for similar assets or liabilities in active markets, quoted prices for identical or similar assets 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pStyle w:val="TextBody"/>
        <w:bidi w:val="0"/>
        <w:spacing w:lineRule="auto" w:line="276" w:before="240" w:after="283"/>
        <w:jc w:val="both"/>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 xml:space="preserve">Inputs to the valuation methodology are unobservable for the asset or liability and are significant to the fair value measurement. Material assumptions and factors considered in pricing investment securities and other assets may include appraisals, projected cash flows, market clearing activity or liquidity circumstances in the security or similar securities that may have occurred since the prior pricing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investments that are measured at fair value on a recurring basis at December 31, 2024 and 2023 indicating the fair value hierarchy of the valuation inputs the Company utilized to determine such fair value:</w:t>
      </w:r>
    </w:p>
    <w:tbl>
      <w:tblPr>
        <w:tblW w:w="10205" w:type="dxa"/>
        <w:jc w:val="left"/>
        <w:tblInd w:w="0" w:type="dxa"/>
        <w:tblLayout w:type="fixed"/>
        <w:tblCellMar>
          <w:top w:w="28" w:type="dxa"/>
          <w:left w:w="28" w:type="dxa"/>
          <w:bottom w:w="28" w:type="dxa"/>
          <w:right w:w="28" w:type="dxa"/>
        </w:tblCellMar>
      </w:tblPr>
      <w:tblGrid>
        <w:gridCol w:w="1373"/>
        <w:gridCol w:w="1207"/>
        <w:gridCol w:w="1212"/>
        <w:gridCol w:w="211"/>
        <w:gridCol w:w="1186"/>
        <w:gridCol w:w="109"/>
        <w:gridCol w:w="109"/>
        <w:gridCol w:w="109"/>
        <w:gridCol w:w="109"/>
        <w:gridCol w:w="211"/>
        <w:gridCol w:w="1081"/>
        <w:gridCol w:w="109"/>
        <w:gridCol w:w="109"/>
        <w:gridCol w:w="109"/>
        <w:gridCol w:w="109"/>
        <w:gridCol w:w="255"/>
        <w:gridCol w:w="255"/>
        <w:gridCol w:w="134"/>
        <w:gridCol w:w="109"/>
        <w:gridCol w:w="109"/>
        <w:gridCol w:w="109"/>
        <w:gridCol w:w="211"/>
        <w:gridCol w:w="1186"/>
        <w:gridCol w:w="109"/>
        <w:gridCol w:w="109"/>
        <w:gridCol w:w="109"/>
        <w:gridCol w:w="157"/>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03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Level 1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Level 2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Fixed-maturity securities available-for-sale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corporations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 Territories and Possessions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 industrial and miscellaneous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and other asset backed securities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80,101,060 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186,893,438 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securities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117,088,883 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80,101,060 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197,189,943 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605" cy="14605"/>
                <wp:effectExtent l="0" t="0" r="0" b="0"/>
                <wp:wrapNone/>
                <wp:docPr id="105" name="Frame10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tbl>
      <w:tblPr>
        <w:tblW w:w="10205" w:type="dxa"/>
        <w:jc w:val="left"/>
        <w:tblInd w:w="0" w:type="dxa"/>
        <w:tblLayout w:type="fixed"/>
        <w:tblCellMar>
          <w:top w:w="28" w:type="dxa"/>
          <w:left w:w="28" w:type="dxa"/>
          <w:bottom w:w="28" w:type="dxa"/>
          <w:right w:w="28" w:type="dxa"/>
        </w:tblCellMar>
      </w:tblPr>
      <w:tblGrid>
        <w:gridCol w:w="1373"/>
        <w:gridCol w:w="1207"/>
        <w:gridCol w:w="1212"/>
        <w:gridCol w:w="211"/>
        <w:gridCol w:w="1186"/>
        <w:gridCol w:w="109"/>
        <w:gridCol w:w="109"/>
        <w:gridCol w:w="109"/>
        <w:gridCol w:w="109"/>
        <w:gridCol w:w="211"/>
        <w:gridCol w:w="1081"/>
        <w:gridCol w:w="109"/>
        <w:gridCol w:w="109"/>
        <w:gridCol w:w="109"/>
        <w:gridCol w:w="109"/>
        <w:gridCol w:w="255"/>
        <w:gridCol w:w="255"/>
        <w:gridCol w:w="134"/>
        <w:gridCol w:w="109"/>
        <w:gridCol w:w="109"/>
        <w:gridCol w:w="109"/>
        <w:gridCol w:w="211"/>
        <w:gridCol w:w="1186"/>
        <w:gridCol w:w="109"/>
        <w:gridCol w:w="109"/>
        <w:gridCol w:w="109"/>
        <w:gridCol w:w="157"/>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03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Level 1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Level 2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Fixed-maturity securities available-for-sale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corporations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subdivisions of States, Territories and Possessions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bonds industrial and miscellaneous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and other asset backed securities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91,046,936 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57,873,861 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148,920,797 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securities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105,809,276 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57,873,861 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163,683,137 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investment in a hedge fund measured at Net Asset Value (“NAV”) per share as of December 31, 2024 and 2023. The Company measures this investment at fair value on a recurring basis. Fair value using NAV per share is as follows as of the dates indicated:</w:t>
      </w:r>
    </w:p>
    <w:tbl>
      <w:tblPr>
        <w:tblW w:w="6185" w:type="dxa"/>
        <w:jc w:val="left"/>
        <w:tblInd w:w="0" w:type="dxa"/>
        <w:tblLayout w:type="fixed"/>
        <w:tblCellMar>
          <w:top w:w="28" w:type="dxa"/>
          <w:left w:w="28" w:type="dxa"/>
          <w:bottom w:w="28" w:type="dxa"/>
          <w:right w:w="28" w:type="dxa"/>
        </w:tblCellMar>
      </w:tblPr>
      <w:tblGrid>
        <w:gridCol w:w="619"/>
        <w:gridCol w:w="542"/>
        <w:gridCol w:w="548"/>
        <w:gridCol w:w="109"/>
        <w:gridCol w:w="109"/>
        <w:gridCol w:w="109"/>
        <w:gridCol w:w="281"/>
        <w:gridCol w:w="1299"/>
        <w:gridCol w:w="145"/>
        <w:gridCol w:w="109"/>
        <w:gridCol w:w="109"/>
        <w:gridCol w:w="109"/>
        <w:gridCol w:w="281"/>
        <w:gridCol w:w="1299"/>
        <w:gridCol w:w="145"/>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4,380,656 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3,897,150 </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accompanying consolidated statements of operations and comprehensive income (loss) within net gains on investments. The Company has no capital call commitments related to Other Investments.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fair value measurements as of December 31, 2024 and 2023 on a non-recurring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of Financial Instruments and Real Estate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following methods and assumptions in estimating the fair value of financial instruments and real estate: </w:t>
      </w:r>
    </w:p>
    <w:p>
      <w:pPr>
        <w:pStyle w:val="TextBody"/>
        <w:bidi w:val="0"/>
        <w:spacing w:lineRule="auto" w:line="276" w:before="240" w:after="283"/>
        <w:jc w:val="both"/>
        <w:rPr/>
      </w:pPr>
      <w:r>
        <w:rPr>
          <w:rFonts w:ascii="Times New Roman;sans-serif" w:hAnsi="Times New Roman;sans-serif"/>
          <w:b/>
          <w:i/>
          <w:color w:val="000000"/>
          <w:sz w:val="20"/>
        </w:rPr>
        <w:t>Equity securities, available-for-sale fixed income securities, and other investments:</w:t>
      </w:r>
      <w:r>
        <w:rPr>
          <w:color w:val="000000"/>
        </w:rPr>
        <w:t xml:space="preserve"> </w:t>
      </w:r>
      <w:r>
        <w:rPr>
          <w:rFonts w:ascii="Times New Roman;sans-serif" w:hAnsi="Times New Roman;sans-serif"/>
          <w:b w:val="false"/>
          <w:color w:val="000000"/>
          <w:sz w:val="20"/>
        </w:rPr>
        <w:t xml:space="preserve">Fair value disclosures for these investments are included in Note 3 - Investments and Note 4 – Fair Value Measurements. </w:t>
      </w:r>
    </w:p>
    <w:p>
      <w:pPr>
        <w:pStyle w:val="TextBody"/>
        <w:bidi w:val="0"/>
        <w:spacing w:lineRule="auto" w:line="276" w:before="240" w:after="283"/>
        <w:jc w:val="both"/>
        <w:rPr/>
      </w:pPr>
      <w:r>
        <w:rPr>
          <w:rFonts w:ascii="Times New Roman;sans-serif" w:hAnsi="Times New Roman;sans-serif"/>
          <w:b/>
          <w:i/>
          <w:color w:val="000000"/>
          <w:sz w:val="20"/>
        </w:rPr>
        <w:t xml:space="preserve">Cash and cash equivalents: </w:t>
      </w:r>
      <w:r>
        <w:rPr>
          <w:rFonts w:ascii="Times New Roman;sans-serif" w:hAnsi="Times New Roman;sans-serif"/>
          <w:b w:val="false"/>
          <w:color w:val="000000"/>
          <w:sz w:val="20"/>
        </w:rPr>
        <w:t>The carrying values of cash and cash equivalents approximate their fair values because of the short-term nature of these instruments.</w:t>
      </w:r>
    </w:p>
    <w:p>
      <w:pPr>
        <w:pStyle w:val="TextBody"/>
        <w:bidi w:val="0"/>
        <w:spacing w:lineRule="auto" w:line="276" w:before="240" w:after="283"/>
        <w:jc w:val="both"/>
        <w:rPr/>
      </w:pPr>
      <w:r>
        <w:rPr>
          <w:rFonts w:ascii="Times New Roman;sans-serif" w:hAnsi="Times New Roman;sans-serif"/>
          <w:b/>
          <w:i/>
          <w:color w:val="000000"/>
          <w:sz w:val="20"/>
        </w:rPr>
        <w:t>Premiums receivable and reinsurance receivables:</w:t>
      </w:r>
      <w:r>
        <w:rPr>
          <w:color w:val="000000"/>
        </w:rPr>
        <w:t xml:space="preserve"> </w:t>
      </w:r>
      <w:r>
        <w:rPr>
          <w:rFonts w:ascii="Times New Roman;sans-serif" w:hAnsi="Times New Roman;sans-serif"/>
          <w:b w:val="false"/>
          <w:color w:val="000000"/>
          <w:sz w:val="20"/>
        </w:rPr>
        <w:t>The carrying values reported in the accompanying consolidated balance sheets for these financial instruments approximate their fair values due to the short-term nature of the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pPr>
      <w:r>
        <w:rPr>
          <w:rFonts w:ascii="Times New Roman;sans-serif" w:hAnsi="Times New Roman;sans-serif"/>
          <w:b/>
          <w:i/>
          <w:color w:val="000000"/>
          <w:sz w:val="20"/>
        </w:rPr>
        <w:t>Real estate:</w:t>
      </w:r>
      <w:r>
        <w:rPr>
          <w:color w:val="000000"/>
        </w:rPr>
        <w:t xml:space="preserve"> </w:t>
      </w:r>
      <w:r>
        <w:rPr>
          <w:rFonts w:ascii="Times New Roman;sans-serif" w:hAnsi="Times New Roman;sans-serif"/>
          <w:b w:val="false"/>
          <w:color w:val="000000"/>
          <w:sz w:val="20"/>
        </w:rPr>
        <w:t>The estimated fair value was based on an appraisal prepared using the sales comparison approach, and accordingly the real estate is a Level 3 asset under the fair value hierarchy.</w:t>
      </w:r>
    </w:p>
    <w:p>
      <w:pPr>
        <w:pStyle w:val="TextBody"/>
        <w:bidi w:val="0"/>
        <w:spacing w:lineRule="auto" w:line="276" w:before="240" w:after="283"/>
        <w:jc w:val="both"/>
        <w:rPr/>
      </w:pPr>
      <w:r>
        <w:rPr>
          <w:rFonts w:ascii="Times New Roman;sans-serif" w:hAnsi="Times New Roman;sans-serif"/>
          <w:b/>
          <w:i/>
          <w:color w:val="000000"/>
          <w:sz w:val="20"/>
        </w:rPr>
        <w:t>Reinsurance balances payable:</w:t>
      </w:r>
      <w:r>
        <w:rPr>
          <w:color w:val="000000"/>
        </w:rPr>
        <w:t xml:space="preserve"> </w:t>
      </w:r>
      <w:r>
        <w:rPr>
          <w:rFonts w:ascii="Times New Roman;sans-serif" w:hAnsi="Times New Roman;sans-serif"/>
          <w:b w:val="false"/>
          <w:color w:val="000000"/>
          <w:sz w:val="20"/>
        </w:rPr>
        <w:t>The carrying value reported in the consolidated balance sheets for these financial instruments approximates fair value.</w:t>
      </w:r>
    </w:p>
    <w:p>
      <w:pPr>
        <w:pStyle w:val="TextBody"/>
        <w:bidi w:val="0"/>
        <w:spacing w:lineRule="auto" w:line="276" w:before="240" w:after="283"/>
        <w:jc w:val="both"/>
        <w:rPr/>
      </w:pPr>
      <w:r>
        <w:rPr>
          <w:rFonts w:ascii="Times New Roman;sans-serif" w:hAnsi="Times New Roman;sans-serif"/>
          <w:b/>
          <w:i/>
          <w:color w:val="000000"/>
          <w:sz w:val="20"/>
        </w:rPr>
        <w:t>Debt:</w:t>
      </w:r>
      <w:r>
        <w:rPr>
          <w:color w:val="000000"/>
        </w:rPr>
        <w:t xml:space="preserve"> </w:t>
      </w:r>
      <w:r>
        <w:rPr>
          <w:rFonts w:ascii="Times New Roman;sans-serif" w:hAnsi="Times New Roman;sans-serif"/>
          <w:b w:val="false"/>
          <w:color w:val="000000"/>
          <w:sz w:val="20"/>
        </w:rPr>
        <w:t>The fair value of debt is estimated using a discounted cash flow analyses, based on current incremental borrowing rates for similar types of borrowing arrangements.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Company’s financial instruments and real estate as of December 31, 2024 and 2023 are as follows:</w:t>
      </w:r>
    </w:p>
    <w:tbl>
      <w:tblPr>
        <w:tblW w:w="10205" w:type="dxa"/>
        <w:jc w:val="left"/>
        <w:tblInd w:w="0" w:type="dxa"/>
        <w:tblLayout w:type="fixed"/>
        <w:tblCellMar>
          <w:top w:w="28" w:type="dxa"/>
          <w:left w:w="28" w:type="dxa"/>
          <w:bottom w:w="28" w:type="dxa"/>
          <w:right w:w="28" w:type="dxa"/>
        </w:tblCellMar>
      </w:tblPr>
      <w:tblGrid>
        <w:gridCol w:w="995"/>
        <w:gridCol w:w="848"/>
        <w:gridCol w:w="852"/>
        <w:gridCol w:w="109"/>
        <w:gridCol w:w="109"/>
        <w:gridCol w:w="109"/>
        <w:gridCol w:w="211"/>
        <w:gridCol w:w="1186"/>
        <w:gridCol w:w="109"/>
        <w:gridCol w:w="109"/>
        <w:gridCol w:w="109"/>
        <w:gridCol w:w="109"/>
        <w:gridCol w:w="211"/>
        <w:gridCol w:w="1186"/>
        <w:gridCol w:w="109"/>
        <w:gridCol w:w="109"/>
        <w:gridCol w:w="109"/>
        <w:gridCol w:w="109"/>
        <w:gridCol w:w="213"/>
        <w:gridCol w:w="1091"/>
        <w:gridCol w:w="110"/>
        <w:gridCol w:w="109"/>
        <w:gridCol w:w="109"/>
        <w:gridCol w:w="109"/>
        <w:gridCol w:w="211"/>
        <w:gridCol w:w="1081"/>
        <w:gridCol w:w="109"/>
        <w:gridCol w:w="109"/>
        <w:gridCol w:w="109"/>
        <w:gridCol w:w="157"/>
      </w:tblGrid>
      <w:tr>
        <w:trPr/>
        <w:tc>
          <w:tcPr>
            <w:tcW w:w="99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Fixed-maturity securities-held-to maturity,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7,052,541 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Fixed-maturity securities available-for-sale,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91,046,936 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Fixed-maturity securities available-for-sale,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57,873,861 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13,604,808 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receivables, net,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75,593,912 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net of accumulated depreciation, Level 3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1,992,529 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balances payable,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- 13.75% Senior Notes due 2026,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- 12.0% Senior Notes due 2024,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18,426,247 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Real estate consists of a complex which includes an office building, a house and vacant land located in Kingston, New York. See Note 20 - Subsequent Events, Sale of Real Estate.</w:t>
      </w:r>
    </w:p>
    <w:p>
      <w:pPr>
        <w:pStyle w:val="TextBody"/>
        <w:bidi w:val="0"/>
        <w:spacing w:before="240" w:after="283"/>
        <w:ind w:left="0" w:right="0" w:hanging="81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6 - Intangible Assets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and their useful lives, accumulated amortization, and net carrying value as of December 31, 2024 and 2023 are summarized as follows:</w:t>
      </w:r>
    </w:p>
    <w:tbl>
      <w:tblPr>
        <w:tblW w:w="8117"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34"/>
        <w:gridCol w:w="234"/>
        <w:gridCol w:w="236"/>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Useful </w:t>
              <w:br/>
              <w:t xml:space="preserve">Life </w:t>
              <w:br/>
              <w:t>(in yrs)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br/>
              <w:t xml:space="preserve">Carrying </w:t>
              <w:b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identifiable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4,350,000 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Intangible asset impairment testing and amortization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an analysis annually as of December 31, or sooner if there are indicators that the asset may be impaired, to identify potential impairment of intangible assets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2024 and 2023.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no amortization expense related to intangible assets for the years ended December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7 - Reinsurance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30% quota share reinsurance treaty for its personal lines business, covering the period from January 1, 2023 through January 1, 2024 ("2023/2024 Treaty”). Upon the expiration of the 2023/2024 Treaty on January 1, 2024, the Company entered into a new 27% quota share reinsurance treaty for its personal lines business, covering the period from January 1, 2024 through January 1, 2025 (“2024/2025 Treaty”). Upon the expiration of the 2024/2025 Treaty on January 1, 2025, the Company entered into a new 16% quota share reinsurance treaty for its personal lines business, covering the period from January 1, 2025 through January 1, 2026 (“2025/2026 Treaty”). See Note 20- Subsequent Events, Reinsurance.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excess of loss and catastrophe reinsurance treaties expired on June 30, 2024 and the Company entered into new excess of loss and catastrophe reinsurance treaties effective July 1, 2024. Effective January 1, 2023, the Company entered into an underlying excess of loss reinsurance treaty (“Underlying XOL Treaty”) covering the period from January 1, 2023 through January 1, 2024. The treaty provided 50% reinsurance coverage for losses of $400,000 in excess of $600,000. Losses from named storms are excluded from the treaty. Effective January 1, 2024, the Underlying XOL Treaty was renewed covering the period from January 1, 2024 through January 1, 2025. Effective January 1, 2025, the Underlying XOL Treaty was renewed covering the period from January 1, 2025 through June 30, 2025. For the period October 1, 2024 through April 30, 2025, the Company purchased catastrophe reinsurance which will provide coverage for winter storm losses to the extent of 71% of $4,500,000 in excess of $5,500,000. Material terms for reinsurance treaties in effect for the treaty years shown below are as follows:</w:t>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tbl>
      <w:tblPr>
        <w:tblW w:w="13767" w:type="dxa"/>
        <w:jc w:val="left"/>
        <w:tblInd w:w="0" w:type="dxa"/>
        <w:tblLayout w:type="fixed"/>
        <w:tblCellMar>
          <w:top w:w="28" w:type="dxa"/>
          <w:left w:w="28" w:type="dxa"/>
          <w:bottom w:w="28" w:type="dxa"/>
          <w:right w:w="28" w:type="dxa"/>
        </w:tblCellMar>
      </w:tblPr>
      <w:tblGrid>
        <w:gridCol w:w="628"/>
        <w:gridCol w:w="394"/>
        <w:gridCol w:w="269"/>
        <w:gridCol w:w="109"/>
        <w:gridCol w:w="109"/>
        <w:gridCol w:w="109"/>
        <w:gridCol w:w="211"/>
        <w:gridCol w:w="1081"/>
        <w:gridCol w:w="271"/>
        <w:gridCol w:w="109"/>
        <w:gridCol w:w="109"/>
        <w:gridCol w:w="109"/>
        <w:gridCol w:w="211"/>
        <w:gridCol w:w="1186"/>
        <w:gridCol w:w="271"/>
        <w:gridCol w:w="109"/>
        <w:gridCol w:w="109"/>
        <w:gridCol w:w="109"/>
        <w:gridCol w:w="211"/>
        <w:gridCol w:w="1186"/>
        <w:gridCol w:w="271"/>
        <w:gridCol w:w="109"/>
        <w:gridCol w:w="109"/>
        <w:gridCol w:w="109"/>
        <w:gridCol w:w="211"/>
        <w:gridCol w:w="1186"/>
        <w:gridCol w:w="271"/>
        <w:gridCol w:w="109"/>
        <w:gridCol w:w="109"/>
        <w:gridCol w:w="109"/>
        <w:gridCol w:w="211"/>
        <w:gridCol w:w="1186"/>
        <w:gridCol w:w="271"/>
        <w:gridCol w:w="109"/>
        <w:gridCol w:w="109"/>
        <w:gridCol w:w="109"/>
        <w:gridCol w:w="211"/>
        <w:gridCol w:w="1186"/>
        <w:gridCol w:w="271"/>
        <w:gridCol w:w="178"/>
        <w:gridCol w:w="178"/>
        <w:gridCol w:w="255"/>
      </w:tblGrid>
      <w:tr>
        <w:trPr/>
        <w:tc>
          <w:tcPr>
            <w:tcW w:w="62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Treaty Period </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2025/2026 Treaty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2024/2025 Treaty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2023/2024 Treaty</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Line of Business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w:t>
              <w:br/>
              <w:t xml:space="preserve">2025 </w:t>
              <w:br/>
              <w:t xml:space="preserve">to </w:t>
              <w:br/>
              <w:t>January 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w:t>
              <w:br/>
              <w:t>2025</w:t>
              <w:br/>
              <w:t xml:space="preserve">to </w:t>
              <w:br/>
              <w:t xml:space="preserve">June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w:t>
              <w:br/>
              <w:t xml:space="preserve">2024 </w:t>
              <w:br/>
              <w:t xml:space="preserve">to </w:t>
              <w:br/>
              <w:t>January 1,</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w:t>
              <w:br/>
              <w:t>2024</w:t>
              <w:br/>
              <w:t xml:space="preserve">to </w:t>
              <w:b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w:t>
              <w:br/>
              <w:t xml:space="preserve">2023 </w:t>
              <w:br/>
              <w:t xml:space="preserve">to </w:t>
              <w:br/>
              <w:t>January 1,</w:t>
              <w:b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w:t>
              <w:br/>
              <w:t>2023</w:t>
              <w:br/>
              <w:t xml:space="preserve">to </w:t>
              <w:br/>
              <w:t xml:space="preserve">June 30, </w:t>
              <w:br/>
              <w:t>2023</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Homeowners, dwelling fire and canine legal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treaty: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ceded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retained on initial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 of losses (5) (6)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per occurrence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quota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coverage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facultative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coverage (1) (5)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excess of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excess of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excess of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excess of </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occurrence (5)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per occurrence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coverage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Catastrophe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loss subject to personal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quota share treaty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retained per catastrophe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occurrence (6) (7) (8)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loss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excess of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coverage (2)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Reinstatement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protection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Yes </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(1)For personal lines, includes the addition of an automatic facultative facility allowing KICO to obtain homeowners single risk coverage up to $9,000,000 in total insured value, which covers direct losses from $3,500,000 to $9,000,000 through June 30, 2025.</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(2)Catastrophe coverage is limited on an annual basis to two times the per occurrence amounts. Duration of 168 consecutive hours for a catastrophe occurrence from windstorm, hail, tornado, hurricane and cyclone.</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(3)For the period July 1, 2022 through June 30, 2023, reinstatement premium protection for $12,500,000 of catastrophe coverage in excess of $10,000,000. For the period July 1, 2023 through June 30, 2024, reinstatement premium protection for $50,000,000 of catastrophe coverage in excess of $10,000,000.</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(4)For the period July 1, 2024 through June 30, 2025 (expiration date of the catastrophe reinsurance treaty), reinstatement premium protection for $50,000,000 of catastrophe coverage in excess of $10,000,000.</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(5)For the period January 1, 2022 through June 30, 2025, underlying excess of loss treaty provides 50% reinsurance coverage for losses of $400,000 in excess of $600,000. Excludes losses from named storms. Reduces retention to $500,000 from $700,000 under the 2023/2024 Treaty. Reduces retention to $530,000 from $730,000 under the 2024/2025 Treaty. Retention increases to $640,000 from $530,000 under the 2025/2026 Treaty.</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(6)Excess of loss coverage and facultative facility and catastrophe reinsurance treaties will expire on June 30,2025, with none of these coverages to be in effect during the period from July 1 2025 through January 1, 2026. If and when these treaties are renewed on July 1, 2025, the excess of loss and facultative facility, and the catastrophe reinsurance treaty, will be as provided for therein. Reinsurance coverage in effect from July 1, 2025 through January 1, 2026 is currently only covered under the 2025/2026 Treaty and underlying excess of loss reinsurance treaty through June 30, 2025. The 2025/2026 Treaty will expire on January 1, 2026.</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(7)For the 2023/2024 Treaty, 17.5% of the 30% total of losses ceded under this treaty are excluded from a named catastrophe event. For the 2024/2025 Treaty, 22% of the 27% total of losses ceded under this treaty are excluded from a named catastrophe event. For the 2025/2026 Treaty, 6% of the 16% total of losses ceded under this treaty are excluded from a named catastrophe event.</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(8)Plus losses in excess of catastrophe coverage.</w:t>
      </w:r>
    </w:p>
    <w:p>
      <w:pPr>
        <w:pStyle w:val="TextBody"/>
        <w:bidi w:val="0"/>
        <w:spacing w:lineRule="auto" w:line="276" w:before="32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(9)For the period October 1, 2024 through April 30, 2025, additional catastrophe reinsurance treaty will provide coverage for winter storm losses to the extent of 71% of $4,500,000 in excess of $5,500,000. Retention for winter storms under this treaty is $4,800,000 under the 2024/2025 Treaty and $5,200,000 under the 2025/2026 Treaty.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tbl>
      <w:tblPr>
        <w:tblW w:w="10205" w:type="dxa"/>
        <w:jc w:val="left"/>
        <w:tblInd w:w="0" w:type="dxa"/>
        <w:tblLayout w:type="fixed"/>
        <w:tblCellMar>
          <w:top w:w="28" w:type="dxa"/>
          <w:left w:w="28" w:type="dxa"/>
          <w:bottom w:w="28" w:type="dxa"/>
          <w:right w:w="28" w:type="dxa"/>
        </w:tblCellMar>
      </w:tblPr>
      <w:tblGrid>
        <w:gridCol w:w="1549"/>
        <w:gridCol w:w="1311"/>
        <w:gridCol w:w="1318"/>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96"/>
        <w:gridCol w:w="196"/>
        <w:gridCol w:w="280"/>
      </w:tblGrid>
      <w:tr>
        <w:trPr/>
        <w:tc>
          <w:tcPr>
            <w:tcW w:w="154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Treaty Year</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Line of Business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July 1, 2024</w:t>
              <w:br/>
              <w:t xml:space="preserve">to </w:t>
              <w:br/>
              <w:t>June 30, 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2023 </w:t>
              <w:br/>
              <w:t xml:space="preserve">to </w:t>
              <w:br/>
              <w:t>June 30, 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July 1, 2022 </w:t>
              <w:br/>
              <w:t xml:space="preserve">to </w:t>
              <w:br/>
              <w:t>June 30, 2023</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Umbrella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treaty: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ceded - first $1,000,000 of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ceded - excess of $1,000,000 dollars of coverage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retained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coverage per occurrence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per occurrence subject to quota share reinsurance coverage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Commercial Lines (1)</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(1)Coverage on all commercial lines policies expired in September 2020; reinsurance coverage is based on treaties in effect on the date of loss.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 reinsurance recoverables on unpaid and paid losses by reinsurer at December 31, 2024 and 2023 are as follows:</w:t>
      </w:r>
    </w:p>
    <w:tbl>
      <w:tblPr>
        <w:tblW w:w="9785" w:type="dxa"/>
        <w:jc w:val="left"/>
        <w:tblInd w:w="0" w:type="dxa"/>
        <w:tblLayout w:type="fixed"/>
        <w:tblCellMar>
          <w:top w:w="28" w:type="dxa"/>
          <w:left w:w="28" w:type="dxa"/>
          <w:bottom w:w="28" w:type="dxa"/>
          <w:right w:w="28" w:type="dxa"/>
        </w:tblCellMar>
      </w:tblPr>
      <w:tblGrid>
        <w:gridCol w:w="1429"/>
        <w:gridCol w:w="1256"/>
        <w:gridCol w:w="1259"/>
        <w:gridCol w:w="109"/>
        <w:gridCol w:w="109"/>
        <w:gridCol w:w="109"/>
        <w:gridCol w:w="211"/>
        <w:gridCol w:w="721"/>
        <w:gridCol w:w="109"/>
        <w:gridCol w:w="109"/>
        <w:gridCol w:w="109"/>
        <w:gridCol w:w="109"/>
        <w:gridCol w:w="231"/>
        <w:gridCol w:w="790"/>
        <w:gridCol w:w="119"/>
        <w:gridCol w:w="109"/>
        <w:gridCol w:w="109"/>
        <w:gridCol w:w="109"/>
        <w:gridCol w:w="211"/>
        <w:gridCol w:w="721"/>
        <w:gridCol w:w="109"/>
        <w:gridCol w:w="109"/>
        <w:gridCol w:w="109"/>
        <w:gridCol w:w="109"/>
        <w:gridCol w:w="211"/>
        <w:gridCol w:w="616"/>
        <w:gridCol w:w="109"/>
        <w:gridCol w:w="110"/>
        <w:gridCol w:w="110"/>
        <w:gridCol w:w="155"/>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 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Unpaid </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Paid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Security </w:t>
            </w:r>
          </w:p>
        </w:tc>
        <w:tc>
          <w:tcPr>
            <w:tcW w:w="37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9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Rueck 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Lancashire Insurance Company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Reinsurance America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Hannover Rueck 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World 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Property and Casualty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Lancashire Insurance Company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15,377 </w:t>
            </w:r>
          </w:p>
        </w:tc>
        <w:tc>
          <w:tcPr>
            <w:tcW w:w="1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(1)As of December 31, 2023, represents $4,000 guaranteed by irrevocable letters of credit.</w:t>
      </w:r>
    </w:p>
    <w:p>
      <w:pPr>
        <w:pStyle w:val="TextBody"/>
        <w:bidi w:val="0"/>
        <w:spacing w:lineRule="auto" w:line="276"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(2)As of December 31, 2024 and December 31, 2023, represents $393,000 and $2,662,000, respectively, guaranteed by irrevocable letters of credit.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reinsurance recoverables on unpaid and paid losses, reinsurance receivables in the accompanying consolidated balance sheets as of December 31, 2024 and 2023 include unearned ceded premiums of approximately $31,745,000 and $26,928,000, respectively.</w:t>
      </w:r>
    </w:p>
    <w:p>
      <w:pPr>
        <w:pStyle w:val="TextBody"/>
        <w:bidi w:val="0"/>
        <w:spacing w:lineRule="auto" w:line="276" w:before="240" w:after="283"/>
        <w:jc w:val="both"/>
        <w:rPr/>
      </w:pPr>
      <w:r>
        <w:rPr>
          <w:rFonts w:ascii="Times New Roman;sans-serif" w:hAnsi="Times New Roman;sans-serif"/>
          <w:b w:val="false"/>
          <w:color w:val="000000"/>
          <w:sz w:val="20"/>
          <w:u w:val="single"/>
        </w:rPr>
        <w:t>Ceding Commission Revenue</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earned ceding commission revenue under the 2024/2025 Treaty for the year ended December 31, 2024, and under the 2023/2024 Treaty for the year ended December 31, 2023, are based on a fixed provisional commission rate at which provisional ceding commissions are earned. The Company earned ceding commission revenue under its quota share reinsurance agreements that expired prior to July 1, 2022 based on: (i) a fixed provisional commission rate at which provisional ceding commissions were earned, and (ii) under certain of the quota share reinsurance agreements,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 consists of the following:</w:t>
      </w:r>
    </w:p>
    <w:tbl>
      <w:tblPr>
        <w:tblW w:w="6831" w:type="dxa"/>
        <w:jc w:val="left"/>
        <w:tblInd w:w="0" w:type="dxa"/>
        <w:tblLayout w:type="fixed"/>
        <w:tblCellMar>
          <w:top w:w="28" w:type="dxa"/>
          <w:left w:w="28" w:type="dxa"/>
          <w:bottom w:w="28" w:type="dxa"/>
          <w:right w:w="28" w:type="dxa"/>
        </w:tblCellMar>
      </w:tblPr>
      <w:tblGrid>
        <w:gridCol w:w="1206"/>
        <w:gridCol w:w="1061"/>
        <w:gridCol w:w="1063"/>
        <w:gridCol w:w="211"/>
        <w:gridCol w:w="1081"/>
        <w:gridCol w:w="109"/>
        <w:gridCol w:w="109"/>
        <w:gridCol w:w="109"/>
        <w:gridCol w:w="109"/>
        <w:gridCol w:w="211"/>
        <w:gridCol w:w="1081"/>
        <w:gridCol w:w="109"/>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 ceding commissions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ceding commissions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December 31, 2024 and 2023, net contingent ceding commissions payable to reinsurers under all treaties was approximately $727,000 and $3,302,000, respectively, which is recorded in reinsurance balances payable on the accompanying consolidated balance sheets.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Expected Credit Losses – Uncollectible Reinsurance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8 - Deferred Policy Acquisition Costs and Deferred Ceding Commission Revenue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 incurred and policy-related ceding commission revenue are deferred and amortized to income on property and casualty insurance business as follows:</w:t>
      </w:r>
    </w:p>
    <w:tbl>
      <w:tblPr>
        <w:tblW w:w="10205" w:type="dxa"/>
        <w:jc w:val="left"/>
        <w:tblInd w:w="0" w:type="dxa"/>
        <w:tblLayout w:type="fixed"/>
        <w:tblCellMar>
          <w:top w:w="28" w:type="dxa"/>
          <w:left w:w="28" w:type="dxa"/>
          <w:bottom w:w="28" w:type="dxa"/>
          <w:right w:w="28" w:type="dxa"/>
        </w:tblCellMar>
      </w:tblPr>
      <w:tblGrid>
        <w:gridCol w:w="2444"/>
        <w:gridCol w:w="2126"/>
        <w:gridCol w:w="2132"/>
        <w:gridCol w:w="211"/>
        <w:gridCol w:w="1081"/>
        <w:gridCol w:w="109"/>
        <w:gridCol w:w="109"/>
        <w:gridCol w:w="109"/>
        <w:gridCol w:w="109"/>
        <w:gridCol w:w="211"/>
        <w:gridCol w:w="1081"/>
        <w:gridCol w:w="109"/>
        <w:gridCol w:w="109"/>
        <w:gridCol w:w="109"/>
        <w:gridCol w:w="156"/>
      </w:tblGrid>
      <w:tr>
        <w:trPr/>
        <w:tc>
          <w:tcPr>
            <w:tcW w:w="244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w:t>
              <w:br/>
              <w:t>December 31,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policy acquisition costs, net of deferred ceding commission revenue,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incurred and deferred:</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brokerage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37,956,108 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and policy acquisition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(19,238,750)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policy acquisition costs</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27,165,034 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19,554,138 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(24,315,601)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2,849,433 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(2,858,185)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policy acquisition costs, net of deferred ceding commission revenue, end of year</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13,191,132 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10,341,699 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policy acquisition costs and deferred ceding commission revenue as of December 31, 2024 and 2023 are as follows: </w:t>
      </w:r>
    </w:p>
    <w:tbl>
      <w:tblPr>
        <w:tblW w:w="6620" w:type="dxa"/>
        <w:jc w:val="left"/>
        <w:tblInd w:w="0" w:type="dxa"/>
        <w:tblLayout w:type="fixed"/>
        <w:tblCellMar>
          <w:top w:w="28" w:type="dxa"/>
          <w:left w:w="28" w:type="dxa"/>
          <w:bottom w:w="28" w:type="dxa"/>
          <w:right w:w="28" w:type="dxa"/>
        </w:tblCellMar>
      </w:tblPr>
      <w:tblGrid>
        <w:gridCol w:w="1129"/>
        <w:gridCol w:w="994"/>
        <w:gridCol w:w="996"/>
        <w:gridCol w:w="211"/>
        <w:gridCol w:w="1081"/>
        <w:gridCol w:w="109"/>
        <w:gridCol w:w="109"/>
        <w:gridCol w:w="109"/>
        <w:gridCol w:w="109"/>
        <w:gridCol w:w="211"/>
        <w:gridCol w:w="1081"/>
        <w:gridCol w:w="109"/>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ceding commission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13,191,132 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10,341,699 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9 – Debt</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Federal Home Loan Bank</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2017, KICO became a member of, and invested in, the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December 31, 2024 and 2023,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KICO is currently only able to borrow on an overnight basis. If KICO has sufficient available collateral (as discussed below), based on KICO’s net admitted assets, the maximum allowable advance as of December 31, 2024 and 2023 was approximately $13,637,000 and $12,813,000, respectively. Available collateral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and 2023 was approximately $10,130,000 and $11,412,000, respectively. Advances are limited to 85% of the amount of available collateral. There were no borrowings under this facility during the 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as of December 31, 2024 and 2023 consists of the following:</w:t>
      </w:r>
    </w:p>
    <w:tbl>
      <w:tblPr>
        <w:tblW w:w="6486" w:type="dxa"/>
        <w:jc w:val="left"/>
        <w:tblInd w:w="0" w:type="dxa"/>
        <w:tblLayout w:type="fixed"/>
        <w:tblCellMar>
          <w:top w:w="28" w:type="dxa"/>
          <w:left w:w="28" w:type="dxa"/>
          <w:bottom w:w="28" w:type="dxa"/>
          <w:right w:w="28" w:type="dxa"/>
        </w:tblCellMar>
      </w:tblPr>
      <w:tblGrid>
        <w:gridCol w:w="1081"/>
        <w:gridCol w:w="950"/>
        <w:gridCol w:w="954"/>
        <w:gridCol w:w="211"/>
        <w:gridCol w:w="1081"/>
        <w:gridCol w:w="109"/>
        <w:gridCol w:w="109"/>
        <w:gridCol w:w="109"/>
        <w:gridCol w:w="109"/>
        <w:gridCol w:w="211"/>
        <w:gridCol w:w="1081"/>
        <w:gridCol w:w="109"/>
        <w:gridCol w:w="109"/>
        <w:gridCol w:w="109"/>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13.75% Senior Notes due 2026,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 Senior Notes due 2024,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11,171,420 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25,243,530 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Exchange Agreements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9, 2022, the Company entered into a Note and Warrant Exchange Agreement (the “2022 Exchange Agreement”) with several holders (the “2022 Exchanging Noteholders”) of the Company’s outstanding 5.50% Senior Notes due 2022 (the “2017 Notes”). On the date of the 2022 Exchange Agreement, the 2022 Exchanging Noteholders held 2017 Notes in the aggregate principal amount of $21,545,000 of the $30,000,000 aggregate principal amount of the 2017 Notes then outstanding. Pursuant to the 2022 Exchange Agreement, on December 15, 2022, the 2022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until December 30, 2025 at an exercise price of $1.00 per share (the “Warrants”). The remaining $8,455,000 principal amount of the 2017 Notes, together with accrued interest thereon, was paid on the maturity date of the 2017 Notes of December 30, 2022.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2024, the Company entered into a Note Exchange Agreement (the “2024 Exchange Agreement”) with the holders (the “2024 Exchanging Noteholders”) of the Company’s outstanding 2022 Notes in the aggregate principal amount of $19,950,000. Pursuant to the 2024 Exchange Agreement, on September 12, 2024, the 2024 Exchanging Noteholders exchanged their respective 2022 Notes for the following: (i) new 13.75% Senior Notes due June 30, 2026 of the Company in the aggregate principal amount of $14,950,000 (the “2024 Notes”); and (ii) cash in the aggregate amount of $5,000,000, together with accrued interest on the 2022 Notes (the "2024 Exchange"). See “2024 Notes” below for a discussion of a change in the expiration date of the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analyzed the 2024 Exchange Agreement under ASC 470–50 Debt—Modifications and Extinguishments. The Company determined that extinguishment accounting was applicable, as the present value of the cash flows of the 2024 Notes differed by more than 10% from the 2022 Notes, making it a substantial change in terms. As a result, the 2022 Notes have been derecognized and the 2024 Notes recorded at fair value. No gain or loss was recognized on the 2024 Exchange. Unamortized debt issue costs of $296,533 related to extinguished debt were expensed at the time the 2022 Notes were extinguished and recorded as loss on extinguishment of debt in the consolidated statements of operations and comprehensive income (loss) within other operating expenses. Fees paid to third parties of $203,381 have been capitalized and are being amortized as debt issuance costs associated with the 2024 Notes.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2024 Notes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on September 12, 2024, the Company issued the 2024 Notes in the aggregate principal amount of $14,950,000 pursuant to the 2024 Exchange Agreement. Interest is payable semi-annually in arrears on June 30 and December 30 of each year at the rate of 13.75% per annum. Pursuant to the 2024 Exchange Agreement, the expiration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Warrants to purchase 969,225 shares of Common Stock of the Company was extended to June 30, 2026 from December 30, 2025 (see Note 12 – Stockholders’ Equity) and transaction costs were $203,381, for an effective yield of 14.35% per annum. The balance of the 2024 Notes as of December 31, 2024 and December 31, 2023 is as follows:</w:t>
      </w:r>
    </w:p>
    <w:tbl>
      <w:tblPr>
        <w:tblW w:w="5567" w:type="dxa"/>
        <w:jc w:val="left"/>
        <w:tblInd w:w="0" w:type="dxa"/>
        <w:tblLayout w:type="fixed"/>
        <w:tblCellMar>
          <w:top w:w="28" w:type="dxa"/>
          <w:left w:w="28" w:type="dxa"/>
          <w:bottom w:w="28" w:type="dxa"/>
          <w:right w:w="28" w:type="dxa"/>
        </w:tblCellMar>
      </w:tblPr>
      <w:tblGrid>
        <w:gridCol w:w="956"/>
        <w:gridCol w:w="840"/>
        <w:gridCol w:w="843"/>
        <w:gridCol w:w="211"/>
        <w:gridCol w:w="976"/>
        <w:gridCol w:w="109"/>
        <w:gridCol w:w="109"/>
        <w:gridCol w:w="109"/>
        <w:gridCol w:w="109"/>
        <w:gridCol w:w="357"/>
        <w:gridCol w:w="686"/>
        <w:gridCol w:w="262"/>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13.75%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 net</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5,508,000 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were redeemable, at the Company’s option, in whole or in part, at any time or in part from time to time, on and after September 12, 2024, upon not less than fifteen (15) and not more than sixty (60) days’ notice, equal to 100% of the principal amount of the 2024 Notes, plus, in each case, accrued and unpaid interest, if any, to the date of redemption subject to the right of holders of record on the relevant record date to receive interest due on the relevant interest payment date).</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2024 Exchange Agreement provides for mandatory prepayments of principal. The 2024 Exchange Agreement provides for a first mandatory pro rata partial prepayment of principal on the 2024 Notes in the aggregate amount of $3,000,000 on June 30, 2025, less the principal amount of any optional prepayments of the 2024 Note made prior to June 30, 2025, pursuant to the 2024 Exchange Agreement. The Company made optional prepayments of $3,000,000 on September 30, 2024, $2,000,000 on November 13, 2024, $4,000,000 on December 30, 2024, $3,500,000 on January 28, 2025, and $2,450,000 on February 24, 2025 (see Note 20 - Subsequent Events, Debt), and accordingly, has fully satisfied the entire principal balance of the 2024 Notes. Each prepayment of principal also included accrued and unpaid interest thereon.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2024 Exchange Agreement provided for a second mandatory pro rata partial prepayment of principal on the 2024 Notes in the aggregate amount of $3,000,000 on December 30, 2025, less the principal amount of (i) any optional prepayments of the 2024 Notes made from June 30, 2025 to December 29, 2025 pursuant to the 2024 Note Exchange Agreement and (ii) any optional prepayments of the 2024 Notes in excess of $3,000,000 made prior to June 30, 2025 pursuant to 2024 Note Exchange Agreement. Based upon the Company's optional full prepayment of the 2024 Notes, the mandatory prepayment obligation is no longer applicable.</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were unsecured obligations of the Company and were not the obligations of or guaranteed by any of the Company’s subsidiaries. The 2024 Notes ranked senior in right of payment to any of the Company’s existing and future indebtedness that is by its terms expressly subordinated or junior in right of payment to the 2024 Notes. The Notes ranked equally in right of payment to all of the Company’s existing and future senior indebtedness, but were effectively subordinated to any secured indebtedness to the extent of the value of the collateral securing such secured indebtedness. In addition, the 2024 Notes were structurally subordinated to the indebtedness and other obligations of the Company’s subsidiaries.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each calendar quarter, commencing with the calendar quarter ending September 30, 2024, the Company was subject to a leverage maintenance test (“2024 Leverage Maintenance Test”), which required that the Total Consolidated Indebtedness (as defined below) of the Company not be greater than 30% of Total Consolidated Capitalization (as defined below). As of December 31, 2024 and 2023, the ratio as defined under the 2024 Leverage Maintenance Test was 7.0% and 29.9%, respectively. “Total Consolidated Indebtedness” is the aggregate principal amount (or accreted value in the case of any Indebtedness issued with more than de minimis original issue discount) of all outstanding long-term debt of the Company except for the sale-leaseback transaction described below under “Equipment Financing”, any refinancing or any future sale-leaseback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Notes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on October 27, 2022, the Company issued the 2022 Notes in the aggregate principal amount of $19,950,000 pursuant to the 2022 Exchange Agreement. Interest was payable semi-annually in arrears on June 30 and December 30 of each year, which commenced on June 30, 2023 at the rate of 12.0% per annum. Warrants were issued with a fair value of $993,000 (see Note 12 – Stockholders’ Equity) and transaction costs were $1,758,112, for an effective yield of 13.92% per annum. The balance of the 2022 Notes as of December 31, 2024 and 2023 is as follows:</w:t>
      </w:r>
    </w:p>
    <w:tbl>
      <w:tblPr>
        <w:tblW w:w="5984" w:type="dxa"/>
        <w:jc w:val="left"/>
        <w:tblInd w:w="0" w:type="dxa"/>
        <w:tblLayout w:type="fixed"/>
        <w:tblCellMar>
          <w:top w:w="28" w:type="dxa"/>
          <w:left w:w="28" w:type="dxa"/>
          <w:bottom w:w="28" w:type="dxa"/>
          <w:right w:w="28" w:type="dxa"/>
        </w:tblCellMar>
      </w:tblPr>
      <w:tblGrid>
        <w:gridCol w:w="949"/>
        <w:gridCol w:w="836"/>
        <w:gridCol w:w="839"/>
        <w:gridCol w:w="366"/>
        <w:gridCol w:w="704"/>
        <w:gridCol w:w="190"/>
        <w:gridCol w:w="109"/>
        <w:gridCol w:w="109"/>
        <w:gridCol w:w="109"/>
        <w:gridCol w:w="211"/>
        <w:gridCol w:w="1081"/>
        <w:gridCol w:w="109"/>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 Senior Unsecured Notes</w:t>
            </w:r>
          </w:p>
        </w:tc>
        <w:tc>
          <w:tcPr>
            <w:tcW w:w="3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Notes, net</w:t>
            </w:r>
          </w:p>
        </w:tc>
        <w:tc>
          <w:tcPr>
            <w:tcW w:w="3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18,426,247 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2022 Exchange Agreement provided for a mandatory redemption of the 2022 Notes on December 30, 2023, in an amount such that the aggregate principal amount of the 2022 Notes to be redeemed plus accrued and unpaid interest thereon was to be equal to the amount by which the maximum Ordinary Dividend Paying Capacity of KICO (as defined below) measured as of December 15, 2023 exceeded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during the calendar year ended December 31, 2023 on the 2022 Notes, intercompany loans and any other indebtedness of the holding company on a stand-alone basis and (ii) other cash operating expenses, including taxes, paid by the holding company during the calendar year ended December 31, 2024. The amount of other operating expenses paid in cash in the preceding clause (ii) shall not exceed $2.5 million. Holding Company Expenses was determined based on the actual Holding Company Expenses for the nine months ending September 30, 2023, and an estimate of Holding Company Expenses for the three months ending December 30, 2023. The Ordinary Dividend Paying Capacity of KICO as defined above was zero and, accordingly, the Company was not required to make a mandatory redemption of the 2022 Notes on December 30,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Notes were unsecured obligations of the Company and were not the obligations of or guaranteed by any of the Company’s subsidiaries. The 2022 Notes ranked senior in right of payment to any of the Company’s existing and future indebtedness that is by its terms expressly subordinated or junior in right of payment to the 2022 Notes. The 2022 Notes ranked equally in right of payment to all of the Company’s existing and future senior indebtedness, but were effectively subordinated to any secured indebtedness to the extent of the value of the collateral securing such secured indebtedness. In addition, the 2022 Notes were structurally subordinated to the indebtedness and other obligations of the Company’s subsidiaries.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Notes were redeemable, at the Company’s option, in whole or in part, at any time or in part from time to time, on and after December 30, 2022, upon not less than fifteen (15) and not more than sixty (60) days’ notice, at the following redemption prices (expressed as percentages of the principal amount thereof) if redeemed during the respective period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forth below, plus, in each case, accrued and unpaid interest, if any, to the date of redemption (subject to the right of holders of record on the relevant record date to receive interest due on the relevant interest payment date): </w:t>
      </w:r>
    </w:p>
    <w:tbl>
      <w:tblPr>
        <w:tblW w:w="5605" w:type="dxa"/>
        <w:jc w:val="left"/>
        <w:tblInd w:w="0" w:type="dxa"/>
        <w:tblLayout w:type="fixed"/>
        <w:tblCellMar>
          <w:top w:w="28" w:type="dxa"/>
          <w:left w:w="28" w:type="dxa"/>
          <w:bottom w:w="28" w:type="dxa"/>
          <w:right w:w="28" w:type="dxa"/>
        </w:tblCellMar>
      </w:tblPr>
      <w:tblGrid>
        <w:gridCol w:w="1288"/>
        <w:gridCol w:w="1135"/>
        <w:gridCol w:w="1146"/>
        <w:gridCol w:w="109"/>
        <w:gridCol w:w="109"/>
        <w:gridCol w:w="109"/>
        <w:gridCol w:w="360"/>
        <w:gridCol w:w="361"/>
        <w:gridCol w:w="616"/>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Percentage</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30, 2022 to 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30, 2023 to 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 to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each calendar quarter, commencing with the calendar quarter ending December 31, 2022, the Company was subject to a leverage maintenance test (“2022 Leverage Maintenance Test”), which required that the Total Consolidated Indebtedness of the Company not be greater than 30% of Total Consolidated Capitalization. As of December 31, 2023, the ratio as defined under the 2022 Leverage Maintenance Test was 29.9%.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Equipment Financing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 </w:t>
      </w:r>
    </w:p>
    <w:p>
      <w:pPr>
        <w:pStyle w:val="TextBody"/>
        <w:bidi w:val="0"/>
        <w:spacing w:lineRule="auto" w:line="276" w:before="240" w:after="283"/>
        <w:ind w:left="0" w:right="0" w:hanging="1170"/>
        <w:jc w:val="both"/>
        <w:rPr/>
      </w:pPr>
      <w:r>
        <w:rPr>
          <w:color w:val="000000"/>
        </w:rPr>
        <w:t>•</w:t>
      </w:r>
      <w:r>
        <w:rPr>
          <w:rFonts w:ascii="Times New Roman;sans-serif" w:hAnsi="Times New Roman;sans-serif"/>
          <w:b w:val="false"/>
          <w:color w:val="000000"/>
          <w:sz w:val="20"/>
        </w:rPr>
        <w:t>At the end of the lease, KICO may purchase the fixed assets for a purchase price of $2,024,206, which is 25% of the original fixed asset cost of $8,096,824; or</w:t>
      </w:r>
    </w:p>
    <w:p>
      <w:pPr>
        <w:pStyle w:val="TextBody"/>
        <w:bidi w:val="0"/>
        <w:spacing w:lineRule="auto" w:line="276" w:before="240" w:after="283"/>
        <w:ind w:left="0" w:right="0" w:hanging="1170"/>
        <w:jc w:val="left"/>
        <w:rPr/>
      </w:pPr>
      <w:r>
        <w:rPr>
          <w:color w:val="000000"/>
        </w:rPr>
        <w:t>•</w:t>
      </w:r>
      <w:r>
        <w:rPr>
          <w:rFonts w:ascii="Times New Roman;sans-serif" w:hAnsi="Times New Roman;sans-serif"/>
          <w:b w:val="false"/>
          <w:color w:val="000000"/>
          <w:sz w:val="20"/>
        </w:rPr>
        <w:t xml:space="preserve">KICO may renew the lease for 16 months at the same rental rate, which totals $2,024,206.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of the Financing requires KICO to pledge collateral for the lease obligation. As of December 31, 2024 and 2023, the amount of required collateral was approximately $5,308,000 and $6,999,000, respectively. As of December 31, 2024, the fair value of KICO’s pledged collateral was approximately $5,308,000 in various fixed-maturity securities. As of December 31, 2023, the fair value of KICO’s pledged collateral was approximately $11,960,000 in United States Treasury securities.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contractual payment obligations under the Financing as of December 31, 2024 are as follows:</w:t>
      </w:r>
    </w:p>
    <w:tbl>
      <w:tblPr>
        <w:tblW w:w="3749" w:type="dxa"/>
        <w:jc w:val="left"/>
        <w:tblInd w:w="0" w:type="dxa"/>
        <w:tblLayout w:type="fixed"/>
        <w:tblCellMar>
          <w:top w:w="28" w:type="dxa"/>
          <w:left w:w="28" w:type="dxa"/>
          <w:bottom w:w="28" w:type="dxa"/>
          <w:right w:w="28" w:type="dxa"/>
        </w:tblCellMar>
      </w:tblPr>
      <w:tblGrid>
        <w:gridCol w:w="635"/>
        <w:gridCol w:w="559"/>
        <w:gridCol w:w="560"/>
        <w:gridCol w:w="109"/>
        <w:gridCol w:w="109"/>
        <w:gridCol w:w="109"/>
        <w:gridCol w:w="211"/>
        <w:gridCol w:w="976"/>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For the Year </w:t>
              <w:br/>
              <w:t xml:space="preserve">Ending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3,639,214 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5,663,420 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10 - Property and Equipment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property and equipment are summarized as follows: </w:t>
      </w:r>
    </w:p>
    <w:tbl>
      <w:tblPr>
        <w:tblW w:w="8109" w:type="dxa"/>
        <w:jc w:val="left"/>
        <w:tblInd w:w="0" w:type="dxa"/>
        <w:tblLayout w:type="fixed"/>
        <w:tblCellMar>
          <w:top w:w="28" w:type="dxa"/>
          <w:left w:w="28" w:type="dxa"/>
          <w:bottom w:w="28" w:type="dxa"/>
          <w:right w:w="28" w:type="dxa"/>
        </w:tblCellMar>
      </w:tblPr>
      <w:tblGrid>
        <w:gridCol w:w="1053"/>
        <w:gridCol w:w="927"/>
        <w:gridCol w:w="930"/>
        <w:gridCol w:w="211"/>
        <w:gridCol w:w="1081"/>
        <w:gridCol w:w="109"/>
        <w:gridCol w:w="109"/>
        <w:gridCol w:w="109"/>
        <w:gridCol w:w="109"/>
        <w:gridCol w:w="211"/>
        <w:gridCol w:w="1156"/>
        <w:gridCol w:w="109"/>
        <w:gridCol w:w="109"/>
        <w:gridCol w:w="109"/>
        <w:gridCol w:w="109"/>
        <w:gridCol w:w="211"/>
        <w:gridCol w:w="976"/>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Depreciation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office equipment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31,318,861 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(22,034,891)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9,283,970 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office equipment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28,981,656 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(19,585,959)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9,395,697 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2024 and 2023 was $2,448,932 and $2,973,440, respectively.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See Note 20 - Subsequent Events, Sale of Real Estate.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11 - Property and Casualty Insurance Activity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written, ceded and earned are as follows:</w:t>
      </w:r>
    </w:p>
    <w:tbl>
      <w:tblPr>
        <w:tblW w:w="9590" w:type="dxa"/>
        <w:jc w:val="left"/>
        <w:tblInd w:w="0" w:type="dxa"/>
        <w:tblLayout w:type="fixed"/>
        <w:tblCellMar>
          <w:top w:w="28" w:type="dxa"/>
          <w:left w:w="28" w:type="dxa"/>
          <w:bottom w:w="28" w:type="dxa"/>
          <w:right w:w="28" w:type="dxa"/>
        </w:tblCellMar>
      </w:tblPr>
      <w:tblGrid>
        <w:gridCol w:w="993"/>
        <w:gridCol w:w="875"/>
        <w:gridCol w:w="877"/>
        <w:gridCol w:w="211"/>
        <w:gridCol w:w="1186"/>
        <w:gridCol w:w="109"/>
        <w:gridCol w:w="109"/>
        <w:gridCol w:w="109"/>
        <w:gridCol w:w="109"/>
        <w:gridCol w:w="357"/>
        <w:gridCol w:w="357"/>
        <w:gridCol w:w="185"/>
        <w:gridCol w:w="109"/>
        <w:gridCol w:w="109"/>
        <w:gridCol w:w="109"/>
        <w:gridCol w:w="211"/>
        <w:gridCol w:w="1261"/>
        <w:gridCol w:w="109"/>
        <w:gridCol w:w="109"/>
        <w:gridCol w:w="109"/>
        <w:gridCol w:w="109"/>
        <w:gridCol w:w="211"/>
        <w:gridCol w:w="1186"/>
        <w:gridCol w:w="109"/>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Assumed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(87,750,072)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unearned premiums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212,899,742 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(84,401,822)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200,174,502 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(106,563,985)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unearned premiums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202,045,741 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(87,661,478)</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 receipts in advance of the policy effective date are recorded as advance premiums. The balance of advance premiums as of December 31, 2024 and 2023 was $3,503,063 and $3,797,590,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liability for loss and LAE expenses and related reinsurance receivables as of December 31, 2024 and 2023 are as follows:</w:t>
      </w:r>
    </w:p>
    <w:tbl>
      <w:tblPr>
        <w:tblW w:w="6951" w:type="dxa"/>
        <w:jc w:val="left"/>
        <w:tblInd w:w="0" w:type="dxa"/>
        <w:tblLayout w:type="fixed"/>
        <w:tblCellMar>
          <w:top w:w="28" w:type="dxa"/>
          <w:left w:w="28" w:type="dxa"/>
          <w:bottom w:w="28" w:type="dxa"/>
          <w:right w:w="28" w:type="dxa"/>
        </w:tblCellMar>
      </w:tblPr>
      <w:tblGrid>
        <w:gridCol w:w="1210"/>
        <w:gridCol w:w="1065"/>
        <w:gridCol w:w="1070"/>
        <w:gridCol w:w="211"/>
        <w:gridCol w:w="1186"/>
        <w:gridCol w:w="109"/>
        <w:gridCol w:w="109"/>
        <w:gridCol w:w="109"/>
        <w:gridCol w:w="109"/>
        <w:gridCol w:w="211"/>
        <w:gridCol w:w="1081"/>
        <w:gridCol w:w="109"/>
        <w:gridCol w:w="109"/>
        <w:gridCol w:w="109"/>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Liability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Reinsurance </w:t>
              <w:br/>
              <w:t xml:space="preserve">Receivables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Case-basis reserves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adjustment expenses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 reserves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on unpaid losses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32,322,637 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on paid losses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126,210,428 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37,577,119 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5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 reinsurance contracts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receivables</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69,322,436 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Case-basis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adjustment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 reserves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on unpaid losses</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33,288,650 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on paid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121,817,862 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48,665,549 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5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 reinsurance contracts</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receivables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75,593,912 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balances for unpaid losses and LAE:</w:t>
      </w:r>
    </w:p>
    <w:tbl>
      <w:tblPr>
        <w:tblW w:w="6501" w:type="dxa"/>
        <w:jc w:val="left"/>
        <w:tblInd w:w="0" w:type="dxa"/>
        <w:tblLayout w:type="fixed"/>
        <w:tblCellMar>
          <w:top w:w="28" w:type="dxa"/>
          <w:left w:w="28" w:type="dxa"/>
          <w:bottom w:w="28" w:type="dxa"/>
          <w:right w:w="28" w:type="dxa"/>
        </w:tblCellMar>
      </w:tblPr>
      <w:tblGrid>
        <w:gridCol w:w="1011"/>
        <w:gridCol w:w="888"/>
        <w:gridCol w:w="891"/>
        <w:gridCol w:w="211"/>
        <w:gridCol w:w="1186"/>
        <w:gridCol w:w="109"/>
        <w:gridCol w:w="109"/>
        <w:gridCol w:w="109"/>
        <w:gridCol w:w="109"/>
        <w:gridCol w:w="211"/>
        <w:gridCol w:w="1186"/>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beginning of period</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88,529,212 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90,680,013 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related to:</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related to:</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57,276,137 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85,000,011 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at end of period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126,210,428 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121,817,862 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Incurred losses and LAE are net of reinsurance recoveries under reinsurance contracts of $20,226,354 and $41,091,205 for the years ended December 31, 2024 and 2023, respectively.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year incurred loss and LAE development is based upon estimates by line of business and accident year. Prior year loss and LAE development incurred during the years ended December 31, 2024 and 2023 was $1,779,827 favorable and $7,273 favorable, respectively.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Loss and LAE reserves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pStyle w:val="TextBody"/>
        <w:bidi w:val="0"/>
        <w:spacing w:lineRule="auto" w:line="276" w:before="240" w:after="283"/>
        <w:jc w:val="both"/>
        <w:rPr/>
      </w:pPr>
      <w:r>
        <w:rPr>
          <w:rFonts w:ascii="Times New Roman;sans-serif" w:hAnsi="Times New Roman;sans-serif"/>
          <w:b w:val="false"/>
          <w:i/>
          <w:color w:val="000000"/>
          <w:sz w:val="20"/>
        </w:rPr>
        <w:t>Paid Loss Development</w:t>
      </w:r>
      <w:r>
        <w:rPr>
          <w:color w:val="000000"/>
        </w:rPr>
        <w:t xml:space="preserve"> – </w:t>
      </w:r>
      <w:r>
        <w:rPr>
          <w:rFonts w:ascii="Times New Roman;sans-serif" w:hAnsi="Times New Roman;sans-serif"/>
          <w:b w:val="false"/>
          <w:color w:val="000000"/>
          <w:sz w:val="20"/>
        </w:rPr>
        <w:t>historical patterns of paid loss development are used to project future paid loss emergence in order to estimate required reserves.</w:t>
      </w:r>
    </w:p>
    <w:p>
      <w:pPr>
        <w:pStyle w:val="TextBody"/>
        <w:bidi w:val="0"/>
        <w:spacing w:lineRule="auto" w:line="276" w:before="240" w:after="283"/>
        <w:jc w:val="both"/>
        <w:rPr/>
      </w:pPr>
      <w:r>
        <w:rPr>
          <w:rFonts w:ascii="Times New Roman;sans-serif" w:hAnsi="Times New Roman;sans-serif"/>
          <w:b w:val="false"/>
          <w:i/>
          <w:color w:val="000000"/>
          <w:sz w:val="20"/>
        </w:rPr>
        <w:t>Incurred Loss Development</w:t>
      </w:r>
      <w:r>
        <w:rPr>
          <w:color w:val="000000"/>
        </w:rPr>
        <w:t xml:space="preserve"> – </w:t>
      </w:r>
      <w:r>
        <w:rPr>
          <w:rFonts w:ascii="Times New Roman;sans-serif" w:hAnsi="Times New Roman;sans-serif"/>
          <w:b w:val="false"/>
          <w:color w:val="000000"/>
          <w:sz w:val="20"/>
        </w:rPr>
        <w:t>historical patterns of incurred loss development, reflecting both paid losses and changes in case reserves, are used to project future incurred loss emergence in order to estimate required reserves.</w:t>
      </w:r>
    </w:p>
    <w:p>
      <w:pPr>
        <w:pStyle w:val="TextBody"/>
        <w:bidi w:val="0"/>
        <w:spacing w:lineRule="auto" w:line="276" w:before="240" w:after="283"/>
        <w:jc w:val="both"/>
        <w:rPr/>
      </w:pPr>
      <w:r>
        <w:rPr>
          <w:rFonts w:ascii="Times New Roman;sans-serif" w:hAnsi="Times New Roman;sans-serif"/>
          <w:b w:val="false"/>
          <w:i/>
          <w:color w:val="000000"/>
          <w:sz w:val="20"/>
        </w:rPr>
        <w:t>Paid Bornhuetter-Ferguson (“BF”)</w:t>
      </w:r>
      <w:r>
        <w:rPr>
          <w:color w:val="000000"/>
        </w:rPr>
        <w:t xml:space="preserve"> – </w:t>
      </w:r>
      <w:r>
        <w:rPr>
          <w:rFonts w:ascii="Times New Roman;sans-serif" w:hAnsi="Times New Roman;sans-serif"/>
          <w:b w:val="false"/>
          <w:color w:val="000000"/>
          <w:sz w:val="20"/>
        </w:rPr>
        <w:t>an estimated loss ratio for a particular accident year is determined, and is weighted against the portion of the 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pStyle w:val="TextBody"/>
        <w:bidi w:val="0"/>
        <w:spacing w:lineRule="auto" w:line="276" w:before="240" w:after="283"/>
        <w:jc w:val="both"/>
        <w:rPr/>
      </w:pPr>
      <w:r>
        <w:rPr>
          <w:rFonts w:ascii="Times New Roman;sans-serif" w:hAnsi="Times New Roman;sans-serif"/>
          <w:b w:val="false"/>
          <w:i/>
          <w:color w:val="000000"/>
          <w:sz w:val="20"/>
        </w:rPr>
        <w:t>Incurred Bornhuetter-Ferguson (“BF”)</w:t>
      </w:r>
      <w:r>
        <w:rPr>
          <w:color w:val="000000"/>
        </w:rPr>
        <w:t xml:space="preserve"> </w:t>
      </w:r>
      <w:r>
        <w:rPr>
          <w:rFonts w:ascii="Times New Roman;sans-serif" w:hAnsi="Times New Roman;sans-serif"/>
          <w:b w:val="false"/>
          <w:color w:val="000000"/>
          <w:sz w:val="20"/>
        </w:rPr>
        <w:t>- an estimated loss ratio for a particular accident year is determined, and is weighted against the portion of 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pStyle w:val="TextBody"/>
        <w:bidi w:val="0"/>
        <w:spacing w:lineRule="auto" w:line="276" w:before="240" w:after="283"/>
        <w:jc w:val="both"/>
        <w:rPr/>
      </w:pPr>
      <w:r>
        <w:rPr>
          <w:rFonts w:ascii="Times New Roman;sans-serif" w:hAnsi="Times New Roman;sans-serif"/>
          <w:b w:val="false"/>
          <w:i/>
          <w:color w:val="000000"/>
          <w:sz w:val="20"/>
        </w:rPr>
        <w:t xml:space="preserve">Incremental Claim-Based Methods </w:t>
      </w:r>
      <w:r>
        <w:rPr>
          <w:color w:val="000000"/>
        </w:rPr>
        <w:t xml:space="preserve">– </w:t>
      </w:r>
      <w:r>
        <w:rPr>
          <w:rFonts w:ascii="Times New Roman;sans-serif" w:hAnsi="Times New Roman;sans-serif"/>
          <w:b w:val="false"/>
          <w:color w:val="000000"/>
          <w:sz w:val="20"/>
        </w:rPr>
        <w:t>historical patterns of incremental incurred losses and paid LAE during various stages of development are 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pStyle w:val="TextBody"/>
        <w:bidi w:val="0"/>
        <w:spacing w:lineRule="auto" w:line="276" w:before="240" w:after="283"/>
        <w:jc w:val="both"/>
        <w:rPr/>
      </w:pPr>
      <w:r>
        <w:rPr>
          <w:rFonts w:ascii="Times New Roman;sans-serif" w:hAnsi="Times New Roman;sans-serif"/>
          <w:b w:val="false"/>
          <w:i/>
          <w:color w:val="000000"/>
          <w:sz w:val="20"/>
        </w:rPr>
        <w:t>Frequency / Severity Based Methods</w:t>
      </w:r>
      <w:r>
        <w:rPr>
          <w:color w:val="000000"/>
        </w:rPr>
        <w:t xml:space="preserve"> – </w:t>
      </w:r>
      <w:r>
        <w:rPr>
          <w:rFonts w:ascii="Times New Roman;sans-serif" w:hAnsi="Times New Roman;sans-serif"/>
          <w:b w:val="false"/>
          <w:color w:val="000000"/>
          <w:sz w:val="20"/>
        </w:rPr>
        <w:t>historical measurements of claim frequency and average paid claim size (severity) are reviewed for more 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New York State, lawsuits for negligence are subject to certain limitations and must be commenced within three years from the date of the accident or are otherwise barred. Accordingly, the Company’s exposure to unreported claims (“pure” IBNR) for accident dates of December 31, 2021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information about incurred and paid claims development as of December 31, 2024, net of reinsurance, as well as the cumulative reported claims by accident year and total IBNR reserves as of December 31, 2024 included in the net incurred loss and allocated expense amounts. The historical information regarding incurred and paid claims development for the years ended December 31, 2015 to December 31, 2023 is presented as supplementary unaudited information.</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All Lines of Business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 thousands, except reported claims data)</w:t>
      </w:r>
    </w:p>
    <w:tbl>
      <w:tblPr>
        <w:tblW w:w="1655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09"/>
        <w:gridCol w:w="196"/>
        <w:gridCol w:w="736"/>
        <w:gridCol w:w="109"/>
        <w:gridCol w:w="327"/>
        <w:gridCol w:w="205"/>
        <w:gridCol w:w="441"/>
        <w:gridCol w:w="109"/>
        <w:gridCol w:w="327"/>
        <w:gridCol w:w="215"/>
        <w:gridCol w:w="610"/>
        <w:gridCol w:w="121"/>
        <w:gridCol w:w="372"/>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0" w:type="dxa"/>
            <w:gridSpan w:val="60"/>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Incurred Loss and Allocated Loss Adjustment Expenses, Net of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5" w:type="dxa"/>
            <w:gridSpan w:val="51"/>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Cumulative </w:t>
              <w:br/>
              <w:t>Number</w:t>
              <w:br/>
              <w:t>of Reported</w:t>
              <w:br/>
              <w:t>Claims by</w:t>
              <w:br/>
              <w:t>Accident</w:t>
              <w:br/>
              <w:t>Year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2015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5" w:type="dxa"/>
            <w:gridSpan w:val="51"/>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(Unaudited 2015 - 2023)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ans-serif" w:hAnsi="Times New Roman;sans-serif"/>
                <w:b/>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593,216 </w:t>
            </w:r>
          </w:p>
        </w:tc>
        <w:tc>
          <w:tcPr>
            <w:tcW w:w="109"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All Lines of Business</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5013"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372"/>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8" w:type="dxa"/>
            <w:gridSpan w:val="57"/>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Paid Loss and Allocated Loss Adjustment Expenses, Net of Reinsurance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8" w:type="dxa"/>
            <w:gridSpan w:val="57"/>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5" w:type="dxa"/>
            <w:gridSpan w:val="5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(Unaudited 2015 - 2023)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506,365 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8" w:type="dxa"/>
            <w:gridSpan w:val="57"/>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Net liability for unpaid loss and allocated loss adjustment expenses for the accident years presented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8"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All outstanding liabilities before 2015, net of reinsurance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8" w:type="dxa"/>
            <w:gridSpan w:val="57"/>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for loss and allocated loss adjustment expenses, net of reinsurance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87,819 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(Components may not sum to totals due to rounding)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net incurred and paid claims development tables to the liability for loss and LAE reserves in the consolidated balance sheet is as follows:</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Reconciliation of the Disclosure of Incurred and Paid Loss Development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the Liability for Loss and LAE Reserves</w:t>
      </w:r>
    </w:p>
    <w:tbl>
      <w:tblPr>
        <w:tblW w:w="8441" w:type="dxa"/>
        <w:jc w:val="left"/>
        <w:tblInd w:w="0" w:type="dxa"/>
        <w:tblLayout w:type="fixed"/>
        <w:tblCellMar>
          <w:top w:w="28" w:type="dxa"/>
          <w:left w:w="28" w:type="dxa"/>
          <w:bottom w:w="28" w:type="dxa"/>
          <w:right w:w="28" w:type="dxa"/>
        </w:tblCellMar>
      </w:tblPr>
      <w:tblGrid>
        <w:gridCol w:w="2297"/>
        <w:gridCol w:w="2021"/>
        <w:gridCol w:w="2026"/>
        <w:gridCol w:w="317"/>
        <w:gridCol w:w="1244"/>
        <w:gridCol w:w="164"/>
        <w:gridCol w:w="109"/>
        <w:gridCol w:w="109"/>
        <w:gridCol w:w="154"/>
      </w:tblGrid>
      <w:tr>
        <w:trPr/>
        <w:tc>
          <w:tcPr>
            <w:tcW w:w="229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for allocated loss and loss adjustment expenses, net of reinsurance</w:t>
            </w:r>
          </w:p>
        </w:tc>
        <w:tc>
          <w:tcPr>
            <w:tcW w:w="3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87,819 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reinsurance recoverable on unpaid losses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loss adjustment expenses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liability for loss and LAE reserves</w:t>
            </w:r>
          </w:p>
        </w:tc>
        <w:tc>
          <w:tcPr>
            <w:tcW w:w="3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126,210 </w:t>
            </w:r>
          </w:p>
        </w:tc>
        <w:tc>
          <w:tcPr>
            <w:tcW w:w="1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(Components may not sum to totals due to rounding)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supplementary unaudited information about average historical claims duration as of December 31, 2024:</w:t>
      </w:r>
    </w:p>
    <w:tbl>
      <w:tblPr>
        <w:tblW w:w="10205" w:type="dxa"/>
        <w:jc w:val="left"/>
        <w:tblInd w:w="0" w:type="dxa"/>
        <w:tblLayout w:type="fixed"/>
        <w:tblCellMar>
          <w:top w:w="28" w:type="dxa"/>
          <w:left w:w="28" w:type="dxa"/>
          <w:bottom w:w="28" w:type="dxa"/>
          <w:right w:w="28" w:type="dxa"/>
        </w:tblCellMar>
      </w:tblPr>
      <w:tblGrid>
        <w:gridCol w:w="571"/>
        <w:gridCol w:w="501"/>
        <w:gridCol w:w="330"/>
        <w:gridCol w:w="255"/>
        <w:gridCol w:w="256"/>
        <w:gridCol w:w="410"/>
        <w:gridCol w:w="255"/>
        <w:gridCol w:w="256"/>
        <w:gridCol w:w="410"/>
        <w:gridCol w:w="209"/>
        <w:gridCol w:w="203"/>
        <w:gridCol w:w="410"/>
        <w:gridCol w:w="209"/>
        <w:gridCol w:w="203"/>
        <w:gridCol w:w="410"/>
        <w:gridCol w:w="209"/>
        <w:gridCol w:w="203"/>
        <w:gridCol w:w="410"/>
        <w:gridCol w:w="209"/>
        <w:gridCol w:w="203"/>
        <w:gridCol w:w="410"/>
        <w:gridCol w:w="209"/>
        <w:gridCol w:w="203"/>
        <w:gridCol w:w="410"/>
        <w:gridCol w:w="209"/>
        <w:gridCol w:w="203"/>
        <w:gridCol w:w="410"/>
        <w:gridCol w:w="209"/>
        <w:gridCol w:w="203"/>
        <w:gridCol w:w="410"/>
        <w:gridCol w:w="209"/>
        <w:gridCol w:w="203"/>
        <w:gridCol w:w="410"/>
        <w:gridCol w:w="109"/>
        <w:gridCol w:w="109"/>
        <w:gridCol w:w="167"/>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820"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Annual Percentage Payout of Incurred Loss and Allocated Loss Adjustment Expenses by Age, Net of Reinsurance </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9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8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Lines of Business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percentages in the above table do not add up to 100 because the percentages represent averages across all accident years at each development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Declared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the Company’s Board of Directors determined to suspend regular quarterly dividends. Future dividend policy will be subject to the discretion of the Company’s Board of Directors.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Preferred Stock</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as of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2014 Equity Participation Plan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pStyle w:val="TextBody"/>
        <w:bidi w:val="0"/>
        <w:spacing w:lineRule="auto" w:line="288" w:before="240" w:after="283"/>
        <w:jc w:val="both"/>
        <w:rPr/>
      </w:pPr>
      <w:r>
        <w:rPr>
          <w:rFonts w:ascii="Times New Roman;sans-serif" w:hAnsi="Times New Roman;sans-serif"/>
          <w:b w:val="false"/>
          <w:color w:val="000000"/>
          <w:sz w:val="20"/>
          <w:u w:val="single"/>
        </w:rPr>
        <w:t>2024 Equity Participation Plan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58,775 shares granted under the 2024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Stock Options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years ended December 31, 2024 and 2023 include stock-based compensation expense for stock options totaling approximately $196,000 and $0, respectively, which is included in other operating expenses on the accompanying consolidated statements of operations and comprehensive income (loss). Stock-based compensation expense related to stock options for the year ended December 31, 2024 is net of estimated forfeitures of approximately 19%.</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stock options granted during the year ended December 31, 2024 was $1.24 per share. No options were granted during the year ended December 31, 2023.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 average assumptions were used for grants during the following periods: </w:t>
      </w:r>
    </w:p>
    <w:tbl>
      <w:tblPr>
        <w:tblW w:w="4518" w:type="dxa"/>
        <w:jc w:val="left"/>
        <w:tblInd w:w="0" w:type="dxa"/>
        <w:tblLayout w:type="fixed"/>
        <w:tblCellMar>
          <w:top w:w="28" w:type="dxa"/>
          <w:left w:w="28" w:type="dxa"/>
          <w:bottom w:w="28" w:type="dxa"/>
          <w:right w:w="28" w:type="dxa"/>
        </w:tblCellMar>
      </w:tblPr>
      <w:tblGrid>
        <w:gridCol w:w="712"/>
        <w:gridCol w:w="625"/>
        <w:gridCol w:w="628"/>
        <w:gridCol w:w="310"/>
        <w:gridCol w:w="310"/>
        <w:gridCol w:w="310"/>
        <w:gridCol w:w="253"/>
        <w:gridCol w:w="253"/>
        <w:gridCol w:w="253"/>
        <w:gridCol w:w="253"/>
        <w:gridCol w:w="253"/>
        <w:gridCol w:w="358"/>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74.72%</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 years</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Company’s 2014 Plan and 2024 Plan for the year ended December 31, 2024 is as follows:</w:t>
      </w:r>
    </w:p>
    <w:tbl>
      <w:tblPr>
        <w:tblW w:w="10205" w:type="dxa"/>
        <w:jc w:val="left"/>
        <w:tblInd w:w="0" w:type="dxa"/>
        <w:tblLayout w:type="fixed"/>
        <w:tblCellMar>
          <w:top w:w="28" w:type="dxa"/>
          <w:left w:w="28" w:type="dxa"/>
          <w:bottom w:w="28" w:type="dxa"/>
          <w:right w:w="28" w:type="dxa"/>
        </w:tblCellMar>
      </w:tblPr>
      <w:tblGrid>
        <w:gridCol w:w="830"/>
        <w:gridCol w:w="726"/>
        <w:gridCol w:w="634"/>
        <w:gridCol w:w="109"/>
        <w:gridCol w:w="109"/>
        <w:gridCol w:w="109"/>
        <w:gridCol w:w="497"/>
        <w:gridCol w:w="373"/>
        <w:gridCol w:w="374"/>
        <w:gridCol w:w="109"/>
        <w:gridCol w:w="109"/>
        <w:gridCol w:w="109"/>
        <w:gridCol w:w="405"/>
        <w:gridCol w:w="985"/>
        <w:gridCol w:w="211"/>
        <w:gridCol w:w="109"/>
        <w:gridCol w:w="109"/>
        <w:gridCol w:w="109"/>
        <w:gridCol w:w="589"/>
        <w:gridCol w:w="589"/>
        <w:gridCol w:w="591"/>
        <w:gridCol w:w="109"/>
        <w:gridCol w:w="109"/>
        <w:gridCol w:w="109"/>
        <w:gridCol w:w="278"/>
        <w:gridCol w:w="1291"/>
        <w:gridCol w:w="144"/>
        <w:gridCol w:w="109"/>
        <w:gridCol w:w="109"/>
        <w:gridCol w:w="162"/>
      </w:tblGrid>
      <w:tr>
        <w:trPr/>
        <w:tc>
          <w:tcPr>
            <w:tcW w:w="8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ans-serif" w:hAnsi="Times New Roman;sans-serif"/>
                <w:b/>
                <w:color w:val="000000"/>
                <w:sz w:val="20"/>
              </w:rPr>
              <w:t xml:space="preserve">Weighted Average Exercise </w:t>
              <w:br/>
              <w:t xml:space="preserve">Price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ans-serif" w:hAnsi="Times New Roman;sans-serif"/>
                <w:b/>
                <w:color w:val="000000"/>
                <w:sz w:val="20"/>
              </w:rPr>
              <w:t xml:space="preserve">Weighted Average Remaining </w:t>
              <w:br/>
              <w:t xml:space="preserve">Contractual Term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ans-serif" w:hAnsi="Times New Roman;sans-serif"/>
                <w:b/>
                <w:color w:val="000000"/>
                <w:sz w:val="20"/>
              </w:rPr>
              <w:t>Aggregate Intrinsic Value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4,124,625 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Expired/Forfeited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168,886 </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of options outstanding and options exercisable at December 31, 2024 is calculated as the difference between the exercise price of the underlying options and the market price of the Company’s Common Stock for the options that had exercise prices that were lower than the $15.19 closing price of the Company’s Common Stock on December 31, 2024. No options were exercised, forfeited or expired during the year ended December 31, 2023.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when forfeited are determined as of the date of forfeiture. The total intrinsic value of options when expired are determined as of the date of expiration.</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52,719 shares from the exercise of options under a Share Exchange for the purchase of 63,333 shares of Common Stock during the year ended December 31, 2024. Such shares received under the Share Exchange have been included in the consolidated balance sheets within treasury stock. The Company received $63,711 from the exercise of 7,974 options. The remaining options exercised during the year ended December 31, 2024 was a Net Exercise, resulting in the issuance of 690 shares of Common Stock. No options were exercised during the year ended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estimated fair value of unamortized compensation cost related to 258,750 unvested stock option awards was approximately $67,008. Unamortized compensation cost as of December 31, 2024 is expected to be recognized over a remaining weighted-average vesting period of 2.01 years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Awards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restricted Common Stock activity under the Company’s 2014 Plan and 2024 Plan for the year ended December 31, 2024 is as follows:</w:t>
      </w:r>
    </w:p>
    <w:tbl>
      <w:tblPr>
        <w:tblW w:w="10205" w:type="dxa"/>
        <w:jc w:val="left"/>
        <w:tblInd w:w="0" w:type="dxa"/>
        <w:tblLayout w:type="fixed"/>
        <w:tblCellMar>
          <w:top w:w="28" w:type="dxa"/>
          <w:left w:w="28" w:type="dxa"/>
          <w:bottom w:w="28" w:type="dxa"/>
          <w:right w:w="28" w:type="dxa"/>
        </w:tblCellMar>
      </w:tblPr>
      <w:tblGrid>
        <w:gridCol w:w="878"/>
        <w:gridCol w:w="773"/>
        <w:gridCol w:w="775"/>
        <w:gridCol w:w="109"/>
        <w:gridCol w:w="109"/>
        <w:gridCol w:w="109"/>
        <w:gridCol w:w="295"/>
        <w:gridCol w:w="295"/>
        <w:gridCol w:w="302"/>
        <w:gridCol w:w="109"/>
        <w:gridCol w:w="109"/>
        <w:gridCol w:w="109"/>
        <w:gridCol w:w="1055"/>
        <w:gridCol w:w="2562"/>
        <w:gridCol w:w="550"/>
        <w:gridCol w:w="109"/>
        <w:gridCol w:w="109"/>
        <w:gridCol w:w="109"/>
        <w:gridCol w:w="211"/>
        <w:gridCol w:w="1044"/>
        <w:gridCol w:w="109"/>
        <w:gridCol w:w="109"/>
        <w:gridCol w:w="109"/>
        <w:gridCol w:w="157"/>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Grant Date Fair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Fair Value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5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was calculated using the closing price of the Company’s Common Stock on the grant date. For the years ended December 31, 2024 and 2023, stock-based compensation for these grants was approximately $1,187,000 and $833,000, respectively, which is included in other operating expenses on the accompanying consolidated statements of operations and comprehensive income (loss). These amounts reflect the Company’s accounting expense and do not correspond to the actual value that will be recognized by the directors, executives and employees. Unamortized compensation cost of $730,661 as of December 31, 2024 is expected to be recognized over a remaining weighted-average vesting period of 2.13 years.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Employee Stock Purchase Plan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2031. A maximum of 5,000 shares of Common Stock may be purchased by an employee during any offering period.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offering period under the ESPP was from November 1, 2021 through October 31, 2022 (“2021/2022 Offering”). There was no offering pursuant to the ESPP from November 1, 2022 through December 31, 2024. See Note 20 - Subsequent Events - Equity.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Warrants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2022 Exchange Agreement (see Note 9 – Debt – “Exchange Agreements”), as additional consideration, on December 15, 2022, the Company issued warrants (the "Warrants") to the 2022 Exchanging Noteholders to purchase 969,525 shares of Common Stock. Pursuant to the 2024 Exchange Agreement, the expiration date of the Warrants was extended to June 30, 2026 from December 30, 2025. The fair value of the Warrants, using the Black-Scholes valuation formula, was $993,200, which has been capitalized as a deferred financing cost of the 2022 Notes and 2024 Notes. The fair value of the Warrants is being amortized over the life of the Warrants, which was 36.5 months through September 12, 2024 and effective as of such date, the unamortized balance is being amortized over the extended life of the Warrants, which is now 21.5 months.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815-40-35 -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are exercisable through June 30, 2026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 ("Net Exercise").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December 31, 2024, holders exercised 327,500 Warrants under Net Exercises, resulting in the issuance of 304,413 shares of Common Stock. No Warrants were exercised during the year ended December 31, 2023. As of December 31, 2024, Warrants for the purchase of an aggregate of 642,025 shares of Common Stock were outstanding.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warrants were granted during the year ended December 31, 2024 and December 31, 2023.</w:t>
      </w:r>
    </w:p>
    <w:p>
      <w:pPr>
        <w:pStyle w:val="TextBody"/>
        <w:bidi w:val="0"/>
        <w:spacing w:lineRule="auto" w:line="288" w:before="240" w:after="283"/>
        <w:jc w:val="both"/>
        <w:rPr/>
      </w:pPr>
      <w:r>
        <w:rPr>
          <w:rFonts w:ascii="Times New Roman;sans-serif" w:hAnsi="Times New Roman;sans-serif"/>
          <w:b w:val="false"/>
          <w:color w:val="000000"/>
          <w:sz w:val="20"/>
          <w:u w:val="single"/>
        </w:rPr>
        <w:t>Shelf Registration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At-the-Market Offering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the Company entered into a Sales Agreement with Janney Montgomery Scott LLC (the “Sales Agent”) under which the Company currently has the ability to issue and sell shares of its Common Stock, from time to time, through the Sales Agent, pursuant to the Shelf Registration Statement, up to an aggregate offering price of approximately $16,400,000 in what is commonly referred to as an “at-the-market” (“ATM”) program. During the year ended December 31, 2024, the Company sold 1,437,287 shares of its Common Stock at a weighted average price of $9.79 per share and raised $13,610,807 in net proceeds under the ATM program. As of December 31, 2024, the Company had remaining capacity to sell up to an additional $2,325,087 of Common Stock under the ATM program. On January 7, 2025, the Company filed a prospectus supplement increasing the aggregate offering price for the ATM program to $25,000,000. See Note 20 - Subsequent Events,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 Statutory Financial Information and Accounting Policies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regulatory purposes, KICO prepares its statutory basis financial statements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pStyle w:val="TextBody"/>
        <w:bidi w:val="0"/>
        <w:spacing w:lineRule="auto" w:line="276" w:before="240" w:after="283"/>
        <w:ind w:left="0" w:right="0" w:hanging="1080"/>
        <w:jc w:val="both"/>
        <w:rPr/>
      </w:pPr>
      <w:r>
        <w:rPr>
          <w:color w:val="000000"/>
        </w:rPr>
        <w:t>•</w:t>
      </w:r>
      <w:r>
        <w:rPr>
          <w:rFonts w:ascii="Times New Roman;sans-serif" w:hAnsi="Times New Roman;sans-serif"/>
          <w:b w:val="false"/>
          <w:color w:val="000000"/>
          <w:sz w:val="20"/>
        </w:rPr>
        <w:t>Policy acquisition costs are charged to operations in the year such costs are incurred, rather than being deferred and amortized as premiums are earned over the terms of the policies.</w:t>
      </w:r>
    </w:p>
    <w:p>
      <w:pPr>
        <w:pStyle w:val="TextBody"/>
        <w:bidi w:val="0"/>
        <w:spacing w:lineRule="auto" w:line="276" w:before="240" w:after="283"/>
        <w:ind w:left="0" w:right="0" w:hanging="1080"/>
        <w:jc w:val="both"/>
        <w:rPr/>
      </w:pPr>
      <w:r>
        <w:rPr>
          <w:color w:val="000000"/>
        </w:rPr>
        <w:t>•</w:t>
      </w:r>
      <w:r>
        <w:rPr>
          <w:rFonts w:ascii="Times New Roman;sans-serif" w:hAnsi="Times New Roman;sans-serif"/>
          <w:b w:val="false"/>
          <w:color w:val="000000"/>
          <w:sz w:val="20"/>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pStyle w:val="TextBody"/>
        <w:bidi w:val="0"/>
        <w:spacing w:lineRule="auto" w:line="276" w:before="240" w:after="283"/>
        <w:ind w:left="0" w:right="0" w:hanging="1080"/>
        <w:jc w:val="both"/>
        <w:rPr/>
      </w:pPr>
      <w:r>
        <w:rPr>
          <w:color w:val="000000"/>
        </w:rPr>
        <w:t>•</w:t>
      </w:r>
      <w:r>
        <w:rPr>
          <w:rFonts w:ascii="Times New Roman;sans-serif" w:hAnsi="Times New Roman;sans-serif"/>
          <w:b w:val="false"/>
          <w:color w:val="000000"/>
          <w:sz w:val="20"/>
        </w:rPr>
        <w:t>Certain assets including certain receivables, a portion of the net deferred tax asset, prepaid expenses and furniture and equipment are not admitted.</w:t>
      </w:r>
    </w:p>
    <w:p>
      <w:pPr>
        <w:pStyle w:val="TextBody"/>
        <w:bidi w:val="0"/>
        <w:spacing w:lineRule="auto" w:line="276" w:before="240" w:after="283"/>
        <w:ind w:left="0" w:right="0" w:hanging="1080"/>
        <w:jc w:val="both"/>
        <w:rPr/>
      </w:pPr>
      <w:r>
        <w:rPr>
          <w:color w:val="000000"/>
        </w:rPr>
        <w:t>•</w:t>
      </w:r>
      <w:r>
        <w:rPr>
          <w:rFonts w:ascii="Times New Roman;sans-serif" w:hAnsi="Times New Roman;sans-serif"/>
          <w:b w:val="false"/>
          <w:color w:val="000000"/>
          <w:sz w:val="20"/>
        </w:rPr>
        <w:t>Investments in fixed-maturity securities are valued at NAIC value for statutory financial purposes, which is primarily amortized cost. GAAP requires certain investments in fixed-maturity securities classified as available-for-sale, to be reported at fair value.</w:t>
      </w:r>
    </w:p>
    <w:p>
      <w:pPr>
        <w:pStyle w:val="TextBody"/>
        <w:bidi w:val="0"/>
        <w:spacing w:lineRule="auto" w:line="276" w:before="240" w:after="283"/>
        <w:ind w:left="0" w:right="0" w:hanging="1080"/>
        <w:jc w:val="both"/>
        <w:rPr/>
      </w:pPr>
      <w:r>
        <w:rPr>
          <w:color w:val="000000"/>
        </w:rPr>
        <w:t>•</w:t>
      </w:r>
      <w:r>
        <w:rPr>
          <w:rFonts w:ascii="Times New Roman;sans-serif" w:hAnsi="Times New Roman;sans-serif"/>
          <w:b w:val="false"/>
          <w:color w:val="000000"/>
          <w:sz w:val="20"/>
        </w:rPr>
        <w:t>Certain amounts related to ceded reinsurance are reported on a net basis within the statutory basis financial statements. GAAP requires these amounts to be shown gross.</w:t>
      </w:r>
    </w:p>
    <w:p>
      <w:pPr>
        <w:pStyle w:val="TextBody"/>
        <w:bidi w:val="0"/>
        <w:spacing w:lineRule="auto" w:line="276" w:before="240" w:after="283"/>
        <w:ind w:left="0" w:right="0" w:hanging="1080"/>
        <w:jc w:val="both"/>
        <w:rPr/>
      </w:pPr>
      <w:r>
        <w:rPr>
          <w:color w:val="000000"/>
        </w:rPr>
        <w:t>•</w:t>
      </w:r>
      <w:r>
        <w:rPr>
          <w:rFonts w:ascii="Times New Roman;sans-serif" w:hAnsi="Times New Roman;sans-serif"/>
          <w:b w:val="false"/>
          <w:color w:val="000000"/>
          <w:sz w:val="20"/>
        </w:rPr>
        <w:t xml:space="preserve">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be paid without the need for DFS approval from unassigned surplus, and the amount of an insurer’s unassigned surplus following payment of any dividends must be reasonable in relation to the insurer’s outstanding liabilities and adequate to meet its financial needs.</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2023, unassigned surplus (deficit) was $13,658,183 and $(7,661,958), respectively. KICO has an agreement with DFS that KICO may only pay dividends to the Holding Company for purposes of paying operating expenses and debt obligations. KICO has an agreement with the DFS that the maximum amount of dividends that can be paid in 12 months is $12,000,000 without prior approval. As of December 31, 2024, the maximum allowable dividend that KICO may pay to KINS was $7,640,412. For the years ended December 31, 2024 and 2023, KICO paid dividends to the Holding Company of $0 and $1,250,000, respectively. For the years ended December 31, 2024 and 2023, KICO recorded statutory basis net income of $23,273,658 and $1,343,111, respectively. At December 31, 2024 and 2023, KICO reported statutory basis surplus as regards policyholders of $76,704,115 and $62,683,794, respectively, as filed with the DFS.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14 - Risk Based Capital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associated with items such as excessive premium growth, contingent liabilities, and other items not reflected on the balance sheet (off-balance sheet risk). The amount determined under such formulas is called the authorized control level RBC (“ACL”).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15 – Income Taxes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is comprised of the following:</w:t>
      </w:r>
    </w:p>
    <w:tbl>
      <w:tblPr>
        <w:tblW w:w="7547" w:type="dxa"/>
        <w:jc w:val="left"/>
        <w:tblInd w:w="0" w:type="dxa"/>
        <w:tblLayout w:type="fixed"/>
        <w:tblCellMar>
          <w:top w:w="28" w:type="dxa"/>
          <w:left w:w="28" w:type="dxa"/>
          <w:bottom w:w="28" w:type="dxa"/>
          <w:right w:w="28" w:type="dxa"/>
        </w:tblCellMar>
      </w:tblPr>
      <w:tblGrid>
        <w:gridCol w:w="1396"/>
        <w:gridCol w:w="1225"/>
        <w:gridCol w:w="1233"/>
        <w:gridCol w:w="109"/>
        <w:gridCol w:w="109"/>
        <w:gridCol w:w="109"/>
        <w:gridCol w:w="211"/>
        <w:gridCol w:w="976"/>
        <w:gridCol w:w="109"/>
        <w:gridCol w:w="109"/>
        <w:gridCol w:w="109"/>
        <w:gridCol w:w="109"/>
        <w:gridCol w:w="211"/>
        <w:gridCol w:w="1051"/>
        <w:gridCol w:w="109"/>
        <w:gridCol w:w="109"/>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federal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state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federal and state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4,929,721 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(1,197,185)</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federal statutory rate to the Company’s effective tax rate is as follows:</w:t>
      </w:r>
    </w:p>
    <w:tbl>
      <w:tblPr>
        <w:tblW w:w="9406" w:type="dxa"/>
        <w:jc w:val="left"/>
        <w:tblInd w:w="0" w:type="dxa"/>
        <w:tblLayout w:type="fixed"/>
        <w:tblCellMar>
          <w:top w:w="28" w:type="dxa"/>
          <w:left w:w="28" w:type="dxa"/>
          <w:bottom w:w="28" w:type="dxa"/>
          <w:right w:w="28" w:type="dxa"/>
        </w:tblCellMar>
      </w:tblPr>
      <w:tblGrid>
        <w:gridCol w:w="1265"/>
        <w:gridCol w:w="1111"/>
        <w:gridCol w:w="1119"/>
        <w:gridCol w:w="109"/>
        <w:gridCol w:w="109"/>
        <w:gridCol w:w="109"/>
        <w:gridCol w:w="211"/>
        <w:gridCol w:w="976"/>
        <w:gridCol w:w="109"/>
        <w:gridCol w:w="109"/>
        <w:gridCol w:w="109"/>
        <w:gridCol w:w="109"/>
        <w:gridCol w:w="255"/>
        <w:gridCol w:w="256"/>
        <w:gridCol w:w="271"/>
        <w:gridCol w:w="109"/>
        <w:gridCol w:w="109"/>
        <w:gridCol w:w="109"/>
        <w:gridCol w:w="211"/>
        <w:gridCol w:w="1051"/>
        <w:gridCol w:w="109"/>
        <w:gridCol w:w="109"/>
        <w:gridCol w:w="109"/>
        <w:gridCol w:w="109"/>
        <w:gridCol w:w="255"/>
        <w:gridCol w:w="256"/>
        <w:gridCol w:w="271"/>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received deduction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leaseback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tax matters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4,929,721 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(1,197,185)</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are as follows:</w:t>
      </w:r>
    </w:p>
    <w:tbl>
      <w:tblPr>
        <w:tblW w:w="6842" w:type="dxa"/>
        <w:jc w:val="left"/>
        <w:tblInd w:w="0" w:type="dxa"/>
        <w:tblLayout w:type="fixed"/>
        <w:tblCellMar>
          <w:top w:w="28" w:type="dxa"/>
          <w:left w:w="28" w:type="dxa"/>
          <w:bottom w:w="28" w:type="dxa"/>
          <w:right w:w="28" w:type="dxa"/>
        </w:tblCellMar>
      </w:tblPr>
      <w:tblGrid>
        <w:gridCol w:w="1132"/>
        <w:gridCol w:w="992"/>
        <w:gridCol w:w="995"/>
        <w:gridCol w:w="109"/>
        <w:gridCol w:w="109"/>
        <w:gridCol w:w="109"/>
        <w:gridCol w:w="211"/>
        <w:gridCol w:w="976"/>
        <w:gridCol w:w="109"/>
        <w:gridCol w:w="109"/>
        <w:gridCol w:w="109"/>
        <w:gridCol w:w="109"/>
        <w:gridCol w:w="211"/>
        <w:gridCol w:w="1081"/>
        <w:gridCol w:w="109"/>
        <w:gridCol w:w="109"/>
        <w:gridCol w:w="109"/>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carryovers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reserve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11,864,277 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15,728,101 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KICO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6,266,357 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5,176,282 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10,551,819 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(1)The deferred tax assets from net operating loss carryovers are as follows:</w:t>
      </w:r>
    </w:p>
    <w:tbl>
      <w:tblPr>
        <w:tblW w:w="10205" w:type="dxa"/>
        <w:jc w:val="left"/>
        <w:tblInd w:w="0" w:type="dxa"/>
        <w:tblLayout w:type="fixed"/>
        <w:tblCellMar>
          <w:top w:w="28" w:type="dxa"/>
          <w:left w:w="28" w:type="dxa"/>
          <w:bottom w:w="28" w:type="dxa"/>
          <w:right w:w="28" w:type="dxa"/>
        </w:tblCellMar>
      </w:tblPr>
      <w:tblGrid>
        <w:gridCol w:w="1472"/>
        <w:gridCol w:w="1225"/>
        <w:gridCol w:w="1231"/>
        <w:gridCol w:w="109"/>
        <w:gridCol w:w="109"/>
        <w:gridCol w:w="109"/>
        <w:gridCol w:w="227"/>
        <w:gridCol w:w="888"/>
        <w:gridCol w:w="116"/>
        <w:gridCol w:w="109"/>
        <w:gridCol w:w="109"/>
        <w:gridCol w:w="109"/>
        <w:gridCol w:w="211"/>
        <w:gridCol w:w="976"/>
        <w:gridCol w:w="109"/>
        <w:gridCol w:w="109"/>
        <w:gridCol w:w="109"/>
        <w:gridCol w:w="109"/>
        <w:gridCol w:w="797"/>
        <w:gridCol w:w="797"/>
        <w:gridCol w:w="799"/>
        <w:gridCol w:w="109"/>
        <w:gridCol w:w="109"/>
        <w:gridCol w:w="158"/>
      </w:tblGrid>
      <w:tr>
        <w:trPr/>
        <w:tc>
          <w:tcPr>
            <w:tcW w:w="147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ans-serif" w:hAnsi="Times New Roman;sans-serif"/>
                <w:b/>
                <w:color w:val="000000"/>
                <w:sz w:val="20"/>
              </w:rPr>
              <w:t xml:space="preserve">Type of NOL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only, NOL from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only (A)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3,075,395 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2027 - December 2043</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allowance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(3,075,395)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only, net of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tax asset from net operating loss carryovers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419,357 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5,283,016 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Kingstone generates operating losses for state purposes and has prior year NOLs available. The state NOL as of December 31, 2024 and 2023 was approximately $47,313,775 and $39,390,000, respectively. KICO, the Company’s insurance underwriting subsidiary, is not subject to state income taxes. KICO’s state tax obligations are paid through a gross premiums tax, which is included in the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(2)Deferred tax liability - investment in KICO</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changes in net deferred income tax assets (liabilities) to the deferred income tax benefit for the year ended December 31, 2024:</w:t>
      </w:r>
    </w:p>
    <w:tbl>
      <w:tblPr>
        <w:tblW w:w="7383" w:type="dxa"/>
        <w:jc w:val="left"/>
        <w:tblInd w:w="0" w:type="dxa"/>
        <w:tblLayout w:type="fixed"/>
        <w:tblCellMar>
          <w:top w:w="28" w:type="dxa"/>
          <w:left w:w="28" w:type="dxa"/>
          <w:bottom w:w="28" w:type="dxa"/>
          <w:right w:w="28" w:type="dxa"/>
        </w:tblCellMar>
      </w:tblPr>
      <w:tblGrid>
        <w:gridCol w:w="2066"/>
        <w:gridCol w:w="1821"/>
        <w:gridCol w:w="1828"/>
        <w:gridCol w:w="211"/>
        <w:gridCol w:w="976"/>
        <w:gridCol w:w="109"/>
        <w:gridCol w:w="109"/>
        <w:gridCol w:w="109"/>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 in net deferred income tax assets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Deferred tax expense allocated to other comprehensive income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material unrecognized tax benefit and no adjustments to liabilities or operations were required. There were no interest or penalties related to income taxes that have been accrued or recognized as of and for the years ended December 31, 2024 and 2023. If any had been recognized these would have been reported in income tax expense.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taxing authorities may examine the Company’s tax returns for the three years from the date of filing. The Company’s tax returns for the years ended December 31, 2021 through December 31, 2023 remain subject to examination.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16 - Employee Benefit Plans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Bonus Plans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Bonus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Company accrued approximately $2,091,000 ("Cash Payments") related to an employee bonus plan (the "Bonus Plan"), of which $477,000 is allocated and recorded in loss and LAE, and $1,614,000 is recorded in other underwriting expenses on the accompanying consolidated statements of operations and comprehensive income (loss). In addition to the Cash Payments, the Bonus Plan also calls for a restricted stock award to the Company's senior leadership team ("SLT") in an amount equal to their Cash Payments if certain performance metrics have been met. The performance metrics for the year ended December 31, 2024 have been met, and accordingly, the SLT received in March 2025 an RSA for an aggregate of 58,755 shares of the Company's Common Stock valued at approximately $892,000. For the year ended December 31, 2024, the Company accrued approximately $278,000 of stock-based compensation recorded in other operating expenses on the accompanying consolidated statements of operations and comprehensive income (loss). For the year ended December 31, 2023 the Company did not accrue for, or pay, bonuses related to the Bonus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88" w:before="240" w:after="283"/>
        <w:jc w:val="both"/>
        <w:rPr/>
      </w:pPr>
      <w:r>
        <w:rPr>
          <w:rFonts w:ascii="Times New Roman;sans-serif" w:hAnsi="Times New Roman;sans-serif"/>
          <w:b w:val="false"/>
          <w:i/>
          <w:color w:val="000000"/>
          <w:sz w:val="20"/>
        </w:rPr>
        <w:t>Executive Bonus Plan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the Company accrued approximately $496,000 for a bonus pursuant to the Second Amended Golden Employment Agreement, of which $446,000 is recorded in other underwriting expenses, and $50,000 is recorded in other operating expenses on the accompanying consolidated statements of operations and comprehensive income (loss).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401 (k) Plan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salary reduction plan under Section 401(k) of the Internal Revenue Code (the “401(k) Plan”) for its qualified employees. The Company matches 100% of each participant’s contribution up to 4% of the participant’s eligible contribution. The Company incurred approximately $270,000 and $292,000, respectively, of expense for the years ended December 31, 2024 and 2023, related to the 401(k) Plan, which is recorded in other underwriting expenses on the accompanying consolidated statements of operations and comprehensive income (loss).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Compensation Plan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2018, the Company adopted the Kingstone Companies, Inc. Deferred Compensation Plan (the "Deferred Compensation Plan"). Effective December 22, 2022, the Company terminated the Deferred Compensation Plan. The assets of the Deferred Compensation Plan were liquidated in September 2024, by making payments to participants in full satisfaction of their interest in the Deferred Compensation Plan.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deferred compensation liability as of December 31, 2024 and 2023 amounted to $0 and $937,025, respectively, and is recorded in accounts payable, accrued expenses and other liabilities in the accompanying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Litigation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Office Leases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a party to a non-cancellable operating lease, dated March 27, 2015, for its office facility for KICO located in Valley Stream, New York which expired on March 31, 2024. The lease was not renewed.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 Company’s office operating leases is as follows:</w:t>
      </w:r>
    </w:p>
    <w:tbl>
      <w:tblPr>
        <w:tblW w:w="8868" w:type="dxa"/>
        <w:jc w:val="left"/>
        <w:tblInd w:w="0" w:type="dxa"/>
        <w:tblLayout w:type="fixed"/>
        <w:tblCellMar>
          <w:top w:w="28" w:type="dxa"/>
          <w:left w:w="28" w:type="dxa"/>
          <w:bottom w:w="28" w:type="dxa"/>
          <w:right w:w="28" w:type="dxa"/>
        </w:tblCellMar>
      </w:tblPr>
      <w:tblGrid>
        <w:gridCol w:w="1593"/>
        <w:gridCol w:w="1396"/>
        <w:gridCol w:w="1405"/>
        <w:gridCol w:w="109"/>
        <w:gridCol w:w="109"/>
        <w:gridCol w:w="109"/>
        <w:gridCol w:w="302"/>
        <w:gridCol w:w="1034"/>
        <w:gridCol w:w="388"/>
        <w:gridCol w:w="109"/>
        <w:gridCol w:w="109"/>
        <w:gridCol w:w="109"/>
        <w:gridCol w:w="278"/>
        <w:gridCol w:w="1089"/>
        <w:gridCol w:w="357"/>
        <w:gridCol w:w="109"/>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Lease 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41,342 </w:t>
            </w:r>
          </w:p>
        </w:tc>
        <w:tc>
          <w:tcPr>
            <w:tcW w:w="38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165,368 </w:t>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41,342 </w:t>
            </w:r>
          </w:p>
        </w:tc>
        <w:tc>
          <w:tcPr>
            <w:tcW w:w="38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165,368 </w:t>
            </w:r>
          </w:p>
        </w:tc>
        <w:tc>
          <w:tcPr>
            <w:tcW w:w="3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on 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the measurement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reported in operating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191,919 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810"/>
        <w:jc w:val="both"/>
        <w:rPr/>
      </w:pPr>
      <w:r>
        <w:rPr/>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included in other assets, were $0 and $47,722 as of December 31, 2024 and 2023, respectively. Operating lease right-of-use liabilities, included in accounts payable, accrued expenses and other liabilities, were $0 and $47,722 as of December 31, 2024 and 2023, respectively.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for the years ended December 31, 2024 and 2023 amounted to $41,342 and $165,368, respectively, and is included in the accompanying consolidated statements of operations and comprehensive income (loss) within other underwriting expenses.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Meryl Golden, President and Chief Executive Officer; formerly Chief Operating Officer</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 effective as of January 1, 2021</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2019, the Company and Meryl Golden entered into an employment agreement (the “Golden Employment Agreement”) pursuant to which Ms. Golden served as the Company’s Chief Operating Officer. Ms. Golden also served as KICO’s President and Chief Operating Officer. The Golden Employment Agreement became effective as of September 25, 2019 (amended on December 24, 2020) and expired on December 31, 2022.</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vested in three equal installments on each of the first, second and third anniversaries of the grant date. Pursuant to the 2014 Plan, Ms. Golden’s outstanding stock options and restricted stock awards would vest in the event of a change in control of the Company.</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Employment Agreement effective as of January 1,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2022, the Company and Ms. Golden entered into a second amended and restated employment agreement which took effect as of January 1, 2023, and expired on December 31, 2024 (the “Second Amended Golden Employment Agreement”).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Second Amended Golden Employment Agreement, Ms. Golden was entitled to receive an annual base salary of $500,000 and an annual bonus equal to 3% of the Company’s consolidated income from operations before taxes, exclusive of the Company’s consolidated net investment income (loss), net unrealized gains (losses) on equity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vested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vested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October 1, 2023, Ms. Golden was appointed to the position of President and Chief Executive Officer of the Company.</w:t>
      </w:r>
    </w:p>
    <w:p>
      <w:pPr>
        <w:pStyle w:val="TextBody"/>
        <w:bidi w:val="0"/>
        <w:spacing w:lineRule="auto" w:line="288" w:before="240" w:after="283"/>
        <w:jc w:val="both"/>
        <w:rPr/>
      </w:pPr>
      <w:r>
        <w:rPr>
          <w:rFonts w:ascii="Times New Roman;sans-serif" w:hAnsi="Times New Roman;sans-serif"/>
          <w:b w:val="false"/>
          <w:color w:val="000000"/>
          <w:sz w:val="20"/>
          <w:u w:val="single"/>
        </w:rPr>
        <w:t>Employment Agreement to be effective as of January 1, 2025</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2024, the Company and Ms. Golden entered into a third amended and restated employment agreement (the “Third Amended Golden Employment Agreement”). The Third Amended Golden Employment Agreement was effective as of January 1, 2025 and extends the expiration date of the Second Amended Golden Employment Agreement currently in effect for Ms. Golden from December 31, 2024 to December 31, 2026. Pursuant to the Third Amended Golden Employment Agreement, Ms. Golden is entitled to receive an annual base salary of $550,000 (increased from $500,000 previously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Second Amended Golden Employment Agreement). Pursuant to the Third Amended Golden Employment Agreement, Ms. Golden received during January 2025, and will be entitled to receive during January 2026, under certain circumstances, a grant of 40,000 shares of restricted stock. The 2025 grant will become vested with respect to one-half of the award on the first anniversary of the grant date and one-half on December 31, 2026. The 2026 grant will become vested on the first anniversary of the grant date. In the event that the Company is precluded from making a grant to Ms. Golden in 2026, she would instead be entitled to a cash bonus of $136,500 for such year. </w:t>
      </w:r>
    </w:p>
    <w:p>
      <w:pPr>
        <w:pStyle w:val="TextBody"/>
        <w:bidi w:val="0"/>
        <w:spacing w:lineRule="auto" w:line="288" w:before="240" w:after="283"/>
        <w:jc w:val="both"/>
        <w:rPr/>
      </w:pPr>
      <w:r>
        <w:rPr>
          <w:rFonts w:ascii="Times New Roman;sans-serif" w:hAnsi="Times New Roman;sans-serif"/>
          <w:b w:val="false"/>
          <w:i/>
          <w:color w:val="000000"/>
          <w:sz w:val="20"/>
        </w:rPr>
        <w:t>Barry Goldstein, formerly Executive Chairman of the Board, President and Chief Executive Officer</w:t>
      </w:r>
      <w:r>
        <w:rPr>
          <w:color w:val="000000"/>
        </w:rPr>
        <w:t xml:space="preserve"> </w:t>
      </w:r>
      <w:r>
        <w:rPr>
          <w:rFonts w:ascii="Times New Roman;sans-serif" w:hAnsi="Times New Roman;sans-serif"/>
          <w:b w:val="false"/>
          <w:color w:val="000000"/>
          <w:sz w:val="20"/>
        </w:rPr>
        <w:t>(retired effective September 10,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Mr. Goldstein's retirement on September 10, 2024, the balance of his previously unvested shares became fully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18 - Earnings (Loss) Per Common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earnings (loss) per common share is computed by dividing net income (loss) by the weighted-average number of shares of Common Stock outstanding. Diluted earnings (loss) per common share reflects, in periods in which it has a dilutive effect, the impact of common shares issuable upon exercise of stock options and warrants as well as non-vested restricted stock awards. The computation of diluted earnings (loss) per common share excludes those options and warrants with an exercise price in excess of the average market price of the Company’s Common Stock during the periods presented. For the year ended December 31, 2024, there were 2,828 options with an exercise price in excess of the average market price of the Company’s Common Stock during the period. For the year ended December 31, 2024, there were no warrants with an exercise price in excess of the average market price of the Company’s Common Stock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diluted earnings (loss) per common share excludes outstanding options, warrants and non-vested restricted stock awards in periods where the exercise of such options and warrants or vesting of such restricted stock awards would be anti-dilutive. For the year ended December 31, 2023, no options, warrants or restricted stock awards were included in the computation of diluted loss per common share as they would have been anti-dilutive for the relevant period and, as a result, the weighted average number of shares of Common Stock used in the calculation of diluted loss per common share has not been adjusted for the effect of such options, warrants and non-vested restricted stock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reconciliation of the weighted average number of shares of Common Stock used in the calculation of basic and diluted earnings (loss) per common share follows: </w:t>
      </w:r>
    </w:p>
    <w:tbl>
      <w:tblPr>
        <w:tblW w:w="7483" w:type="dxa"/>
        <w:jc w:val="left"/>
        <w:tblInd w:w="0" w:type="dxa"/>
        <w:tblLayout w:type="fixed"/>
        <w:tblCellMar>
          <w:top w:w="28" w:type="dxa"/>
          <w:left w:w="28" w:type="dxa"/>
          <w:bottom w:w="28" w:type="dxa"/>
          <w:right w:w="28" w:type="dxa"/>
        </w:tblCellMar>
      </w:tblPr>
      <w:tblGrid>
        <w:gridCol w:w="1673"/>
        <w:gridCol w:w="1471"/>
        <w:gridCol w:w="1475"/>
        <w:gridCol w:w="344"/>
        <w:gridCol w:w="344"/>
        <w:gridCol w:w="348"/>
        <w:gridCol w:w="140"/>
        <w:gridCol w:w="140"/>
        <w:gridCol w:w="140"/>
        <w:gridCol w:w="344"/>
        <w:gridCol w:w="344"/>
        <w:gridCol w:w="348"/>
        <w:gridCol w:w="109"/>
        <w:gridCol w:w="109"/>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9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11,478,899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10,756,487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 common share equivalents: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205,961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554,516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184,393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for computing diluted earnings (loss) per share</w:t>
            </w:r>
          </w:p>
        </w:tc>
        <w:tc>
          <w:tcPr>
            <w:tcW w:w="10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12,423,769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10,756,487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19 - Segment Information</w:t>
      </w:r>
    </w:p>
    <w:p>
      <w:pPr>
        <w:pStyle w:val="TextBody"/>
        <w:bidi w:val="0"/>
        <w:spacing w:before="240" w:after="283"/>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results of its single reportable segment as follows: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operations are evaluated on (i) underwriting results (net premiums earned, ceding commission earned, other income, loss and loss adjustment expenses, commission expense, and other underwriting expenses), equating to the components of the net combined ratio.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from the insurance operation are primarily evaluated on net investment income and its return on equity contribution.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gains (losses) on investments, other operating expenses are corporate expenses, depreciation and amortization, interest expense, and income tax (benefit), which are broken out below the insurance operations components of the net combined ratio to return to the consolidated net income (loss).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allocate items not included in the net combined ratio. Such items include net gains on investments, depreciation and amortization, interest expense, corporate expenses included in other operating expenses, and assets to these segments. The Company does not allocate income taxes to its segments. The Company does not manage those segments on after-tax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reconciles the revenue and expense components of the net combined ratio to consolidated net (income) loss for the periods presented.</w:t>
      </w:r>
    </w:p>
    <w:p>
      <w:pPr>
        <w:pStyle w:val="TextBody"/>
        <w:bidi w:val="0"/>
        <w:spacing w:before="0" w:after="0"/>
        <w:jc w:val="left"/>
        <w:rPr/>
      </w:pPr>
      <w:r>
        <w:rPr/>
      </w:r>
    </w:p>
    <w:tbl>
      <w:tblPr>
        <w:tblW w:w="9546" w:type="dxa"/>
        <w:jc w:val="left"/>
        <w:tblInd w:w="0" w:type="dxa"/>
        <w:tblLayout w:type="fixed"/>
        <w:tblCellMar>
          <w:top w:w="28" w:type="dxa"/>
          <w:left w:w="28" w:type="dxa"/>
          <w:bottom w:w="28" w:type="dxa"/>
          <w:right w:w="28" w:type="dxa"/>
        </w:tblCellMar>
      </w:tblPr>
      <w:tblGrid>
        <w:gridCol w:w="2165"/>
        <w:gridCol w:w="1907"/>
        <w:gridCol w:w="1913"/>
        <w:gridCol w:w="211"/>
        <w:gridCol w:w="1186"/>
        <w:gridCol w:w="109"/>
        <w:gridCol w:w="109"/>
        <w:gridCol w:w="109"/>
        <w:gridCol w:w="109"/>
        <w:gridCol w:w="211"/>
        <w:gridCol w:w="1186"/>
        <w:gridCol w:w="331"/>
      </w:tblGrid>
      <w:tr>
        <w:trPr/>
        <w:tc>
          <w:tcPr>
            <w:tcW w:w="216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and Expense, Operating, Excluded from Net Combined Ratio</w:t>
            </w:r>
          </w:p>
        </w:tc>
        <w:tc>
          <w:tcPr>
            <w:tcW w:w="35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w:t>
              <w:br/>
              <w:t>December 31,</w:t>
            </w:r>
          </w:p>
        </w:tc>
      </w:tr>
      <w:tr>
        <w:trPr/>
        <w:tc>
          <w:tcPr>
            <w:tcW w:w="5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 xml:space="preserve">Revenue components of net combined ratio </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Net premiums earned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Ceding commission revenue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Other income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Total revenue components of net combined ratio </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136,038,750 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 xml:space="preserve">Expense components of net combined ratio </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Loss and loss adjustment expenses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Commission expense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33,364,629 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Other underwriting expenses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25,909,962 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Total expense components of net combined ratio </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122,256,776 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142,123,801 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Operating segment net income (loss)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(6,085,051)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Reconciliation of net income (loss) components </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excluded from net combined ratio: </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 xml:space="preserve">Revenue components excluded from net combined ratio </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Net investment income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6,008,682 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Net gains on investments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2,134,554 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Other income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8,728 </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Total revenue components excluded </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from net combined ratio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8,151,964 </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 xml:space="preserve">Expense components excluded from net combined ratio </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Other operating expenses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2,456,473 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Depreciation and amortization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2,973,440 </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Interest expense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4,002,531 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Income tax (benefit)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(1,197,185)</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Total expense components excluded </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from net combined ratio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8,235,259 </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Total net loss components </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excluded from net combined ratio: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(83,295)</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Consolidated net income (loss)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18,358,436 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(6,168,346)</w:t>
            </w:r>
          </w:p>
        </w:tc>
        <w:tc>
          <w:tcPr>
            <w:tcW w:w="3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calculation of the net combined ratio and return on equity from net investment income for the periods presented.</w:t>
      </w:r>
    </w:p>
    <w:tbl>
      <w:tblPr>
        <w:tblW w:w="8729" w:type="dxa"/>
        <w:jc w:val="left"/>
        <w:tblInd w:w="0" w:type="dxa"/>
        <w:tblLayout w:type="fixed"/>
        <w:tblCellMar>
          <w:top w:w="28" w:type="dxa"/>
          <w:left w:w="28" w:type="dxa"/>
          <w:bottom w:w="28" w:type="dxa"/>
          <w:right w:w="28" w:type="dxa"/>
        </w:tblCellMar>
      </w:tblPr>
      <w:tblGrid>
        <w:gridCol w:w="1697"/>
        <w:gridCol w:w="1493"/>
        <w:gridCol w:w="1504"/>
        <w:gridCol w:w="211"/>
        <w:gridCol w:w="1186"/>
        <w:gridCol w:w="271"/>
        <w:gridCol w:w="109"/>
        <w:gridCol w:w="109"/>
        <w:gridCol w:w="109"/>
        <w:gridCol w:w="211"/>
        <w:gridCol w:w="1186"/>
        <w:gridCol w:w="271"/>
        <w:gridCol w:w="109"/>
        <w:gridCol w:w="109"/>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6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combined ratio</w:t>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ratio</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underwriting expense ratio:</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 and other</w:t>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59,622,060 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59,274,591 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Ceding commission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income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commission expense and other</w:t>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37,620,104 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Underwriting Expense Ratio</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Return on equity on net investment income</w:t>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34,504,139 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36,169,432 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66,708,451 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34,504,139 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50,606,295 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35,336,786 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equity on net investment income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equity on net investment income - annualized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372,661,348 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317,633,210 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20 - Subsequent Events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events that occurred subsequent to December 31, 2024 through March 18, 2025, the date these consolidated financial statements were issued, for matters that required disclosure or adjustment in these consolidated financial statements.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Reinsurance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the Company entered into a new quota share reinsurance treaty for its personal lines business and a new underlying excess of loss treaty (see Note 7 – Reinsurance).</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2025, the Company initiated an offering period of January 1, 2025 through December 31, 2025 under the ESPP. See Note 12 - Stockholders' Equity.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7, 2025, the Company filed a prospectus supplement increasing the aggregate offering price for the ATM program to $25,000,000 from approximately $16,400,000. See Note 12 - Stockholders' Equity.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Sale of Real Estate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is $3,600,000. The closing of the sale is anticipated to take place in March 2025, subject to the satisfaction of the conditions to the closing. See Note 10 - Fixed Assets.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2024 Notes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28, 2025, the Company made an optional prepayment of $3,500,000 and on February 24, 2025 paid the final principal balance of $2,450,000, and, accordingly, has fully satisfied all of its obligations under the 2024 Notes. Each prepayment of principal also included accrued and unpaid interest thereon. See Note 9 - Debt, 2024 Notes.</w:t>
      </w:r>
    </w:p>
    <w:p>
      <w:pPr>
        <w:pStyle w:val="TextBody"/>
        <w:bidi w:val="0"/>
        <w:spacing w:lineRule="auto" w:line="276"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Commitments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2025, KICO entered into a lease agreement for an office facility located in Kingston, New York under an operating lease. The lease shall commence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proportionate share of taxes, common area maintenance costs and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76" w:before="0" w:after="0"/>
        <w:jc w:val="left"/>
        <w:rPr/>
      </w:pPr>
      <w:hyperlink w:anchor="ia1d559869f3348e89eea93a7b3c6d447_7">
        <w:r>
          <w:rPr>
            <w:rStyle w:val="InternetLink"/>
            <w:rFonts w:ascii="Times New Roman;sans-serif" w:hAnsi="Times New Roman;sans-serif"/>
            <w:b w:val="false"/>
            <w:i/>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KINGSTONE COMPANIES,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2024 AND 2023</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Note 21 – Quarterly Financial Data (Unaudited)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unaudited quarterly results of operations for the years ended December 31, 2024 and 2023:</w:t>
      </w:r>
    </w:p>
    <w:tbl>
      <w:tblPr>
        <w:tblW w:w="10205" w:type="dxa"/>
        <w:jc w:val="left"/>
        <w:tblInd w:w="0" w:type="dxa"/>
        <w:tblLayout w:type="fixed"/>
        <w:tblCellMar>
          <w:top w:w="28" w:type="dxa"/>
          <w:left w:w="28" w:type="dxa"/>
          <w:bottom w:w="28" w:type="dxa"/>
          <w:right w:w="28" w:type="dxa"/>
        </w:tblCellMar>
      </w:tblPr>
      <w:tblGrid>
        <w:gridCol w:w="652"/>
        <w:gridCol w:w="379"/>
        <w:gridCol w:w="382"/>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186"/>
        <w:gridCol w:w="109"/>
        <w:gridCol w:w="109"/>
        <w:gridCol w:w="109"/>
        <w:gridCol w:w="156"/>
      </w:tblGrid>
      <w:tr>
        <w:trPr/>
        <w:tc>
          <w:tcPr>
            <w:tcW w:w="6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41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June 30,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 and</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2"/>
        <w:gridCol w:w="379"/>
        <w:gridCol w:w="382"/>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186"/>
        <w:gridCol w:w="109"/>
        <w:gridCol w:w="109"/>
        <w:gridCol w:w="109"/>
        <w:gridCol w:w="156"/>
      </w:tblGrid>
      <w:tr>
        <w:trPr/>
        <w:tc>
          <w:tcPr>
            <w:tcW w:w="6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418"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June 30,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expense and</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changes in number of shares outstanding from quarter to quarter, the total earnings per share of the four quarters may not necessarily equal the total earnings per share for the year.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DESCRIPTION OF SECURITIES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REGISTERED UNDER SECTION 12 OF THE SECURITIES EXCHANGE ACT OF 1934</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As of March 12, 2025, Kingstone Companies, Inc. (“we,” “us,” and “our”) had one class of securities registered under Section 12 of the Securities Act of 1934, as amended: our common stock, $0.01 par value per share (the “common stock”).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following summary of our capital stock does not purport to be complete and is subject to, and is qualified in its entirety by reference to, the applicable provisions of Delaware law, our Restated Certificate of Incorporation, as amended (the “charter”), and our Bylaws, as amended (the “bylaws”), copies of which are incorporated by reference into our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Authorization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authorized capital stock consists of 22,500,000 shares of capital stock. We are authorized to issue 20,000,000 shares of common stock and 2,500,000 shares of preferred stock, par value $0.01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March 12, 2025, there were 13,730,802 shares of common stock issued and outstanding and no shares of preferred stock issued and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4"/>
        </w:rPr>
        <w:t>Dividend Rights. </w:t>
      </w:r>
      <w:r>
        <w:rPr>
          <w:rFonts w:ascii="Times New Roman;sans-serif" w:hAnsi="Times New Roman;sans-serif"/>
          <w:b w:val="false"/>
          <w:color w:val="000000"/>
          <w:sz w:val="24"/>
        </w:rPr>
        <w:t>Subject to preferences that may be applicable to any shares of our preferred stock that may be issued, the holders of our common stock are entitled to share ratably in such dividends as may be declared by our Board of Directors out of funds legally available therefor.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Delaware corporation, we may not declare and pay dividends on our capital stock if the amount paid exceeds an amount equal to the surplus which represents the excess of our net assets over paid-in capital or, if there is no surplus, our net earnings for the current and/or immediately preceding fiscal year. Dividends cannot be paid from our net profits unless the paid-in capital represented by the issued and outstanding stock having a preference upon the distribution of our assets at the market value is intact. Under applicable Delaware case law, dividends may not be paid on our capital stock if we are then insolvent or the payment of the dividend will render us insolvent. To the extent we pay dividends and we are deemed to be insolvent or inadequately capitalized, a bankruptcy court could direct the return of any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ability to pay cash dividends to our shareholders is also primarily dependent upon the cash dividends received from our subsidiary, Kingstone Insurance Company.</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val="false"/>
          <w:i/>
          <w:color w:val="000000"/>
          <w:sz w:val="24"/>
        </w:rPr>
        <w:t>Voting Rights. </w:t>
      </w:r>
      <w:r>
        <w:rPr>
          <w:rFonts w:ascii="Times New Roman;sans-serif" w:hAnsi="Times New Roman;sans-serif"/>
          <w:b w:val="false"/>
          <w:color w:val="000000"/>
          <w:sz w:val="24"/>
        </w:rPr>
        <w:t xml:space="preserve">Each share of our common stock entitles its holder to one vote in the election of directors as well as all other matters to be voted on by shareholders. Holders of our common stock are entitled to cumulate their votes in the election of directors. This means that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2100"/>
                <wp:effectExtent l="0" t="0" r="0" b="0"/>
                <wp:wrapNone/>
                <wp:docPr id="140" name="Frame1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each shareholder has the right to cumulate his votes and give to one or more nominees as many votes as equals the number of directors to be elected multiplied by the number of shares he is entitled to vote. A shareholder may therefore cast his votes for one nominee or distribute them among two or more of the nominees.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i/>
          <w:color w:val="000000"/>
          <w:sz w:val="24"/>
        </w:rPr>
        <w:t>No Preemptive Rights. </w:t>
      </w:r>
      <w:r>
        <w:rPr>
          <w:rFonts w:ascii="Times New Roman;sans-serif" w:hAnsi="Times New Roman;sans-serif"/>
          <w:b w:val="false"/>
          <w:color w:val="000000"/>
          <w:sz w:val="24"/>
        </w:rPr>
        <w:t>Holders of our common stock do not have any preemptive rights to subscribe for additional shares on a pro rata basis or otherwise when additional shares are offered for sale by us.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i/>
          <w:color w:val="000000"/>
          <w:sz w:val="24"/>
        </w:rPr>
        <w:t>Liquidation Rights. </w:t>
      </w:r>
      <w:r>
        <w:rPr>
          <w:rFonts w:ascii="Times New Roman;sans-serif" w:hAnsi="Times New Roman;sans-serif"/>
          <w:b w:val="false"/>
          <w:color w:val="000000"/>
          <w:sz w:val="24"/>
        </w:rPr>
        <w:t>Subject to preferences that may be applicable to any shares of our preferred stock that may be issued, in the event of our liquidation, dissolution or winding up, the holders of our common stock would be entitled to receive, pro rata, after payment of all of our debts and liabilities, all of our remaining assets available for distribution.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i/>
          <w:color w:val="000000"/>
          <w:sz w:val="24"/>
        </w:rPr>
        <w:t>Other Rights</w:t>
      </w:r>
      <w:r>
        <w:rPr>
          <w:rFonts w:ascii="Times New Roman;sans-serif" w:hAnsi="Times New Roman;sans-serif"/>
          <w:b w:val="false"/>
          <w:color w:val="000000"/>
          <w:sz w:val="24"/>
        </w:rPr>
        <w:t>. Holders of our common stock have no preferences or conversion or exchange rights. Shares of our common stock will not be liable for further calls or assessments by us and are not subject to redemption.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color w:val="000000"/>
          <w:sz w:val="24"/>
        </w:rPr>
        <w:t>Certain Provisions Having Potential Anti-Takeover Effects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46"/>
        <w:jc w:val="both"/>
        <w:rPr/>
      </w:pPr>
      <w:r>
        <w:rPr>
          <w:rFonts w:ascii="Times New Roman;sans-serif" w:hAnsi="Times New Roman;sans-serif"/>
          <w:b w:val="false"/>
          <w:i/>
          <w:color w:val="000000"/>
          <w:sz w:val="24"/>
        </w:rPr>
        <w:t xml:space="preserve">General. </w:t>
      </w:r>
      <w:r>
        <w:rPr>
          <w:rFonts w:ascii="Times New Roman;sans-serif" w:hAnsi="Times New Roman;sans-serif"/>
          <w:b w:val="false"/>
          <w:color w:val="000000"/>
          <w:sz w:val="24"/>
        </w:rPr>
        <w:t>The following is a summary of the material provisions of the General Corporation Law of the State of Delaware, which we refer to as the DGCL, and our charter and bylaws that address matters of corporate governance and the rights of shareholders. Certain of these provisions may delay or prevent takeover attempts not first approved by our Board of Directors (including takeovers which certain shareholders may deem to be in their best interests). These provisions also could delay or frustrate the removal of incumbent directors or the assumption of control by shareholders. The primary purpose of these provisions is to encourage negotiations with our management by persons interested in acquiring control of our company. All references to the charter and bylaws are to our charter and bylaws in effect on the date of the filing of this Exhibit 4.1.</w:t>
      </w:r>
    </w:p>
    <w:p>
      <w:pPr>
        <w:pStyle w:val="TextBody"/>
        <w:bidi w:val="0"/>
        <w:spacing w:before="0" w:after="0"/>
        <w:ind w:left="0" w:right="0" w:firstLine="446"/>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4"/>
        </w:rPr>
        <w:t>Filling Vacancies.</w:t>
      </w:r>
      <w:r>
        <w:rPr>
          <w:color w:val="000000"/>
        </w:rPr>
        <w:t xml:space="preserve"> </w:t>
      </w:r>
      <w:r>
        <w:rPr>
          <w:rFonts w:ascii="Times New Roman;sans-serif" w:hAnsi="Times New Roman;sans-serif"/>
          <w:b w:val="false"/>
          <w:color w:val="000000"/>
          <w:sz w:val="24"/>
        </w:rPr>
        <w:t>Vacancies occurring in our Board of Directors and newly created directorships resulting from an increase in the authorized number of directors may be filled by a majority of the remaining directors, even if less than a quorum.</w:t>
      </w:r>
    </w:p>
    <w:p>
      <w:pPr>
        <w:pStyle w:val="TextBody"/>
        <w:bidi w:val="0"/>
        <w:spacing w:before="0" w:after="0"/>
        <w:ind w:left="0" w:right="0" w:firstLine="446"/>
        <w:jc w:val="left"/>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4"/>
        </w:rPr>
        <w:t>Amendment of Bylaws.</w:t>
      </w:r>
      <w:r>
        <w:rPr>
          <w:color w:val="000000"/>
        </w:rPr>
        <w:t xml:space="preserve"> </w:t>
      </w:r>
      <w:r>
        <w:rPr>
          <w:rFonts w:ascii="Times New Roman;sans-serif" w:hAnsi="Times New Roman;sans-serif"/>
          <w:b w:val="false"/>
          <w:color w:val="000000"/>
          <w:sz w:val="24"/>
        </w:rPr>
        <w:t>Subject to certain restrictions described below, either our Board of Directors or our shareholders may amend or repeal our bylaws.</w:t>
      </w:r>
    </w:p>
    <w:p>
      <w:pPr>
        <w:pStyle w:val="TextBody"/>
        <w:bidi w:val="0"/>
        <w:spacing w:before="0" w:after="0"/>
        <w:ind w:left="0" w:right="0" w:firstLine="446"/>
        <w:jc w:val="left"/>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4"/>
        </w:rPr>
        <w:t>Special Meetings of Shareholders.</w:t>
      </w:r>
      <w:r>
        <w:rPr>
          <w:color w:val="000000"/>
        </w:rPr>
        <w:t xml:space="preserve"> </w:t>
      </w:r>
      <w:r>
        <w:rPr>
          <w:rFonts w:ascii="Times New Roman;sans-serif" w:hAnsi="Times New Roman;sans-serif"/>
          <w:b w:val="false"/>
          <w:color w:val="000000"/>
          <w:sz w:val="24"/>
        </w:rPr>
        <w:t>Our bylaws provide that special meetings of shareholders may be called only by a majority of our Board of Directors.</w:t>
      </w:r>
    </w:p>
    <w:p>
      <w:pPr>
        <w:pStyle w:val="TextBody"/>
        <w:bidi w:val="0"/>
        <w:spacing w:before="0" w:after="0"/>
        <w:ind w:left="0" w:right="0" w:firstLine="446"/>
        <w:jc w:val="left"/>
        <w:rPr/>
      </w:pPr>
      <w:r>
        <w:rPr/>
      </w:r>
    </w:p>
    <w:p>
      <w:pPr>
        <w:pStyle w:val="TextBody"/>
        <w:bidi w:val="0"/>
        <w:spacing w:lineRule="auto" w:line="288"/>
        <w:ind w:left="0" w:right="0" w:firstLine="450"/>
        <w:jc w:val="both"/>
        <w:rPr/>
      </w:pPr>
      <w:r>
        <w:rPr>
          <w:rFonts w:ascii="Times New Roman;sans-serif" w:hAnsi="Times New Roman;sans-serif"/>
          <w:b w:val="false"/>
          <w:i/>
          <w:color w:val="000000"/>
          <w:sz w:val="24"/>
        </w:rPr>
        <w:t xml:space="preserve">Authorized But Unissued Shares. </w:t>
      </w:r>
      <w:r>
        <w:rPr>
          <w:rFonts w:ascii="Times New Roman;sans-serif" w:hAnsi="Times New Roman;sans-serif"/>
          <w:b w:val="false"/>
          <w:color w:val="000000"/>
          <w:sz w:val="24"/>
        </w:rPr>
        <w:t xml:space="preserve">Delaware law does not require shareholder approval for any issuance of authorized shares. Authorized but unissued shares may be used for a variety of corporate purposes, including future public or private offerings to raise additional capital or to facilitate corporate acquisitions. One of the effects of the existence of authorized but unissued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02285"/>
                <wp:effectExtent l="0" t="0" r="0" b="0"/>
                <wp:wrapNone/>
                <wp:docPr id="141" name="Frame14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shares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shareholders of opportunities to sell their shares of common stock at prices higher than prevailing market prices.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4"/>
        </w:rPr>
        <w:t>Preferred Stock</w:t>
      </w:r>
      <w:r>
        <w:rPr>
          <w:rFonts w:ascii="Times New Roman;sans-serif" w:hAnsi="Times New Roman;sans-serif"/>
          <w:b w:val="false"/>
          <w:color w:val="000000"/>
          <w:sz w:val="24"/>
        </w:rPr>
        <w:t>. Under the terms of our charter, our Board of Directors is authorized to issue shares of preferred stock in one or more series without shareholder approval. Our Board of Directors has the discretion to determine the rights, preferences, privileges and restrictions, including voting rights, dividend rights, conversion rights, redemption privileges and liquidation preferences, of each series of preferred stock. The purpose of authorizing our Board of Directors to issue preferred stock and determine its rights and preferences is to provide flexibility and eliminate delays associated with a shareholder vote on specific issues. However, the ability of our Board of Directors to issue preferred stock and determine its rights and preferences may have the effect of delaying or preventing a change in control.</w:t>
      </w:r>
    </w:p>
    <w:p>
      <w:pPr>
        <w:pStyle w:val="TextBody"/>
        <w:bidi w:val="0"/>
        <w:spacing w:before="0" w:after="0"/>
        <w:ind w:left="0" w:right="0" w:firstLine="446"/>
        <w:jc w:val="left"/>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4"/>
        </w:rPr>
        <w:t>Advance Notification of Shareholder Nominations and Proposals</w:t>
      </w:r>
      <w:r>
        <w:rPr>
          <w:rFonts w:ascii="Times New Roman;sans-serif" w:hAnsi="Times New Roman;sans-serif"/>
          <w:b w:val="false"/>
          <w:color w:val="000000"/>
          <w:sz w:val="24"/>
        </w:rPr>
        <w:t>. Our bylaws establish advance notice procedures with respect to the nomination of persons for election as directors, other than nominations made by or at the direction of our Board of Directors, and shareholder proposals for business.</w:t>
      </w:r>
    </w:p>
    <w:p>
      <w:pPr>
        <w:pStyle w:val="TextBody"/>
        <w:bidi w:val="0"/>
        <w:spacing w:before="0" w:after="0"/>
        <w:ind w:left="0" w:right="0" w:firstLine="446"/>
        <w:jc w:val="left"/>
        <w:rPr/>
      </w:pPr>
      <w:r>
        <w:rPr/>
      </w:r>
    </w:p>
    <w:p>
      <w:pPr>
        <w:pStyle w:val="TextBody"/>
        <w:bidi w:val="0"/>
        <w:spacing w:lineRule="auto" w:line="288" w:before="0" w:after="0"/>
        <w:ind w:left="0" w:right="0" w:firstLine="450"/>
        <w:jc w:val="both"/>
        <w:rPr/>
      </w:pPr>
      <w:r>
        <w:rPr>
          <w:color w:val="000000"/>
        </w:rPr>
        <w:t> </w:t>
      </w:r>
      <w:r>
        <w:rPr>
          <w:rFonts w:ascii="Times New Roman;sans-serif" w:hAnsi="Times New Roman;sans-serif"/>
          <w:b w:val="false"/>
          <w:i/>
          <w:color w:val="000000"/>
          <w:sz w:val="24"/>
        </w:rPr>
        <w:t>Shareholder Nominees.    </w:t>
      </w:r>
      <w:r>
        <w:rPr>
          <w:rFonts w:ascii="Times New Roman;sans-serif" w:hAnsi="Times New Roman;sans-serif"/>
          <w:b w:val="false"/>
          <w:color w:val="000000"/>
          <w:sz w:val="24"/>
        </w:rPr>
        <w:t>In order for a shareholder to nominate a candidate for director, under our bylaws, timely notice of the nomination must be received by us in advance of the meeting.  To be timely, the notice must be received at our principal executive offices not less than 60 days nor more than 90 days prior to the meeting; however, if less than 70 days’ notice of the date of the meeting is given to shareholders and public disclosure of the meeting date, pursuant to a press release, is either not made at all or is made less than 70 days prior to the meeting date, notice by a shareholder to be timely made must be so received no later than the close of business on the tenth day following the earlier of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day on which the notice of the date of the meeting was made available to shareholders,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day on which such public disclosure of the meeting date was made.</w:t>
      </w:r>
    </w:p>
    <w:p>
      <w:pPr>
        <w:pStyle w:val="TextBody"/>
        <w:bidi w:val="0"/>
        <w:spacing w:before="0" w:after="0"/>
        <w:jc w:val="both"/>
        <w:rPr/>
      </w:pPr>
      <w:r>
        <w:rPr/>
      </w:r>
    </w:p>
    <w:p>
      <w:pPr>
        <w:pStyle w:val="TextBody"/>
        <w:bidi w:val="0"/>
        <w:spacing w:lineRule="auto" w:line="288" w:before="0" w:after="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The shareholder sending the notice of nomination must describe various matters, including such information as: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name, age, business and residence addresses, occupation or employment and shares held by the nominee;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any other information relating to such nominee required to be disclosed in a proxy statement;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name, address and number of shares held by the shareholder.</w:t>
      </w:r>
    </w:p>
    <w:p>
      <w:pPr>
        <w:pStyle w:val="TextBody"/>
        <w:bidi w:val="0"/>
        <w:spacing w:before="0" w:after="0"/>
        <w:jc w:val="both"/>
        <w:rPr/>
      </w:pPr>
      <w:r>
        <w:rPr/>
      </w:r>
    </w:p>
    <w:p>
      <w:pPr>
        <w:pStyle w:val="TextBody"/>
        <w:bidi w:val="0"/>
        <w:spacing w:lineRule="auto" w:line="288"/>
        <w:ind w:left="0" w:right="0" w:firstLine="450"/>
        <w:jc w:val="both"/>
        <w:rPr/>
      </w:pPr>
      <w:r>
        <w:rPr>
          <w:rFonts w:ascii="Times New Roman;sans-serif" w:hAnsi="Times New Roman;sans-serif"/>
          <w:b w:val="false"/>
          <w:i/>
          <w:color w:val="000000"/>
          <w:sz w:val="24"/>
        </w:rPr>
        <w:t>Shareholder Proposals.   </w:t>
      </w:r>
      <w:r>
        <w:rPr>
          <w:rFonts w:ascii="Times New Roman;sans-serif" w:hAnsi="Times New Roman;sans-serif"/>
          <w:b w:val="false"/>
          <w:color w:val="000000"/>
          <w:sz w:val="24"/>
        </w:rPr>
        <w:t xml:space="preserve">In order for a shareholder to make a proposal at an annual meeting of shareholders, under our bylaws, timely notice must be received by us in advance of the meeting. To be timely, the proposal must be received by our Secretary at our principal executive offices on a date which is not less than 60 days nor more than 90 days prior to the date which is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02285"/>
                <wp:effectExtent l="0" t="0" r="0" b="0"/>
                <wp:wrapNone/>
                <wp:docPr id="142" name="Frame14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one year from the date of the mailing of the notice regarding the availability of proxy materials for the prior year’s annual meeting of shareholders. If during the prior year we did not hold an annual meeting, or if the date of the meeting for which a shareholder intends to submit a proposal has changed more than 30 days from the date of the meeting in the prior year, then the notice must be received a reasonable time before we mail the notice regarding the availability of proxy materials for the current year. A shareholder’s notice must set forth as to each matter the shareholder proposes to bring before the annual meeting certain information regarding the proposal, including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 brief description of the business desired to be brought before the meeting and the reasons for conducting such business at such meeting;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name and address of the shareholder proposing such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class and number of our shares which are beneficially owned by such shareholder;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any material interest of such shareholder in such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4"/>
        </w:rPr>
        <w:t>Statutory and other Restrictions on Acquisition of our Capital Stock.   </w:t>
      </w:r>
      <w:r>
        <w:rPr>
          <w:rFonts w:ascii="Times New Roman;sans-serif" w:hAnsi="Times New Roman;sans-serif"/>
          <w:b w:val="false"/>
          <w:color w:val="000000"/>
          <w:sz w:val="24"/>
        </w:rPr>
        <w:t>We are subject to Section 203 of the DGCL, which, subject to certain exceptions, prohibits a Delaware corporation from engaging in any business combination with an interested shareholder, unless: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prior to the time of the proposed action, the Board of Directors of the corporation approved either the business combination or the transaction that resulted in the shareholder becoming an interested shareholder;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upon completion of the transaction that resulted in the shareholder becoming an interested shareholder, the interested shareholder owned at least 85% of the voting stock of the corporation outstanding at the time the transaction commenced, excluding for purposes of determining the number of shares outstanding those shares owned (i) by persons who are directors and also officers and (ii)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at or subsequent to the time of the proposed action, the business combination is approved by the Board of Directors and authorized at an annual or special meeting of shareholders, and not by written consent, by the affirmative vote of at least two-thirds of the outstanding voting stock that is not owned by the interested shareholder.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These provisions are intended to enhance the likelihood of continuity and stability in the composition of the board and in policies formulated by the board and to discourage certain types of transactions that may involve an actual or threatened change of control of our company. These provisions are designed to reduce our vulnerability to an unsolicited proposal for a takeover that does not contemplate the acquisition of all of our outstanding shares or an unsolicited proposal for the restructuring or sale of all or part of our company.</w:t>
      </w:r>
    </w:p>
    <w:p>
      <w:pPr>
        <w:pStyle w:val="TextBody"/>
        <w:bidi w:val="0"/>
        <w:spacing w:lineRule="auto" w:line="288" w:before="0" w:after="0"/>
        <w:ind w:left="0" w:right="0" w:firstLine="450"/>
        <w:jc w:val="both"/>
        <w:rPr>
          <w:color w:val="000000"/>
        </w:rPr>
      </w:pPr>
      <w:r>
        <w:rPr>
          <w:color w:val="000000"/>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02285"/>
                <wp:effectExtent l="0" t="0" r="0" b="0"/>
                <wp:wrapNone/>
                <wp:docPr id="143" name="Frame14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8514164.2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FLOYD R. TUPPER</w:t>
      </w:r>
      <w:r>
        <w:rPr>
          <w:color w:val="000000"/>
        </w:rPr>
        <w:t xml:space="preserve">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 non-employee member of the Board of Directors of the Company;</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three thousand four hundred eighty-nine (3,489) shares of Common Stock (the “Shares”), such Shares being issuable on the Vesting Date (as hereinafter defined) set forth in, and subject to the provisions of, Section 3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xml:space="preserve">. (a) The Shares shall vest on January 2, 2026 (the “Vesting Date”) provided that the Grantee continues to serve as a member of the Board of 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 </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44"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8463104.1</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the Vesting Date.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2735"/>
                <wp:effectExtent l="0" t="0" r="0" b="0"/>
                <wp:wrapNone/>
                <wp:docPr id="145" name="Frame144"/>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8463104.1</w:t>
                      </w:r>
                    </w:p>
                  </w:txbxContent>
                </v:textbox>
                <w10:wrap type="none"/>
              </v:rect>
            </w:pict>
          </mc:Fallback>
        </mc:AlternateContent>
      </w:r>
    </w:p>
    <w:p>
      <w:pPr>
        <w:pStyle w:val="TextBody"/>
        <w:bidi w:val="0"/>
        <w:spacing w:lineRule="auto" w:line="288" w:before="0" w:after="36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S. Golden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ans-serif" w:hAnsi="Times New Roman;sans-serif"/>
          <w:b w:val="false"/>
          <w:color w:val="000000"/>
          <w:sz w:val="24"/>
          <w:u w:val="single"/>
        </w:rPr>
        <w:t>Floyd R. Tupper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of Grantee</w:t>
      </w:r>
    </w:p>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146" name="Frame14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8463104.1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CARLA D’ANDRE</w:t>
      </w:r>
      <w:r>
        <w:rPr>
          <w:color w:val="000000"/>
        </w:rPr>
        <w:t xml:space="preserve">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 non-employee member of the Board of Directors of the Company;</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three thousand four hundred eighty-nine (3,489) shares of Common Stock (the “Shares”), such Shares being issuable on the Vesting Date (as hereinafter defined) set forth in, and subject to the provisions of, Section 3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xml:space="preserve">. (a) The Shares shall vest on January 2, 2026 (the “Vesting Date”) provided that the Grantee continues to serve as a member of the Board of 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 </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47"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8463114.1</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the Vesting Date.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2735"/>
                <wp:effectExtent l="0" t="0" r="0" b="0"/>
                <wp:wrapNone/>
                <wp:docPr id="148" name="Frame147"/>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8463114.1</w:t>
                      </w:r>
                    </w:p>
                  </w:txbxContent>
                </v:textbox>
                <w10:wrap type="none"/>
              </v:rect>
            </w:pict>
          </mc:Fallback>
        </mc:AlternateContent>
      </w:r>
    </w:p>
    <w:p>
      <w:pPr>
        <w:pStyle w:val="TextBody"/>
        <w:bidi w:val="0"/>
        <w:spacing w:lineRule="auto" w:line="288" w:before="0" w:after="36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S. Golden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ans-serif" w:hAnsi="Times New Roman;sans-serif"/>
          <w:b w:val="false"/>
          <w:color w:val="000000"/>
          <w:sz w:val="24"/>
          <w:u w:val="single"/>
        </w:rPr>
        <w:t>Carla D’Andre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of Grantee</w:t>
      </w:r>
    </w:p>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2100"/>
                <wp:effectExtent l="0" t="0" r="0" b="0"/>
                <wp:wrapNone/>
                <wp:docPr id="149" name="Frame14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8463114.1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WILLIAM L. YANKUS</w:t>
      </w:r>
      <w:r>
        <w:rPr>
          <w:color w:val="000000"/>
        </w:rPr>
        <w:t xml:space="preserve">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 non-employee member of the Board of Directors of the Company;</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three thousand four hundred eighty-nine (3,489) shares of Common Stock (the “Shares”), such Shares being issuable on the Vesting Date (as hereinafter defined) set forth in, and subject to the provisions of, Section 3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xml:space="preserve">. (a) The Shares shall vest on January 2, 2026 (the “Vesting Date”) provided that the Grantee continues to serve as a member of the Board of 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 </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0" name="Frame1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8463121.1</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the Vesting Date.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2735"/>
                <wp:effectExtent l="0" t="0" r="0" b="0"/>
                <wp:wrapNone/>
                <wp:docPr id="151" name="Frame150"/>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8463121.1</w:t>
                      </w:r>
                    </w:p>
                  </w:txbxContent>
                </v:textbox>
                <w10:wrap type="none"/>
              </v:rect>
            </w:pict>
          </mc:Fallback>
        </mc:AlternateContent>
      </w:r>
    </w:p>
    <w:p>
      <w:pPr>
        <w:pStyle w:val="TextBody"/>
        <w:bidi w:val="0"/>
        <w:spacing w:lineRule="auto" w:line="288" w:before="0" w:after="36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S. Golden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ans-serif" w:hAnsi="Times New Roman;sans-serif"/>
          <w:b w:val="false"/>
          <w:color w:val="000000"/>
          <w:sz w:val="24"/>
          <w:u w:val="single"/>
        </w:rPr>
        <w:t>William L. Yankus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of Grantee</w:t>
      </w:r>
    </w:p>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2100"/>
                <wp:effectExtent l="0" t="0" r="0" b="0"/>
                <wp:wrapNone/>
                <wp:docPr id="152" name="Frame1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8463121.1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TIMOTHY P. MCFADDEN</w:t>
      </w:r>
      <w:r>
        <w:rPr>
          <w:color w:val="000000"/>
        </w:rPr>
        <w:t xml:space="preserve">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 non-employee member of the Board of Directors of the Company;</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three thousand four hundred eighty-nine (3,489) shares of Common Stock (the “Shares”), such Shares being issuable on the Vesting Date (as hereinafter defined) set forth in, and subject to the provisions of, Section 3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xml:space="preserve">. (a) The Shares shall vest on January 2, 2026 (the “Vesting Date”) provided that the Grantee continues to serve as a member of the Board of 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 </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3"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8463127.1</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the Vesting Date.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2735"/>
                <wp:effectExtent l="0" t="0" r="0" b="0"/>
                <wp:wrapNone/>
                <wp:docPr id="154" name="Frame153"/>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8463127.1</w:t>
                      </w:r>
                    </w:p>
                  </w:txbxContent>
                </v:textbox>
                <w10:wrap type="none"/>
              </v:rect>
            </w:pict>
          </mc:Fallback>
        </mc:AlternateContent>
      </w:r>
    </w:p>
    <w:p>
      <w:pPr>
        <w:pStyle w:val="TextBody"/>
        <w:bidi w:val="0"/>
        <w:spacing w:lineRule="auto" w:line="288" w:before="0" w:after="36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S. Golden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ans-serif" w:hAnsi="Times New Roman;sans-serif"/>
          <w:b w:val="false"/>
          <w:color w:val="000000"/>
          <w:sz w:val="24"/>
          <w:u w:val="single"/>
        </w:rPr>
        <w:t>Timothy P. McFadden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of Grantee</w:t>
      </w:r>
    </w:p>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2100"/>
                <wp:effectExtent l="0" t="0" r="0" b="0"/>
                <wp:wrapNone/>
                <wp:docPr id="155" name="Frame1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8463127.1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 xml:space="preserve">MERYL S. GOLDEN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an employee of the Company or a subsidiary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and the Grantee are parties to a Third Amended and Restated Employment Agreement dated as of April 15, 2024 (the “Employment Agreement”);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pursuant to the Employment Agreement, the Compensation and Finance Committee of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or the Employment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forty thousand (40,000) shares of Common Stock (the “Shares”), such Shares being issuable on the Vesting Dates (as hereinafter defined) set forth in, and subject to the provisions of, Section 3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(a) The Shares shall vest on the Vesting Dates set forth below, provided that the Grantee continues to serve as an employee of the Company or a subsidiary thereof as of the applicable Vesting Date (or sooner as provided for in paragraph (c) hereof), subject to the provisions of the Plan:</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(i)twenty thousand (20,000) of the Shares on the first anniversary of the date hereof (the “First Vesting Date”);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(ii)twenty thousand (20,000) of the Shares on December 31, 2026 (the “Second Vesting Date”); each of the First Vesting Date and the Second Vesting Date is referred to hereinafter as a “Vesting Date”. </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Subject to the provisions of the Plan, in the event that the Grantee does not continue to serve as an employee of the Company or a subsidiary thereof as of a particular Vesting Date as a result of the termination of the Grantee’s employment for Cause or the Grantee’s resignation (other than for Good Reason), the Grantee shall not be entitled to receive any of the Shares issuable on such Vesting Date, and this Agreement shall terminate and be of no further force or effect.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the event that, prior to a particular Vesting Date (i) the Grantee’s employment with the Company is terminated other than for Cause or (ii) the Grantee resigns her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56" name="Frame1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with the Company for Good Reason, the Shares that were scheduled to vest on such Vesting Date shall instead vest on the date of termination of employment or the date of resignation of employment, as the case may be (the “Termination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In the event that the Shares vest on a particular Vesting Date or the Termination Date, as the case may be, the certificate representing the portion of the Shares then vested shall be issued by the Company as soon as reasonably practicable thereafter.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a particular Vesting Date or the Termination Date,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Company, 15 Joys Lane, Kingston, New York 12401, Attention: Chief Financial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xml:space="preserve">. The provisions of this Stock Grant Agreement shall be interpreted in a reasonable manner to give effect to the intent of the parties hereto. The headings and captions under sections and paragraphs of this Stock Grant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2735"/>
                <wp:effectExtent l="0" t="0" r="0" b="0"/>
                <wp:wrapNone/>
                <wp:docPr id="157" name="Frame156"/>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are for convenience of reference only and do not in any way modify, interpret or construe the intent of the parties or affect any of the provisions of this Stock Grant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 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2735"/>
                <wp:effectExtent l="0" t="0" r="0" b="0"/>
                <wp:wrapNone/>
                <wp:docPr id="158" name="Frame157"/>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v:textbox>
                <w10:wrap type="none"/>
              </v:rect>
            </w:pict>
          </mc:Fallback>
        </mc:AlternateContent>
      </w:r>
    </w:p>
    <w:p>
      <w:pPr>
        <w:pStyle w:val="TextBody"/>
        <w:bidi w:val="0"/>
        <w:spacing w:lineRule="auto" w:line="288" w:before="0" w:after="36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Victor Brodsky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Accounting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Meryl S. Golden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Address of Grantee</w:t>
      </w:r>
    </w:p>
    <w:p>
      <w:pPr>
        <w:pStyle w:val="TextBody"/>
        <w:bidi w:val="0"/>
        <w:spacing w:lineRule="auto" w:line="288" w:before="0" w:after="0"/>
        <w:jc w:val="left"/>
        <w:rPr>
          <w:color w:val="000000"/>
        </w:rPr>
      </w:pPr>
      <w:r>
        <w:rPr>
          <w:color w:val="000000"/>
        </w:rPr>
        <w:t>                            </w:t>
      </w:r>
    </w:p>
    <w:p>
      <w:pPr>
        <w:pStyle w:val="TextBody"/>
        <w:bidi w:val="0"/>
        <w:spacing w:before="0" w:after="3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467360"/>
                <wp:effectExtent l="0" t="0" r="0" b="0"/>
                <wp:wrapNone/>
                <wp:docPr id="159" name="Frame158"/>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8462655.1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 xml:space="preserve">THOMAS NEWGARDEN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 non-employee member of the Board of Directors of the Company;</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three thousand four hundred eighty-nine (3,489) shares of Common Stock (the “Shares”), such Shares being issuable on the Vesting Date (as hereinafter defined) set forth in, and subject to the provisions of, Section 3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xml:space="preserve">. (a) The Shares shall vest on January 2, 2026 (the “Vesting Date”) provided that the Grantee continues to serve as a member of the Board of 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 </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0"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8463100.1</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the Vesting Date.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2735"/>
                <wp:effectExtent l="0" t="0" r="0" b="0"/>
                <wp:wrapNone/>
                <wp:docPr id="161" name="Frame160"/>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8463100.1</w:t>
                      </w:r>
                    </w:p>
                  </w:txbxContent>
                </v:textbox>
                <w10:wrap type="none"/>
              </v:rect>
            </w:pict>
          </mc:Fallback>
        </mc:AlternateContent>
      </w:r>
    </w:p>
    <w:p>
      <w:pPr>
        <w:pStyle w:val="TextBody"/>
        <w:bidi w:val="0"/>
        <w:spacing w:lineRule="auto" w:line="288" w:before="0" w:after="36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S. Golden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ans-serif" w:hAnsi="Times New Roman;sans-serif"/>
          <w:b w:val="false"/>
          <w:color w:val="000000"/>
          <w:sz w:val="24"/>
          <w:u w:val="single"/>
        </w:rPr>
        <w:t>Thomas Newgarden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of Grantee</w:t>
      </w:r>
    </w:p>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2100"/>
                <wp:effectExtent l="0" t="0" r="0" b="0"/>
                <wp:wrapNone/>
                <wp:docPr id="162" name="Frame1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8463100.1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 xml:space="preserve">day of January,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 xml:space="preserve">MANMOHAN SINGH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 non-employee member of the Board of Directors of the Company;</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three thousand four hundred eighty-nine (3,489) shares of Common Stock (the “Shares”), such Shares being issuable on the Vesting Date (as hereinafter defined) set forth in, and subject to the provisions of, Section 3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xml:space="preserve">. (a) The Shares shall vest on January 2, 2026 (the “Vesting Date”) provided that the Grantee continues to serve as a member of the Board of 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 </w: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3"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8463095.1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8463095.1</w:t>
                      </w:r>
                    </w:p>
                  </w:txbxContent>
                </v:textbox>
                <w10:wrap type="none"/>
              </v:rect>
            </w:pict>
          </mc:Fallback>
        </mc:AlternateContent>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the Vesting Date.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2735"/>
                <wp:effectExtent l="0" t="0" r="0" b="0"/>
                <wp:wrapNone/>
                <wp:docPr id="164" name="Frame163"/>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8463095.1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8463095.1</w:t>
                      </w:r>
                    </w:p>
                  </w:txbxContent>
                </v:textbox>
                <w10:wrap type="none"/>
              </v:rect>
            </w:pict>
          </mc:Fallback>
        </mc:AlternateContent>
      </w:r>
    </w:p>
    <w:p>
      <w:pPr>
        <w:pStyle w:val="TextBody"/>
        <w:bidi w:val="0"/>
        <w:spacing w:lineRule="auto" w:line="288" w:before="0" w:after="36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S. Golden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ans-serif" w:hAnsi="Times New Roman;sans-serif"/>
          <w:b w:val="false"/>
          <w:color w:val="000000"/>
          <w:sz w:val="24"/>
          <w:u w:val="single"/>
        </w:rPr>
        <w:t>Manmohan Singh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______________________________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of Grantee</w:t>
      </w:r>
    </w:p>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92100"/>
                <wp:effectExtent l="0" t="0" r="0" b="0"/>
                <wp:wrapNone/>
                <wp:docPr id="165" name="Frame1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8463095.1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8463095.1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 xml:space="preserve">day of March,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 xml:space="preserve">SARAH CHEN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an employee of the Company or a subsidiary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Compensation Committee of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ten thousand nine hundred thirty-five (10,935) shares of Common Stock (the “Shares”), such Shares being issuable on the Vesting Dates (as hereinafter defined) set forth in, and subject to the provisions of, Section 3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(a) The Shares shall vest on the Vesting Dates set forth below, provided that the Grantee continues to serve as an employee of the Company or a subsidiary thereof as of the applicable Vesting Date (subject to the provisions of the Plan):</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(i)Three thousand six hundred forty-five (3,645) of the Shares on the date of grant (the “First Vesting Date”);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(ii)Three thousand six hundred forty-five (3,645) of the Shares on March 3, 2026 (the “Second Vesting Date”); and</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(iii)Three thousand six hundred forty-five (3,645) of the Shares on March 3, 2027 (the “Third Vesting Date”); each of the First Vesting Date, the Second Vesting Date and the Third Vesting Date is referred to hereinafter as a “Vesting Date”).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Shares vest on a Vesting Date, the certificate representing the portion of the Shares then vested shall be issued by the Company as soon as reasonably practicable thereafter. Subject to the provisions of the Plan, in the event that the Grantee does not continue to serve as an employee of the Company or a subsidiary thereof as of a Vesting Date for any reason, the Grantee shall not be entitled to receive any of the Shares issuable on such Vesting Date, and this Agreement shall terminate and be of no further force or effect.</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6840"/>
                <wp:effectExtent l="0" t="0" r="0" b="0"/>
                <wp:wrapNone/>
                <wp:docPr id="166"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8496211.1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8496211.1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a particular Vesting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ind w:left="0" w:right="0" w:firstLine="72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2735"/>
                <wp:effectExtent l="0" t="0" r="0" b="0"/>
                <wp:wrapNone/>
                <wp:docPr id="167" name="Frame166"/>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8496211.1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8496211.1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36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Golden,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Sarah Chen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Address of Grantee</w:t>
      </w:r>
    </w:p>
    <w:p>
      <w:pPr>
        <w:pStyle w:val="TextBody"/>
        <w:bidi w:val="0"/>
        <w:spacing w:lineRule="auto" w:line="288" w:before="0" w:after="0"/>
        <w:jc w:val="left"/>
        <w:rPr>
          <w:color w:val="000000"/>
        </w:rPr>
      </w:pPr>
      <w:r>
        <w:rPr>
          <w:color w:val="000000"/>
        </w:rPr>
        <w:t>                            </w:t>
      </w:r>
    </w:p>
    <w:p>
      <w:pPr>
        <w:pStyle w:val="TextBody"/>
        <w:bidi w:val="0"/>
        <w:spacing w:before="0" w:after="3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6840"/>
                <wp:effectExtent l="0" t="0" r="0" b="0"/>
                <wp:wrapNone/>
                <wp:docPr id="168" name="Frame1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8496211.1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8496211.1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STOCK GRANT AGREEMENT </w:t>
      </w:r>
      <w:r>
        <w:rPr>
          <w:rFonts w:ascii="Times New Roman;sans-serif" w:hAnsi="Times New Roman;sans-serif"/>
          <w:b w:val="false"/>
          <w:color w:val="000000"/>
          <w:sz w:val="24"/>
        </w:rPr>
        <w:t>made as of the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 xml:space="preserve">day of March, 2025 between </w:t>
      </w:r>
      <w:r>
        <w:rPr>
          <w:rFonts w:ascii="Times New Roman;sans-serif" w:hAnsi="Times New Roman;sans-serif"/>
          <w:b/>
          <w:color w:val="000000"/>
          <w:sz w:val="24"/>
        </w:rPr>
        <w:t>KINGSTONE COMPANIES, INC.</w:t>
      </w:r>
      <w:r>
        <w:rPr>
          <w:rFonts w:ascii="Times New Roman;sans-serif" w:hAnsi="Times New Roman;sans-serif"/>
          <w:b w:val="false"/>
          <w:color w:val="000000"/>
          <w:sz w:val="24"/>
        </w:rPr>
        <w:t xml:space="preserve">, a Delaware corporation (the “Company”), and </w:t>
      </w:r>
      <w:r>
        <w:rPr>
          <w:rFonts w:ascii="Times New Roman;sans-serif" w:hAnsi="Times New Roman;sans-serif"/>
          <w:b/>
          <w:color w:val="000000"/>
          <w:sz w:val="24"/>
        </w:rPr>
        <w:t xml:space="preserve">JENNIFER GRAVELLE </w:t>
      </w:r>
      <w:r>
        <w:rPr>
          <w:rFonts w:ascii="Times New Roman;sans-serif" w:hAnsi="Times New Roman;sans-serif"/>
          <w:b w:val="false"/>
          <w:color w:val="000000"/>
          <w:sz w:val="24"/>
        </w:rPr>
        <w:t xml:space="preserve">(the “Grantee”).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Grantee is an employee of the Company or a subsidiary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Compensation Committee of the Board of Directors of the Company has approved the grant to the Grantee of common stock of the Company (“Common Stock”) pursuant to the Company’s 2024 Equity Participation Plan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the Company hereby grants to the Grantee an award of shares of Common Stock upon the following terms and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DEFINED TERMS</w:t>
      </w:r>
      <w:r>
        <w:rPr>
          <w:rFonts w:ascii="Times New Roman;sans-serif" w:hAnsi="Times New Roman;sans-serif"/>
          <w:b w:val="false"/>
          <w:color w:val="000000"/>
          <w:sz w:val="24"/>
        </w:rPr>
        <w:t xml:space="preserve">. All terms used, but not otherwise defined, herein shall have the meanings ascribed to them in the Plan.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w:t>
      </w:r>
      <w:r>
        <w:rPr>
          <w:rFonts w:ascii="Times New Roman;sans-serif" w:hAnsi="Times New Roman;sans-serif"/>
          <w:b w:val="false"/>
          <w:color w:val="000000"/>
          <w:sz w:val="24"/>
        </w:rPr>
        <w:t>. Subject to the terms and conditions of the Plan and the provisions hereof, the Company hereby agrees to grant to the Grantee, pursuant to Section 14 of the Plan, an award of eight thousand seven hundred eighty-seven (8,787) shares of Common Stock (the “Shares”), such Shares being issuable on the Vesting Dates (as hereinafter defined) set forth in, and subject to the provisions of, Section 3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 OF SHARES</w:t>
      </w:r>
      <w:r>
        <w:rPr>
          <w:rFonts w:ascii="Times New Roman;sans-serif" w:hAnsi="Times New Roman;sans-serif"/>
          <w:b w:val="false"/>
          <w:color w:val="000000"/>
          <w:sz w:val="24"/>
        </w:rPr>
        <w:t>. (a) The Shares shall vest on the Vesting Dates set forth below, provided that the Grantee continues to serve as an employee of the Company or a subsidiary thereof as of the applicable Vesting Date (subject to the provisions of the Plan):</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(i)Two thousand nine hundred twenty-nine (2,929) of the Shares on the date of grant (the “First Vesting Date”);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(ii)Two thousand nine hundred twenty-nine (2,929) of the Shares on March 3, 2026 (the “Second Vesting Date”); and</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(iii)Two thousand nine hundred twenty-nine (2,929) of the Shares on March 3, 2027 (the “Third Vesting Date”); each of the First Vesting Date, the Second Vesting Date and the Third Vesting Date is referred to hereinafter as a “Vesting Date”). </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Shares vest on a Vesting Date, the certificate representing the portion of the Shares then vested shall be issued by the Company as soon as reasonably practicable thereafter. Subject to the provisions of the Plan, in the event that the Grantee does not continue to serve as an employee of the Company or a subsidiary thereof as of a Vesting Date for any reason, the Grantee shall not be entitled to receive any of the Shares issuable on such Vesting Date, and this Agreement shall terminate and be of no further force or effect.</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69" name="Frame1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8494426.1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8494426.1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number of Shares issuable to the Grantee is subject to adjustment for any stock splits, reverse stock splits and other recapitalizations that take effect prior to a particular Vesting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INCORPORATION BY REFERENCE</w:t>
      </w:r>
      <w:r>
        <w:rPr>
          <w:rFonts w:ascii="Times New Roman;sans-serif" w:hAnsi="Times New Roman;sans-serif"/>
          <w:b w:val="false"/>
          <w:color w:val="000000"/>
          <w:sz w:val="24"/>
        </w:rPr>
        <w:t xml:space="preserve">. The terms and conditions of the Plan are hereby incorporated by reference and made a part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NOTICES</w:t>
      </w:r>
      <w:r>
        <w:rPr>
          <w:rFonts w:ascii="Times New Roman;sans-serif" w:hAnsi="Times New Roman;sans-serif"/>
          <w:b w:val="false"/>
          <w:color w:val="000000"/>
          <w:sz w:val="24"/>
        </w:rPr>
        <w:t>. Any notice or other communication given hereunder shall be deemed sufficient if in writing and hand delivered or sent by registered or 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BINDING EFFECT</w:t>
      </w:r>
      <w:r>
        <w:rPr>
          <w:rFonts w:ascii="Times New Roman;sans-serif" w:hAnsi="Times New Roman;sans-serif"/>
          <w:b w:val="false"/>
          <w:color w:val="000000"/>
          <w:sz w:val="24"/>
        </w:rPr>
        <w:t>. This Stock Grant Agreement shall be binding upon and inure to the benefit of the parties hereto and their respective legal representatives, successors and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This Stock Grant Agreement shall be governed by, and construed in accordance with, the laws of the State of Delaware, excluding choice of law rules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EXECUTION IN COUNTERPARTS</w:t>
      </w:r>
      <w:r>
        <w:rPr>
          <w:rFonts w:ascii="Times New Roman;sans-serif" w:hAnsi="Times New Roman;sans-serif"/>
          <w:b w:val="false"/>
          <w:color w:val="000000"/>
          <w:sz w:val="24"/>
        </w:rPr>
        <w:t>. This Stock Grant Agreement may be executed in counterparts, each of which shall be deemed to be an original, but both of which together shall constitute one and the same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FACSIMILE SIGNATURES</w:t>
      </w:r>
      <w:r>
        <w:rPr>
          <w:rFonts w:ascii="Times New Roman;sans-serif" w:hAnsi="Times New Roman;sans-serif"/>
          <w:b w:val="false"/>
          <w:color w:val="000000"/>
          <w:sz w:val="24"/>
        </w:rPr>
        <w:t>. Signatures hereon which are transmitted via facsimile, or other electronic image, shall be deemed original signatures.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INTERPRETATION; HEADINGS</w:t>
      </w:r>
      <w:r>
        <w:rPr>
          <w:rFonts w:ascii="Times New Roman;sans-serif" w:hAnsi="Times New Roman;sans-serif"/>
          <w:b w:val="false"/>
          <w:color w:val="000000"/>
          <w:sz w:val="24"/>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bidi w:val="0"/>
        <w:spacing w:lineRule="auto" w:line="288" w:before="0" w:after="0"/>
        <w:ind w:left="0" w:right="0" w:firstLine="72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Remainder of page intentionally left blank; 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2735"/>
                <wp:effectExtent l="0" t="0" r="0" b="0"/>
                <wp:wrapNone/>
                <wp:docPr id="170" name="Frame169"/>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8494426.1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8494426.1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36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Stock Grant Agreement as of the day and year first above written.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Meryl Golden,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of Grantee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Jennifer Gravelle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of Grantee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Address of Grantee</w:t>
      </w:r>
    </w:p>
    <w:p>
      <w:pPr>
        <w:pStyle w:val="TextBody"/>
        <w:bidi w:val="0"/>
        <w:spacing w:lineRule="auto" w:line="288" w:before="0" w:after="0"/>
        <w:jc w:val="left"/>
        <w:rPr>
          <w:color w:val="000000"/>
        </w:rPr>
      </w:pPr>
      <w:r>
        <w:rPr>
          <w:color w:val="000000"/>
        </w:rPr>
        <w:t>                            </w:t>
      </w:r>
    </w:p>
    <w:p>
      <w:pPr>
        <w:pStyle w:val="TextBody"/>
        <w:bidi w:val="0"/>
        <w:spacing w:before="0" w:after="360"/>
        <w:jc w:val="both"/>
        <w:rPr/>
      </w:pPr>
      <w:r>
        <w:rPr/>
      </w:r>
    </w:p>
    <w:p>
      <w:pPr>
        <w:pStyle w:val="TextBody"/>
        <w:bidi w:val="0"/>
        <w:spacing w:before="0" w:after="283"/>
        <w:jc w:val="left"/>
        <w:rPr/>
      </w:pPr>
      <w:r>
        <w:rPr/>
      </w:r>
    </w:p>
    <w:p>
      <w:pPr>
        <w:pStyle w:val="TextBody"/>
        <w:bidi w:val="0"/>
        <w:spacing w:before="0" w:after="0"/>
        <w:jc w:val="center"/>
        <w:rPr/>
      </w:pPr>
      <w:bookmarkStart w:id="1" w:name="a10s2025bonusstructurere.htm"/>
      <w:bookmarkStart w:id="2" w:name="ksa10s2025bonusstructurere"/>
      <w:bookmarkEnd w:id="1"/>
      <w:bookmarkEnd w:id="2"/>
      <w:r>
        <w:rPr/>
        <w:drawing>
          <wp:inline distT="0" distB="0" distL="0" distR="0">
            <wp:extent cx="9753600" cy="5486400"/>
            <wp:effectExtent l="0" t="0" r="0" b="0"/>
            <wp:docPr id="1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6840"/>
                <wp:effectExtent l="0" t="0" r="0" b="0"/>
                <wp:wrapNone/>
                <wp:docPr id="172" name="Frame1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8494426.1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8494426.1</w:t>
                      </w:r>
                    </w:p>
                  </w:txbxContent>
                </v:textbox>
                <w10:wrap type="none"/>
              </v:rect>
            </w:pict>
          </mc:Fallback>
        </mc:AlternateContent>
      </w:r>
    </w:p>
    <w:p>
      <w:pPr>
        <w:pStyle w:val="TextBody"/>
        <w:bidi w:val="0"/>
        <w:jc w:val="center"/>
        <w:rPr>
          <w:color w:val="FFFFFF"/>
          <w:sz w:val="2"/>
        </w:rPr>
      </w:pPr>
      <w:r>
        <w:rPr>
          <w:color w:val="FFFFFF"/>
          <w:sz w:val="2"/>
        </w:rPr>
        <w:t xml:space="preserve">Kingstone 2025 Bonus Structure 1 Note: Certain information in this exhibit has been redacted as indicated with ***) pursuant to Item 601(b)(10)(iv) of Regulation S-K because it is both not material and is the type of information that the registrant treats as private or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3"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Bonus Matrix 2 • The bonus pool cash is up to 7.5% of the company’s underwriting profit. If we achieve the plan, the bonus pool is 5% of the company’s underwriting profit. • 2025 plan is based on profitability and premium growth • If plan is achieved, the pool is estimated to be $XK***.. If maximum pool is achieved, the total cost is estimated to be $XM.*** • The SLT also gets a restricted stock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Bonus Matrix 3 Bonus Formula=Salary X Target X Bonus Matrix Factor Growth (DWP)*** More Profit Plan Less Profit Even Less No Profit More Growth 1.50 1.15 1.00 0.85 0.00 Plan 1.30 1.00 0.85 0.70 0.00 Less Growth 1.00 0.85 0.70 0.55 0.00 Net Combined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Restricted Stock &gt;=1.15 1.0-1.15 &lt;1.0 1.00 0.50 0.00 Formula: Restricted Stock = (SLT Employee Bonus $ X RS Factor)/Closing Stock Price Vesting: Over 3 years, 1/3 upon grant, 1/3 in 2026 and 1/3 in 2027 SLT Only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Adopted on May 10, 2024</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2024 EQUITY PARTICIPATION PLAN</w:t>
      </w:r>
    </w:p>
    <w:p>
      <w:pPr>
        <w:pStyle w:val="TextBody"/>
        <w:bidi w:val="0"/>
        <w:spacing w:before="0" w:after="0"/>
        <w:ind w:left="0" w:right="0" w:firstLine="720"/>
        <w:jc w:val="left"/>
        <w:rPr/>
      </w:pPr>
      <w:r>
        <w:rPr/>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Purpose</w:t>
      </w:r>
      <w:r>
        <w:rPr>
          <w:rFonts w:ascii="Times New Roman;sans-serif" w:hAnsi="Times New Roman;sans-serif"/>
          <w:b w:val="false"/>
          <w:color w:val="000000"/>
          <w:sz w:val="24"/>
        </w:rPr>
        <w:t>. The Kingstone Companies, Inc. 2024 Equity Participation Plan (the “Plan”) is intended to advance the interests of the Company by inducing individuals or entities of outstanding ability and potential to join and remain with, or provide consulting or advisory services to, the Company or a parent or subsidiary of the Company, by encouraging and enabling eligible employees, non-employee directors, consultants and advisors to acquire proprietary interests in the Company, and by providing the participating employees, non-employee directors, consultants and advisors with an additional incentive to promote the success of the Company. This is accomplished by providing for the granting of Incentive Stock Options, Nonstatutory Stock Options, Stock Appreciation Rights, and Stock Bonuses, as such terms are defined in Section 2 hereof, to employees, non-employee directors, consultants and advisors. As used herein, the term “parent” or “subsidiary” shall mean any present or future entity which is or would be a “parent corporation” or “subsidiary corporation” of the Company as the term is defined in Section 424 of the Code (as hereinafter defined) (determined as if the Company were the employer corporation).</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xml:space="preserve">. Capitalized terms not otherwise defined in the Plan shall have the following meanings: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rPr>
        <w:t>Award Agreement”</w:t>
      </w:r>
      <w:r>
        <w:rPr>
          <w:color w:val="000000"/>
        </w:rPr>
        <w:t xml:space="preserve"> </w:t>
      </w:r>
      <w:r>
        <w:rPr>
          <w:rFonts w:ascii="Times New Roman;sans-serif" w:hAnsi="Times New Roman;sans-serif"/>
          <w:b w:val="false"/>
          <w:color w:val="000000"/>
          <w:sz w:val="24"/>
        </w:rPr>
        <w:t>shall mean a written agreement, as amended, in such form as the Committee shall determine, that evidences the terms and conditions of a Stock Award granted under the Plan</w:t>
      </w:r>
      <w:r>
        <w:rPr>
          <w:rFonts w:ascii="Times New Roman;sans-serif" w:hAnsi="Times New Roman;sans-serif"/>
          <w:b w:val="false"/>
          <w:i/>
          <w:color w:val="000000"/>
          <w:sz w:val="24"/>
        </w:rPr>
        <w:t>.</w:t>
      </w:r>
      <w:r>
        <w:rPr>
          <w:color w:val="000000"/>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rPr>
        <w:t>Board” shall mean the Board of Directors of the Company.</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rPr>
        <w:t>Code”</w:t>
      </w:r>
      <w:r>
        <w:rPr>
          <w:color w:val="000000"/>
        </w:rPr>
        <w:t xml:space="preserve"> </w:t>
      </w:r>
      <w:r>
        <w:rPr>
          <w:rFonts w:ascii="Times New Roman;sans-serif" w:hAnsi="Times New Roman;sans-serif"/>
          <w:b w:val="false"/>
          <w:color w:val="000000"/>
          <w:sz w:val="24"/>
        </w:rPr>
        <w:t xml:space="preserve">shall mean the Internal Revenue Code of 1986, as amended.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rPr>
        <w:t>Committee” shall mean a committee or subcommittee of the Board to whom authority has been granted by the Board to make determinations with regard to the Plan, which committee or subcommittee shall consist of at least two persons, each of whom is intended to be an “outside independent director” to the extent required by the rules and regulations of any established stock exchange or a national market system, including, without limitation, The Nasdaq Stock Market (“Nasdaq”).</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rPr>
        <w:t>Common Stock” shall mean the common stock, $.01 par value, of the Company.</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rPr>
        <w:t>Exchange Act” shall mean the Securities Exchange Act of 1934, as amended.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color w:val="000000"/>
          <w:sz w:val="24"/>
        </w:rPr>
        <w:t>Fair Market Value”</w:t>
      </w:r>
      <w:r>
        <w:rPr>
          <w:color w:val="000000"/>
        </w:rPr>
        <w:t xml:space="preserve"> </w:t>
      </w:r>
      <w:r>
        <w:rPr>
          <w:rFonts w:ascii="Times New Roman;sans-serif" w:hAnsi="Times New Roman;sans-serif"/>
          <w:b w:val="false"/>
          <w:color w:val="000000"/>
          <w:sz w:val="24"/>
        </w:rPr>
        <w:t xml:space="preserve">on a specified date means the value of a share of Common Stock, determined as follows: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176" name="Frame1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if the Common Stock is listed on any established stock exchange or a national market system, including, without limitation, Nasdaq, its Fair Market Value shall be the closing sales price for such stock (or the closing bid, if no sales were reported) as quoted on such exchange or system on the day immediately preceding the day of determination (or, if the determination is made after the close of business for trading, then on the day of determination) as reported in The Wall Street Journal or such other source as the Committee deems reliable; </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the Common Stock is regularly quoted by a recognized securities dealer but selling prices are not reported, its Fair Market Value shall be the mean between the high bid and low asked prices for the Common Stock on the day immediately preceding the day of determination (or, if the determination is made after the close of business for trading, then on the day of determination), as reported in The Wall Street Journal or such other source as the Committee deems reliable; or </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in the absence of an established market for the Common Stock, the Fair Market Value shall be determined in good faith by the Committee under a method that complies with Code Sections 422 and 409A, if applicable.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rPr>
        <w:t>Incentive Stock Option”</w:t>
      </w:r>
      <w:r>
        <w:rPr>
          <w:color w:val="000000"/>
        </w:rPr>
        <w:t xml:space="preserve"> </w:t>
      </w:r>
      <w:r>
        <w:rPr>
          <w:rFonts w:ascii="Times New Roman;sans-serif" w:hAnsi="Times New Roman;sans-serif"/>
          <w:b w:val="false"/>
          <w:color w:val="000000"/>
          <w:sz w:val="24"/>
        </w:rPr>
        <w:t xml:space="preserve">shall mean an Option that is an “incentive stock option” within the meaning of Section 422 of the Code and that is identified as an Incentive Stock Option in the Award Agreement by which it is evidenced.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rPr>
        <w:t>Nonstatutory Stock Option”</w:t>
      </w:r>
      <w:r>
        <w:rPr>
          <w:color w:val="000000"/>
        </w:rPr>
        <w:t xml:space="preserve"> </w:t>
      </w:r>
      <w:r>
        <w:rPr>
          <w:rFonts w:ascii="Times New Roman;sans-serif" w:hAnsi="Times New Roman;sans-serif"/>
          <w:b w:val="false"/>
          <w:color w:val="000000"/>
          <w:sz w:val="24"/>
        </w:rPr>
        <w:t xml:space="preserve">shall mean an Option that is not an Incentive Stock Option within the meaning of Section 422 of the Code.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rPr>
        <w:t>Option” shall mean an Incentive Stock Option or a Nonstatutory Stock Option.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(k)</w:t>
      </w:r>
      <w:r>
        <w:rPr>
          <w:color w:val="000000"/>
        </w:rPr>
        <w:t xml:space="preserve"> “</w:t>
      </w:r>
      <w:r>
        <w:rPr>
          <w:rFonts w:ascii="Times New Roman;sans-serif" w:hAnsi="Times New Roman;sans-serif"/>
          <w:b w:val="false"/>
          <w:color w:val="000000"/>
          <w:sz w:val="24"/>
        </w:rPr>
        <w:t>Section 409A of the Code” means the nonqualified deferred compensation rules under Section 409A of the Code and any applicable Treasury regulations thereunder.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val="false"/>
          <w:color w:val="000000"/>
          <w:sz w:val="24"/>
        </w:rPr>
        <w:t>Securities Act” shall mean the Securities Act of 1933, as amended.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rPr>
        <w:t>Stock Appreciation Right” or “SAR”</w:t>
      </w:r>
      <w:r>
        <w:rPr>
          <w:color w:val="000000"/>
        </w:rPr>
        <w:t xml:space="preserve"> </w:t>
      </w:r>
      <w:r>
        <w:rPr>
          <w:rFonts w:ascii="Times New Roman;sans-serif" w:hAnsi="Times New Roman;sans-serif"/>
          <w:b w:val="false"/>
          <w:color w:val="000000"/>
          <w:sz w:val="24"/>
        </w:rPr>
        <w:t xml:space="preserve">shall mean a right to receive payment of the appreciated value of shares of Common Stock as provided for in Section 9 hereof.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val="false"/>
          <w:color w:val="000000"/>
          <w:sz w:val="24"/>
        </w:rPr>
        <w:t>Stock Award”</w:t>
      </w:r>
      <w:r>
        <w:rPr>
          <w:color w:val="000000"/>
        </w:rPr>
        <w:t xml:space="preserve"> </w:t>
      </w:r>
      <w:r>
        <w:rPr>
          <w:rFonts w:ascii="Times New Roman;sans-serif" w:hAnsi="Times New Roman;sans-serif"/>
          <w:b w:val="false"/>
          <w:color w:val="000000"/>
          <w:sz w:val="24"/>
        </w:rPr>
        <w:t xml:space="preserve">shall mean an Incentive Stock Option, a Nonstatutory Stock Option, a Stock Appreciation Right or a Stock Bonus award.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val="false"/>
          <w:color w:val="000000"/>
          <w:sz w:val="24"/>
        </w:rPr>
        <w:t>Stock Bonus”</w:t>
      </w:r>
      <w:r>
        <w:rPr>
          <w:color w:val="000000"/>
        </w:rPr>
        <w:t xml:space="preserve"> </w:t>
      </w:r>
      <w:r>
        <w:rPr>
          <w:rFonts w:ascii="Times New Roman;sans-serif" w:hAnsi="Times New Roman;sans-serif"/>
          <w:b w:val="false"/>
          <w:color w:val="000000"/>
          <w:sz w:val="24"/>
        </w:rPr>
        <w:t xml:space="preserve">shall mean a bonus award payable in shares of Common Stock as provided for in Section 14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02285"/>
                <wp:effectExtent l="0" t="0" r="0" b="0"/>
                <wp:wrapNone/>
                <wp:docPr id="177" name="Frame17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Administration</w:t>
      </w:r>
      <w:r>
        <w:rPr>
          <w:rFonts w:ascii="Times New Roman;sans-serif" w:hAnsi="Times New Roman;sans-serif"/>
          <w:b w:val="false"/>
          <w:color w:val="000000"/>
          <w:sz w:val="24"/>
        </w:rPr>
        <w:t>. The Plan shall be administered by the Board or the Committee. All references in the Plan to the “Committee” shall be deemed to refer to the “Board” if no committee is established for the purpose of making determinations with respect to the Plan. Except as herein specifically provided, the interpretation and construction by the Committee of any provision of the Plan or of any Stock Award granted under it shall be final and conclusive. The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 The receipt of a Stock Award by any members of the Committee shall not preclude their vote on any matters in connection with the administration or interpretation of the Plan.</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Shares Subject to the Plan</w:t>
      </w:r>
      <w:r>
        <w:rPr>
          <w:rFonts w:ascii="Times New Roman;sans-serif" w:hAnsi="Times New Roman;sans-serif"/>
          <w:b w:val="false"/>
          <w:color w:val="000000"/>
          <w:sz w:val="24"/>
        </w:rPr>
        <w:t>. The shares subject to Stock Awards granted under the Plan shall be the Common Stock, whether authorized but unissued or held in the Company’s treasury, or shares purchased from stockholders expressly for use under the Plan. The maximum number of shares of Common Stock which may be issued pursuant to Stock Awards granted under the Plan shall not exceed in the aggregate one million (1,000,000) shares. The Company shall at all times while the Plan is in force reserve such number of shares of Common Stock as will be sufficient to satisfy the requirements of all outstanding Stock Awards granted under the Plan. In the event any Option or SAR granted under the Plan shall expire or terminate for any reason without having been exercised in full or shall cease for any reason to be exercisable in whole or in part, the unpurchased shares subject thereto shall again be available for Stock Awards under the Plan. In the event the right to receive any Stock Bonus is terminated for any reason, the shares forfeited shall again be available for Stock Awards under the Plan. In the event shares of Common Stock are delivered to, or withheld by, the Company pursuant to Section 12(b) or 29 hereof, such delivered or withheld shares shall be considered to have been issued pursuant to the Plan and shall not be available for Stock Awards under the Plan.</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Participation</w:t>
      </w:r>
      <w:r>
        <w:rPr>
          <w:rFonts w:ascii="Times New Roman;sans-serif" w:hAnsi="Times New Roman;sans-serif"/>
          <w:b w:val="false"/>
          <w:color w:val="000000"/>
          <w:sz w:val="24"/>
        </w:rPr>
        <w:t xml:space="preserve">. The class of individuals and entities that shall be eligible to receive Stock Awards (“Grantees”) under the Plan shall be (a) with respect to Incentive Stock Options, all employees of either the Company or any parent or subsidiary of the Company, and (b) with respect to all other Stock Awards, all employees and non-employee directors of, and consultants and advisors to, either the Company or any parent or subsidiary of the Company; provided, however, no Stock Award shall be granted to any such consultant or advisor unless (i) the consultant or advisor is a natural person (or an entity wholly-owned, directly or indirectly, by a natural person), (ii) </w:t>
      </w:r>
      <w:r>
        <w:rPr>
          <w:rFonts w:ascii="Times New Roman;sans-serif" w:hAnsi="Times New Roman;sans-serif"/>
          <w:b w:val="false"/>
          <w:color w:val="000000"/>
          <w:sz w:val="24"/>
          <w:u w:val="single"/>
        </w:rPr>
        <w:t>bona</w:t>
      </w:r>
      <w:r>
        <w:rPr>
          <w:color w:val="000000"/>
        </w:rPr>
        <w:t xml:space="preserve"> </w:t>
      </w:r>
      <w:r>
        <w:rPr>
          <w:rFonts w:ascii="Times New Roman;sans-serif" w:hAnsi="Times New Roman;sans-serif"/>
          <w:b w:val="false"/>
          <w:color w:val="000000"/>
          <w:sz w:val="24"/>
          <w:u w:val="single"/>
        </w:rPr>
        <w:t>fide</w:t>
      </w:r>
      <w:r>
        <w:rPr>
          <w:color w:val="000000"/>
        </w:rPr>
        <w:t xml:space="preserve"> </w:t>
      </w:r>
      <w:r>
        <w:rPr>
          <w:rFonts w:ascii="Times New Roman;sans-serif" w:hAnsi="Times New Roman;sans-serif"/>
          <w:b w:val="false"/>
          <w:color w:val="000000"/>
          <w:sz w:val="24"/>
        </w:rPr>
        <w:t xml:space="preserve">services have been or are to be rendered by such consultant or advisor and (iii) such services are not in connection with the offer or sale of securities in a capital raising transaction and do not directly or indirectly promote or maintain a market for the Company’s securities. The Committee, in its sole discretion, but subject to the provisions of the Plan, shall determine the employees and non-employee directors of, and the consultants and advisors to, the Company and its parents and subsidiaries to whom Stock Awards shall be granted, and the number of shares to be covered by each Stock Award grant, taking into account the nature of the employment or services rendered by the individuals or entities being considered, their annual compensation, their present and potential contributions to the success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02285"/>
                <wp:effectExtent l="0" t="0" r="0" b="0"/>
                <wp:wrapNone/>
                <wp:docPr id="178" name="Frame17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and such other factors as the Committee may deem relevant. For purposes hereof, a non-employee to whom an offer of employment has been extended shall be considered an employee, provided that the Stock Award granted to such individual shall not be exercisable or vest, in whole or in part, for a period of at least one year from the date of grant and, in the event the individual does not commence employment with the Company, the Stock Award granted shall be considered null and void.</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Award Agreement</w:t>
      </w:r>
      <w:r>
        <w:rPr>
          <w:rFonts w:ascii="Times New Roman;sans-serif" w:hAnsi="Times New Roman;sans-serif"/>
          <w:b w:val="false"/>
          <w:color w:val="000000"/>
          <w:sz w:val="24"/>
        </w:rPr>
        <w:t>. Each Stock Award granted under the Plan shall be authorized by the Committee and shall be evidenced by an Award Agreement which shall be executed by the Company and, in the discretion of the Committee, by the individual or entity to whom such Stock Award is granted. The Award Agreement shall specify the number of shares of Common Stock as to which the Stock Award is granted, the period during which any Option or SAR is exercisable and the option or base price per share thereof, the vesting periods for any Stock Bonus, any performance-based vesting criteria (the “Performance Goals”) and such other terms and provisions as the Committee may deem necessary or appropriate; provided, however, that, no more than one-third of any Stock Award may vest before the first anniversary of the date of grant of such Stock Award. The terms of an Award Agreement, including the option or base price per share for an Option or SAR, may be amended from time to time upon the mutual written agreement of the Company (as authorized by the Committee) and the Grantee; provided, however, that an Award Agreement may not be amended to accelerate the vesting period(s) of a Stock Award (except in the event of the death or termination of employment of a Grantee due to Permanent Disability (as hereinafter defined)).</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Incentive Stock Options</w:t>
      </w:r>
      <w:r>
        <w:rPr>
          <w:rFonts w:ascii="Times New Roman;sans-serif" w:hAnsi="Times New Roman;sans-serif"/>
          <w:b w:val="false"/>
          <w:color w:val="000000"/>
          <w:sz w:val="24"/>
        </w:rPr>
        <w:t xml:space="preserve">. The Committee may grant Incentive Stock Options under the Plan which are subject to the following terms and conditions and any other terms and conditions as may at any time be required by Section 422 of the Code: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 Incentive Stock Option shall be granted to individuals other than employees of the Company or of a parent or subsidiary of the Company.</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Incentive Stock Option under the Plan must be granted prior to May 10, 2034, which is within ten years from the date the Plan was adopted by the Board.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option price of the shares subject to any Incentive Stock Option shall not be less than the Fair Market Value of the Common Stock at the time such Incentive Stock Option is granted; provided, however, if an Incentive Stock Option is granted to an individual who owns, at the time the Incentive Stock Option is granted, more than 10% of the total combined voting power of all classes of stock of the Company or of a parent or subsidiary of the Company (a “10% Stockholder”), the option price of the shares subject to the Incentive Stock Option shall be at least 110% of the Fair Market Value of the Common Stock at the time such Incentive Stock Option is granted.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 Incentive Stock Option granted under the Plan shall be exercisable after the expiration of ten years from the date of its grant; provided, however, if an Incentive Stock Option is granted to a 10% Stockholder, such Incentive Stock Option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02285"/>
                <wp:effectExtent l="0" t="0" r="0" b="0"/>
                <wp:wrapNone/>
                <wp:docPr id="179" name="Frame17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exercisable after the expiration of five years from the date of its grant. Every Incentive Stock Option granted under the Plan shall be subject to earlier termination as expressly provided in Section 11 hereof.</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For purposes of determining stock ownership under this Section 7, the attribution rules of Section 424(d) of the Code shall apply.</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Nonstatutory Stock Options</w:t>
      </w:r>
      <w:r>
        <w:rPr>
          <w:rFonts w:ascii="Times New Roman;sans-serif" w:hAnsi="Times New Roman;sans-serif"/>
          <w:b w:val="false"/>
          <w:color w:val="000000"/>
          <w:sz w:val="24"/>
        </w:rPr>
        <w:t>. The Committee may grant Nonstatutory Stock Options under the Plan. Nonstatutory Stock Options shall be subject to the following terms and conditions: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Nonstatutory Stock Option may be granted to any individual or entity eligible to receive an Option under the Plan pursuant to clause (b) of Section 5 hereof.</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option price of the shares subject to a Nonstatutory Stock Option shall not be less than the Fair Market Value of the Common Stock at the time such Nonstatutory Stock Option is granted.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 Nonstatutory Stock Option granted under the Plan shall be exercisable after the expiration of ten years from the date of its grant.</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Stock Appreciation Rights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Committee may grant Stock Appreciation Rights to such persons eligible under the Plan as the Committee may select from time to time. SARs shall be granted at such times, in such amounts and under such other terms and conditions as the Committee shall determine, which terms and conditions shall be evidenced under an Award Agreement, subject to the terms of the Plan. Subject to the terms and conditions of the Award Agreement, an SAR shall entitle the Grantee to exercise the SAR, in whole or in part, in exchange for a payment of shares of Common Stock, cash or a combination thereof, as determined by the Committee and provided for in the Award Agreement, equal in value to the excess of the Fair Market Value of the shares of Common Stock underlying the SAR, determined on the date of exercise, over the base amount set forth in the Award Agreement for the shares of Common Stock underlying the SAR, which base amount shall not be less than the Fair Market Value of such Common Stock, determined as of the date the SAR is granted. The Company may, in its sole discretion, withhold from any such cash payment any amount necessary to satisfy the Company’s obligation for withholding taxes with respect to such payment.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SAR granted under the Plan shall be exercisable after the expiration of ten years from the date of its grant.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references in the Plan to “Options” shall be deemed to include “SARs” where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02285"/>
                <wp:effectExtent l="0" t="0" r="0" b="0"/>
                <wp:wrapNone/>
                <wp:docPr id="180" name="Frame17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hanging="1454"/>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Transferability</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 Option granted under the Plan shall be transferable by the individual or entity to whom it was granted other than by will or the laws of descent and distribution, and, during the lifetime of an individual, shall not be exercisable by any other person, but only by him. Rights with respect to Stock Bonuses may not be sold, assigned, transferred, pledged, hypothecated or otherwise disposed of except by will or the laws of descent and distribution (subject to the provisions of the Plan).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Section 10(a) above, a Nonstatutory Stock Option granted under the Plan may be transferred in whole or in part during a Grantee’s lifetime, upon the approval of the Committee, to a Grantee’s “family members” (as such term is defined in Rule 701(c)(3) of the Securities Act and General Instruction A(1)(a)(5) to Form S-8) through a gift or domestic relations order. The transferred portion of a Nonstatutory Stock Option may only be exercised by the person or entity who acquires a proprietary interest in such Option pursuant to the transfer. The terms applicable to the transferred portion shall be the same as those in effect for the Option immediately prior to such transfer and shall be set forth in such documents issued to the transferee as the Committee may deem appropriate. As used in the Plan, the terms “Grantee” (when referring to an Option recipient) and “holder of an Option” shall refer to the grantee of the Option and not any transferee thereof.</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Effect of Termination of Employment or Death on Options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Unless otherwise provided in the Award Agreement and except as provided in subsections (b) and (c) of this Section 11 and Section 17 hereof, if the employment of an employee by, or the services of a non-employee director for, or consultant or advisor to, the Company or a parent or subsidiary of the Company, shall terminate for any reason, then his Option may be exercised at any time within three months after such termination, subject to the provisions of subsection (d) of this Section 11. For purposes of this subsection (a), an employee, non-employee director, consultant or advisor who leaves the employ or services of the Company to become an employee or non-employee director of, or a consultant or advisor to, a parent or subsidiary of the Company or a corporation (or subsidiary or parent of the corporation) which has assumed the Option of the Company as a result of a corporate reorganization or like event shall not be considered to have terminated his employment or services.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Unless otherwise provided in the Award Agreement, if the holder of an Option under the Plan dies (i) while employed by, or while serving as a non-employee director for or a consultant or advisor to, the Company or a parent or subsidiary of the Company, or (ii) within three months after the termination of his employment or services for any reason, then such Option may, subject to the provisions of subsection (d) of this Section 11, be exercised by the estate of the employee or non-employee director, consultant or advisor, or by a person who acquired the right to exercise such Option by bequest or inheritance or by reason of the death of such employee or non-employee director, consultant or advisor, at any time within one year after such death.</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02285"/>
                <wp:effectExtent l="0" t="0" r="0" b="0"/>
                <wp:wrapNone/>
                <wp:docPr id="181" name="Frame17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Unless otherwise provided in the Award Agreement, if the holder of an Option under the Plan ceases employment or services because of permanent and total disability (within the meaning of Section 23(e)(3) of the Code) (“Permanent Disability”) while employed by, or while serving as a non-employee director for or consultant or advisor to, the Company or a parent or subsidiary of the Company, then such Option may, subject to the provisions of subsection (d) of this Section 11, be exercised at any time within one year after his termination of employment, termination of directorship or termination of consulting or advisory services, as the case may be, due to the disability. Notwithstanding the foregoing, in the event the Company is a party to an employment, consulting or advisory agreement with a Grantee and such agreement provides for termination of employment or engagement based upon a disability or other incapacity, then, for such Grantee, a termination of employment or engagement for disability or other incapacity pursuant to the provisions thereof shall be considered to be a termination based upon Permanent Disability for purposes hereof. Furthermore, notwithstanding the foregoing, with respect to Stock Awards that are subject to Section 409A of the Code, Permanent Disability shall mean that a Grantee is disabled under Section 409A(a)(2)(c)(i) or (ii) of the Code.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Subject to Sections 6 and 17 hereof and this Section 11, an Option may not be exercised pursuant to this Section 11 except to the extent that the holder was entitled to exercise the Option at the time of termination of employment, termination of directorship, termination of consulting or advisory services, or death, and in any event may not be exercised after the expiration of the Option.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For purposes of this Section 11, the employment relationship of an employee of the Company or of a parent or subsidiary of the Company will be treated as continuing intact while he is on military or sick leave or other bona fide leave of absence (such as temporary employment by the Government) if such leave does not exceed 90 days, or, if longer, so long as his right to reemployment is guaranteed either by statute or by contract.</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Exercise of Options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Unless otherwise provided in the Award Agreement, any Option granted under the Plan shall be exercisable, subject to vesting, in whole at any time, or in part from time to time, prior to expiration. The Committee, in its absolute discretion, may provide in any Award Agreement that the exercise of any Options granted under the Plan shall be subject (i) to such condition or conditions as it may impose, including, but not limited to, a condition that the holder thereof remain in the employ or service of, or continue to provide consulting or advisory services to, the Company or a parent or subsidiary of the Company for such period or periods from the date of grant of the Option as the Committee, in its absolute discretion, shall determine; and (ii) to such limitations as it may impose, including, but not limited to, a limitation that the aggregate Fair Market Value (determined at the time the Option is granted) of the Common Stock with respect to which Incentive Stock Options are exercisable for the first time by any employee during any calendar year (under all plans of the Company and its parents and subsidiaries) shall not exceed $100,000. In addition, in the event that under any Award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02285"/>
                <wp:effectExtent l="0" t="0" r="0" b="0"/>
                <wp:wrapNone/>
                <wp:docPr id="182" name="Frame17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the aggregate Fair Market Value (determined at the time the Option is granted) of the Common Stock with respect to which Incentive Stock Options are exercisable for the first time by any employee during any calendar year (under all plans of the Company and its parents and subsidiaries corporations) exceeds $100,000, the Committee may, when shares are transferred upon exercise of such Options, designate those shares which shall be treated as transferred upon exercise of an Incentive Stock Option and those shares which shall be treated as transferred upon exercise of a Nonstatutory Stock Option.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An Option granted under the Plan shall be exercised by the delivery by the holder thereof to the Company at its principal office (attention of the Secretary) of written notice of the number of shares with respect to which the Option is being exercised. Such notice shall be accompanied, or followed within ten days of delivery thereof, by payment of the full option price of such shares, and payment of such option price shall be made by the holder’s delivery of (i) his check payable to the order of the Company, or (ii) previously acquired Common Stock, the Fair Market Value of which shall be determined as of the date of exercise (provided that the shares delivered pursuant hereto are acceptable to the Committee in its sole discretion) or (iii) if provided for in the Award Agreement, and subject to the provisions of applicable law, his check payable to the order of the Company in an amount at least equal to the par value of the Common Stock being acquired, together with a promissory note, in form and upon such terms as are acceptable to the Committee, made payable to the order of the Company in an amount equal to the balance of the exercise price, or (iv) by the holder’s delivery of any combination of the foregoing (i), (ii) and (iii). Alternatively, if provided for in the Award Agreement, the holder may elect to have the Company reduce the number of shares otherwise issuable by a number of shares having a Fair Market Value equal to the exercise price of the Option being exercised.</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Further Conditions of Exercise of Options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Unless prior to the exercise of the Option the shares issuable upon such exercise have been registered with the Securities and Exchange Commission pursuant to the Securities Act, the notice of exercise shall be accompanied by a representation or agreement of the person or estate exercising the Option to the Company to the effect that such shares are being acquired for investment purposes and not with a view to the distribution thereof, and such other documentation as may be required by the Company, unless in the opinion of counsel to the Company such representation, agreement or documentation is not necessary to comply with the Securities Act.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the Common Stock is listed on any securities exchange, including, without limitation, Nasdaq, the Company shall not be obligated to deliver any Common Stock pursuant to this Plan until it has been listed on each such exchange. In addition, the Company shall not be obligated to deliver any Common Stock pursuant to this Plan until there has been qualification under or compliance with such federal or state laws, rules or regulations as the Company may deem applicable. The Company shall use reasonable efforts to obtain such listing, qualification and compliance.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02285"/>
                <wp:effectExtent l="0" t="0" r="0" b="0"/>
                <wp:wrapNone/>
                <wp:docPr id="183" name="Frame17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Stock Bonus Grants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Committee may grant Stock Bonus awards to such persons eligible under the Plan as the Committee may select from time to time. Stock Bonus awards shall be granted at such times, in such amounts and under such other terms and conditions as the Committee shall determine, which terms and conditions shall be evidenced under an Award Agreement, subject to the terms of the Plan. Upon satisfaction of any conditions, limitations and restrictions set forth in the Award Agreement, a Stock Bonus award shall entitle the recipient to receive payment of a bonus described under the Stock Bonus award in the form of shares of Common Stock. Prior to the date on which a Stock Bonus award is required to be paid under an Award Agreement, the Stock Bonus award shall constitute an unfunded, unsecured promise by the Company to distribute Common Stock in the future.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Committee may condition the grant or vesting of Stock Bonus Awards upon the attainment of specified Performance Goals set forth on Exhibit A as the Committee may determine, in its sole discretion. Such Performance Goals may incorporate provisions for disregarding (or adjusting for) changes in accounting methods, corporate transactions (including, without limitation, dispositions and acquisitions) and other similar type events or circumstances. The applicable Performance Goals shall be based on one or more of the performance criteria set forth in Exhibit A hereto.</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Shares granted pursuant to a Stock Bonus shall vest as determined by the Committee, as provided for in the Award Agreement. The foregoing notwithstanding (but subject to the discretion of the Committee and Section 17 hereof and except as otherwise provided in the Award Agreement), a Grantee shall forfeit the right to receive all shares not previously vested, if any, at such time as the Grantee is no longer employed by, or serving as a director of, or rendering consulting or advisory services to, the Company or a parent or subsidiary of the Company for any reason. </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Adjustment Upon Change in Capitalization</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the event that the outstanding Common Stock is hereafter changed by reason of reorganization, merger, consolidation, recapitalization, reclassification, stock split-up, combination of shares, reverse split, stock dividend or the like, an appropriate adjustment shall be made by the Committee in (i) the aggregate number of shares available under the Plan, (ii) the number of shares and option price per share subject to outstanding Options, (iii) the number of shares issuable pursuant to outstanding Stock Bonus grants, and (iv) any limitation on exercisability referred to in Section 12(a)(ii) hereof which is set forth in outstanding Incentive Stock Options. If the Company shall be reorganized, consolidated, or merged with another corporation, subject to the provisions of Section 20 hereof, the holder of an Option shall be entitled to receive upon the exercise of his Option, and the Grantee of a Stock Bonus shall be entitled to receive upon satisfaction of any conditions, limitations and restrictions set forth in the Award Agreement with respect to the Stock Bonus, the same number and kind of shares of stock or the same amount of property, cash or securities as he would have been entitled to receive upon the happening of any such corporate event as if he had been, immediately prior to such event,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02285"/>
                <wp:effectExtent l="0" t="0" r="0" b="0"/>
                <wp:wrapNone/>
                <wp:docPr id="184" name="Frame17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holder of the number of shares covered by his Option or subject to the Stock Bonus; provided, however, that, in such event, the Committee shall have the discretionary power to take any action necessary or appropriate to prevent any Incentive Stock Option granted hereunder which is intended to be an “incentive stock option” from being disqualified as such under the then existing provisions of the Code or any law amendatory thereof or supplemental thereto; and provided, further, that in such event the Committee shall have the discretionary power to take any action necessary or appropriate to prevent such adjustment from being deemed or considered as the adoption of a new plan requiring shareholder approval under Section 422 of the Code and the regulations promulgated thereunder.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Any adjustment in the number of shares shall apply proportionately to only the unexercised portion of the Option, or the unissued shares subject to an outstanding Stock Bonus, granted hereunder. If fractions of a share would result from any such adjustment, the adjustment shall be revised to the next lower whole number of shares.</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Rights of Grantees</w:t>
      </w:r>
      <w:r>
        <w:rPr>
          <w:rFonts w:ascii="Times New Roman;sans-serif" w:hAnsi="Times New Roman;sans-serif"/>
          <w:b w:val="false"/>
          <w:color w:val="000000"/>
          <w:sz w:val="24"/>
        </w:rPr>
        <w:t>. The holder of an Option granted under the Plan shall have none of the rights of a stockholder with respect to the Common Stock covered by his Option until such Common Stock shall be transferred to him upon the exercise of his Option. The recipient of a Stock Bonus under the Plan shall have none of the rights of a stockholder with respect to the Common Stock covered by the Stock Bonus until the date on which the Grantee is entitled to receive the Common Stock pursuant to the Award Agreement.</w:t>
      </w:r>
    </w:p>
    <w:p>
      <w:pPr>
        <w:pStyle w:val="TextBody"/>
        <w:bidi w:val="0"/>
        <w:spacing w:lineRule="auto" w:line="288" w:before="0" w:after="0"/>
        <w:ind w:left="0" w:right="0" w:firstLine="1426"/>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Special Provisions as to Vesting</w:t>
      </w:r>
      <w:r>
        <w:rPr>
          <w:rFonts w:ascii="Times New Roman;sans-serif" w:hAnsi="Times New Roman;sans-serif"/>
          <w:b w:val="false"/>
          <w:color w:val="000000"/>
          <w:sz w:val="24"/>
        </w:rPr>
        <w:t>.    </w:t>
      </w:r>
    </w:p>
    <w:p>
      <w:pPr>
        <w:pStyle w:val="TextBody"/>
        <w:bidi w:val="0"/>
        <w:spacing w:before="0" w:after="0"/>
        <w:jc w:val="both"/>
        <w:rPr/>
      </w:pPr>
      <w:r>
        <w:rPr/>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hereinabove to the contrary, in the event a Grantee is not an employee or non-employee director of, or a consultant or advisor to, the Company as of a particular vesting date for a Stock Award due to death or termination of employment, termination of directorship, or termination of consulting or advisory services due to Permanent Disability, then, for purposes of the Plan and the Stock Award, the Grantee shall be deemed to have remained an employee or non-employee director of, or a consultant or advisor to, the Company through the vesting date next following the Grantee’s death or termination of employment, termination of directorship, or termination of consulting or advisory services due to Permanent Disability.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anything to the contrary, in the event a Change of Control (as hereinafter defined) occurs, then, immediately prior to the Change of Control, all outstanding Stock Awards granted pursuant to Section 14 hereof shall become fully vested.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For purposes hereof, a “Change of Control” shall be deemed to have occurred if:</w:t>
      </w:r>
    </w:p>
    <w:p>
      <w:pPr>
        <w:pStyle w:val="TextBody"/>
        <w:bidi w:val="0"/>
        <w:spacing w:lineRule="auto" w:line="240"/>
        <w:ind w:left="0" w:right="0" w:firstLine="279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“person” or “group of persons” (as such terms are used in Sections 13(d) and 14(d) of the Exchange Act) (other than the Grantee or any “group of persons” that includes the Grantee), becomes the “beneficial owner” (as defined in Rule 13d-3 promulgated under the Exchange Act), directly or indirectly, of securities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02285"/>
                <wp:effectExtent l="0" t="0" r="0" b="0"/>
                <wp:wrapNone/>
                <wp:docPr id="185" name="Frame18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representing more than thirty-three and one-third percent (33-1/3%) of the Company’s then outstanding securities having the right to vote on the election of directors (“Voting Securities”), except that there shall be excluded from the calculation any Voting Securities acquired from the Company with respect to which the Grantee, if a director, gave his approval as a member of the Board;</w:t>
      </w:r>
    </w:p>
    <w:p>
      <w:pPr>
        <w:pStyle w:val="TextBody"/>
        <w:bidi w:val="0"/>
        <w:spacing w:before="0" w:after="0"/>
        <w:jc w:val="both"/>
        <w:rPr/>
      </w:pPr>
      <w:r>
        <w:rPr/>
      </w:r>
    </w:p>
    <w:p>
      <w:pPr>
        <w:pStyle w:val="TextBody"/>
        <w:bidi w:val="0"/>
        <w:spacing w:lineRule="auto" w:line="240" w:before="0" w:after="0"/>
        <w:ind w:left="0" w:right="0" w:firstLine="279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individuals who, as of the date on which the Plan is adopted by the Board, constitute the Board (the “Incumbent Board”) cease for any reason to constitute at least a majority of the Board; provided, however, that any individual becoming a director subsequent to such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p>
      <w:pPr>
        <w:pStyle w:val="TextBody"/>
        <w:bidi w:val="0"/>
        <w:spacing w:before="0" w:after="0"/>
        <w:jc w:val="both"/>
        <w:rPr/>
      </w:pPr>
      <w:r>
        <w:rPr/>
      </w:r>
    </w:p>
    <w:p>
      <w:pPr>
        <w:pStyle w:val="TextBody"/>
        <w:bidi w:val="0"/>
        <w:spacing w:lineRule="auto" w:line="240" w:before="0" w:after="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Company consummates (A) a reorganization, merger or consolidation of the Company, with respect to which in each case all or substantially all of the persons who were the beneficial owners of the Voting Securities of the Company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 resulting from such reorganization, merger of consolidation, or (B) the sale or other disposition of all or substantially all of the assets of the Company.</w:t>
      </w:r>
    </w:p>
    <w:p>
      <w:pPr>
        <w:pStyle w:val="TextBody"/>
        <w:bidi w:val="0"/>
        <w:spacing w:before="0" w:after="0"/>
        <w:jc w:val="both"/>
        <w:rPr/>
      </w:pPr>
      <w:r>
        <w:rPr/>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the provisions of Section 11 hereof, in the event a Grantee is deemed to have remained an employee or non-employee director of, or a consultant or advisor to, the Company through the vesting date next following the Grantee’s death or termination of employment, termination of directorship, or termination of consulting or advisory services due to Permanent Disability, as provided for above, then, with respect to any Option that is subject thereto, such Option, with respect to such next vesting, shall remain exercisable until the later of (A) three months following such next vesting date or (B) one year following the date of death or date of termination of employment, termination of directorship, or termination of consulting or advisory services due to Permanent Disability, as the case may be, subject to the provisions of paragraph (d) of Section 11 hereof. </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Restrictions Upon Shares; Right of First Refusal</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 Grantee shall, for value or otherwise, sell, assign, transfer or otherwise dispose of all or any part of the shares issued pursuant to the exercise of an Option or pursuant to a Stock Bonus (collectively, the “Shares”), or of any beneficial interest therein (collectively a “Disposition”), except as permitted by and in accordance with the provisions of the Plan. The Company shall not recognize as valid or give effect to any Disposition of any Shares or interest therein upon the books of the Company unless and until the Grantee desiring to make such Disposition shall have complied with the provisions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02285"/>
                <wp:effectExtent l="0" t="0" r="0" b="0"/>
                <wp:wrapNone/>
                <wp:docPr id="186" name="Frame18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 Grantee shall, without the written consent of the Company, pledge, encumber, create a security interest in or lien on, or in any way attempt to otherwise impose or suffer to exist any lien, attachment, levy, execution or encumbrance on the Shares.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at any time, a Grantee desires to make a Disposition of any of the Shares (the “Offered Shares”) to any third-party individual or entity pursuant to a bona fide offer (the “Offer”), he shall give written notice of his intention to do so (“Notice of Intent to Sell”) to the Company, which notice shall specify the name(s) of the offeror(s) (the “Proposed Offeror(s)”), the price per share offered for the Offered Shares and all other terms and conditions of the proposed transaction. Thereupon, the Company shall have the option to purchase from the Grantee all, but not less than all, the Offered Shares upon the same terms and conditions as set forth in the Offer.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If the Company desires to purchase all of the Offered Shares, it must send a written notice to such effect to the Grantee within 30 days following receipt of the Notice of Intent to Sell.</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closing of any purchase and sale of the Offered Shares shall take place 60 days following receipt by the Company of the Notice of Intent to Sell.</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If the Company does not elect to purchase all of the Offered Shares within the period set forth in paragraph (d) hereof, no Shares may be purchased by the Company, and the Grantee shall thereupon be free to dispose of such Shares to the Proposed Offeror(s) strictly in accordance with the terms of the Offer. If the Offered Shares are not disposed of strictly in accordance with the terms of the Offer within a period of 120 days after the Grantee gives a Notice of Intent to Sell, such Shares may not thereafter be sold without compliance with the provisions hereof.</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All certificates representing the Shares shall bear on the face or reverse side thereof the following legend:</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The shares represented by this certificate are subject to the provisions of the Kingstone Companies, Inc. 2024 Equity Participation Plan, a copy of which is on file at the offices of the Company.”</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provisions of this Section 18 shall only take effect if expressly provided for in the particular Award Agreement, shall be of no force or effect during such time that the Company is subject to the reporting requirements of the Exchange Act pursuant to Section 13 or 15(d) thereof and shall be subject to the provisions of any and all agreements hereafter entered into to which both the Company and any Grantee are parties that provide for a right of first refusal with respect to the Disposition of Shares.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02285"/>
                <wp:effectExtent l="0" t="0" r="0" b="0"/>
                <wp:wrapNone/>
                <wp:docPr id="187" name="Frame18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Transactions Requiring Stockholder Approval</w:t>
      </w:r>
      <w:r>
        <w:rPr>
          <w:rFonts w:ascii="Times New Roman;sans-serif" w:hAnsi="Times New Roman;sans-serif"/>
          <w:b w:val="false"/>
          <w:color w:val="000000"/>
          <w:sz w:val="24"/>
        </w:rPr>
        <w:t xml:space="preserve">. Each of the following shall require approval by the affirmative vote of the holders of a majority of the voting power present in person or represented by proxy at a meeting of stockholders and entitled to vote thereon (or in the case of action by written consent in lieu of a meeting of stockholders, the number of votes required by applicable law to act in lieu of a meeting) (“Stockholder Approval”):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amendment of an outstanding Option to reduce the exercise price thereof;</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cancellation of an outstanding Option in exchange for either the grant of an Option that has an exercise price that is less than the exercise price of the cancelled Option or the grant of another Stock Award;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cancellation of an Option whose exercise price is greater than the then Fair Market Value of the Common Stock (“Underwater Option”) in exchange for a Stock Award;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 cash buyout of an Underwater Option;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transfer of an Option to a third-party financial intuition. </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Liquidation, Merger or Consolidation</w:t>
      </w:r>
      <w:r>
        <w:rPr>
          <w:rFonts w:ascii="Times New Roman;sans-serif" w:hAnsi="Times New Roman;sans-serif"/>
          <w:b w:val="false"/>
          <w:color w:val="000000"/>
          <w:sz w:val="24"/>
        </w:rPr>
        <w:t>. Notwithstanding Section 12(a) hereof, if the Board approves a plan of complete liquidation or a merger or consolidation (other than a merger or consolidation that would result in the voting securities of the Company outstanding immediately prior thereto continuing to represent (either by remaining outstanding or by being converted into voting securities of the surviving entity), at least 50% of the combined voting power of the voting securities of the Company (or such surviving entity) outstanding immediately after such merger or consolidation), the Committee may, in its sole discretion, upon written notice to the holder of an Option, provide that the Option must be exercised within 20 days following the date of such notice or it will be terminated. In the event such notice is given, the Option shall become immediately exercisable in full. With regard to a merger or consolidation, any such Option exercise shall take effect immediately prior to the closing of such transaction. In the event such merger or consolidation is not consummated within six (6) months of the date of the notice given to the holder of the Option, such notice and any such exercise shall be deemed null and void.</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21.</w:t>
      </w:r>
      <w:r>
        <w:rPr>
          <w:color w:val="000000"/>
        </w:rPr>
        <w:t>“</w:t>
      </w:r>
      <w:r>
        <w:rPr>
          <w:rFonts w:ascii="Times New Roman;sans-serif" w:hAnsi="Times New Roman;sans-serif"/>
          <w:b/>
          <w:color w:val="000000"/>
          <w:sz w:val="24"/>
          <w:u w:val="single"/>
        </w:rPr>
        <w:t>Market Stand-off”</w:t>
      </w:r>
      <w:r>
        <w:rPr>
          <w:rFonts w:ascii="Times New Roman;sans-serif" w:hAnsi="Times New Roman;sans-serif"/>
          <w:b w:val="false"/>
          <w:color w:val="000000"/>
          <w:sz w:val="24"/>
        </w:rPr>
        <w:t xml:space="preserve">. No Grantee may, without the prior written consent of the managing underwriter, do any of the following during the period commencing on the date of the final prospectus relating to any underwritten public offering of the Company’s Common Stock under the Securities Act (the “Public Offering”) and ending on the date specified by the Company and the managing underwriter (such period not to exceed 180 days; provided, however, that, if (a) during the last 17 days of the initial lock-up period, the Company releases earnings results or announces material news or a material event or (b) prior to the expiration of the initial lock-up period, the Company announces that it will release earnings results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02285"/>
                <wp:effectExtent l="0" t="0" r="0" b="0"/>
                <wp:wrapNone/>
                <wp:docPr id="188" name="Frame18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(i) lend; offer; pledge; sell; contract to sell; sell any option or contract to purchase; purchase any option or contract to sell; grant any option, right, or warrant to purchase; or otherwise transfer or dispose of, directly or indirectly, any of the Shares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21 shall be applicable to the Grantees only if all officers, directors, and stockholders individually owning more than 5% of the Company’s outstanding Common Stock are subject to the same restrictions. The underwriters in connection with such registration are intended third-party beneficiaries of this Section 21 and shall have the right, power, and authority to enforce the provisions hereof as though they were a party to the Award Agreement executed pursuant hereto. Each Grantee shall execute such agreements as may be reasonably requested by the Company in connection with such registration that are consistent with this Section 21 or that are necessary to give further effect thereto.</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22.</w:t>
      </w:r>
      <w:r>
        <w:rPr>
          <w:rFonts w:ascii="Times New Roman;sans-serif" w:hAnsi="Times New Roman;sans-serif"/>
          <w:b/>
          <w:color w:val="000000"/>
          <w:sz w:val="24"/>
          <w:u w:val="single"/>
        </w:rPr>
        <w:t>Effectiveness of the Plan</w:t>
      </w:r>
      <w:r>
        <w:rPr>
          <w:rFonts w:ascii="Times New Roman;sans-serif" w:hAnsi="Times New Roman;sans-serif"/>
          <w:b w:val="false"/>
          <w:color w:val="000000"/>
          <w:sz w:val="24"/>
        </w:rPr>
        <w:t>. The Plan was adopted by the Board on May 10, 2024 (the “Adoption Date”). The Plan shall be subject to Stockholder Approval on or before May 10, 2025 (the “Outside Date”), which is within one year of the Adoption Date. In the event such Stockholder Approval is withheld or otherwise not received on or before the Outside Date, the Plan and, unless otherwise provided in the Award Agreement, all Options and SARs, and all rights with respect to a Stock Bonus, that may have been granted hereunder shall become null and void.</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23.</w:t>
      </w:r>
      <w:r>
        <w:rPr>
          <w:rFonts w:ascii="Times New Roman;sans-serif" w:hAnsi="Times New Roman;sans-serif"/>
          <w:b/>
          <w:color w:val="000000"/>
          <w:sz w:val="24"/>
          <w:u w:val="single"/>
        </w:rPr>
        <w:t>Termination, Modification and Amendment</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(but not Options, SARs and Stock Bonuses previously granted under the Plan) shall terminate on May 10, 2034 (the “Termination Date”), which is within ten years from the Adoption Date, or sooner as hereinafter provided, and no Stock Award shall be granted after termination of the Plan. The foregoing shall not be deemed to limit the vesting period for Options, SARs, or Stock Bonuses granted pursuant to the Plan.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Plan may from time to time be terminated, modified, or amended if Stockholder Approval of the termination, modification or amendment is obtained.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paragraph (b) hereof, the Board may at any time, on or before the Termination Date, without Stockholder Approval, terminate the Plan, or from time to time make such modifications or amendments to the Plan as it may deem advisable; provided, however, that the Board shall not, without Stockholder Approval, (i) increase (except as otherwise provided by Section 15 hereof) the maximum number of shares as to which Incentive Stock Options may be granted hereunder, change the designation of the employees or class of employees eligible to receive Incentive Stock Options, or make any other change which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02285"/>
                <wp:effectExtent l="0" t="0" r="0" b="0"/>
                <wp:wrapNone/>
                <wp:docPr id="189" name="Frame18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would prevent any Incentive Stock Option granted hereunder which is intended to be an “incentive stock option” from qualifying as such under the then existing provisions of the Code or any law amendatory thereof or supplemental thereto or (ii) make any other modifications or amendments that require Stockholder Approval pursuant to applicable law, regulation or exchange requirements. In the event Stockholder Approval is not received within one year of adoption by the Board of the change provided for in (i) or (ii) above, then, unless otherwise provided in the Award Agreement (but subject to applicable law), the change and all Stock Awards that may have been granted pursuant thereto shall be null and void.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 termination, modification, or amendment of the Plan may, without the consent of the Grantee to whom any Stock Award shall have been granted, adversely affect the rights conferred by such Stock Award.    </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24.</w:t>
      </w:r>
      <w:r>
        <w:rPr>
          <w:rFonts w:ascii="Times New Roman;sans-serif" w:hAnsi="Times New Roman;sans-serif"/>
          <w:b/>
          <w:color w:val="000000"/>
          <w:sz w:val="24"/>
          <w:u w:val="single"/>
        </w:rPr>
        <w:t>Not a Contract of Employment</w:t>
      </w:r>
      <w:r>
        <w:rPr>
          <w:rFonts w:ascii="Times New Roman;sans-serif" w:hAnsi="Times New Roman;sans-serif"/>
          <w:b w:val="false"/>
          <w:color w:val="000000"/>
          <w:sz w:val="24"/>
        </w:rPr>
        <w:t>. Nothing contained in the Plan or in any Award Agreement executed pursuant hereto shall be deemed to confer upon any individual or entity to whom a Stock Award is or may be granted hereunder any right to remain in the employ or service of the Company or a parent or subsidiary of the Company or any entitlement to any remuneration or other benefit pursuant to any consulting or advisory arrangement.</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25.</w:t>
      </w:r>
      <w:r>
        <w:rPr>
          <w:rFonts w:ascii="Times New Roman;sans-serif" w:hAnsi="Times New Roman;sans-serif"/>
          <w:b/>
          <w:color w:val="000000"/>
          <w:sz w:val="24"/>
          <w:u w:val="single"/>
        </w:rPr>
        <w:t>Use of Proceeds</w:t>
      </w:r>
      <w:r>
        <w:rPr>
          <w:rFonts w:ascii="Times New Roman;sans-serif" w:hAnsi="Times New Roman;sans-serif"/>
          <w:b w:val="false"/>
          <w:color w:val="000000"/>
          <w:sz w:val="24"/>
        </w:rPr>
        <w:t>. The proceeds from the sale of shares pursuant to Stock Awards granted under the Plan shall constitute general funds of the Company.</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26.</w:t>
      </w:r>
      <w:r>
        <w:rPr>
          <w:rFonts w:ascii="Times New Roman;sans-serif" w:hAnsi="Times New Roman;sans-serif"/>
          <w:b/>
          <w:color w:val="000000"/>
          <w:sz w:val="24"/>
          <w:u w:val="single"/>
        </w:rPr>
        <w:t>Indemnification of Board of Directors or Committee</w:t>
      </w:r>
      <w:r>
        <w:rPr>
          <w:rFonts w:ascii="Times New Roman;sans-serif" w:hAnsi="Times New Roman;sans-serif"/>
          <w:b w:val="false"/>
          <w:color w:val="000000"/>
          <w:sz w:val="24"/>
        </w:rPr>
        <w:t>. In addition to such other rights of indemnification as they may have, the members of the Board or the Committee, as the case may be, shall be indemnified by the Company to the extent permitted under applicable law against all costs and expenses reasonably incurred by them in connection with any action, suit, or proceeding to which they or any of them may be a party by reason of any action taken or failure to act under or in connection with the Plan or any rights granted thereunder and against all amounts paid by them in settlement thereof or paid by them in satisfaction of a judgment of any such action, suit or proceeding, except a judgment based upon a finding of bad faith. Upon the institution of any such action, suit, or proceeding, the member or members of the Board or the Committee, as the case may be, shall notify the Company in writing, giving the Company an opportunity at its own cost to defend the same before such member or members undertake to defend the same on his or their own behalf.</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27.</w:t>
      </w:r>
      <w:r>
        <w:rPr>
          <w:rFonts w:ascii="Times New Roman;sans-serif" w:hAnsi="Times New Roman;sans-serif"/>
          <w:b/>
          <w:color w:val="000000"/>
          <w:sz w:val="24"/>
          <w:u w:val="single"/>
        </w:rPr>
        <w:t>Captions</w:t>
      </w:r>
      <w:r>
        <w:rPr>
          <w:rFonts w:ascii="Times New Roman;sans-serif" w:hAnsi="Times New Roman;sans-serif"/>
          <w:b w:val="false"/>
          <w:color w:val="000000"/>
          <w:sz w:val="24"/>
        </w:rPr>
        <w:t>. The use of captions in the Plan is for convenience. The captions are not intended to provide substantive rights.</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28.</w:t>
      </w:r>
      <w:r>
        <w:rPr>
          <w:rFonts w:ascii="Times New Roman;sans-serif" w:hAnsi="Times New Roman;sans-serif"/>
          <w:b/>
          <w:color w:val="000000"/>
          <w:sz w:val="24"/>
          <w:u w:val="single"/>
        </w:rPr>
        <w:t>Disqualifying Dispositions</w:t>
      </w:r>
      <w:r>
        <w:rPr>
          <w:rFonts w:ascii="Times New Roman;sans-serif" w:hAnsi="Times New Roman;sans-serif"/>
          <w:b w:val="false"/>
          <w:color w:val="000000"/>
          <w:sz w:val="24"/>
        </w:rPr>
        <w:t xml:space="preserve">. If Common Stock acquired upon exercise of an Incentive Stock Option granted under the Plan is disposed of within two years following the date of grant of the Incentive Stock Option or one year following the issuance of the Common Stock to the Grantee, or is otherwise disposed of in a manner that results in the Grantee being required to recognize ordinary income, rather than capital gain, from the disposition (a “Disqualifying Disposition”), the holder of the Common Stock shall, immediately prior to such Disqualifying Disposition, notify the Company in writing of the date and terms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02285"/>
                <wp:effectExtent l="0" t="0" r="0" b="0"/>
                <wp:wrapNone/>
                <wp:docPr id="190" name="Frame18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Disqualifying Disposition and provide such other information regarding the Disqualifying Disposition as the Company may reasonably require.</w:t>
      </w:r>
    </w:p>
    <w:p>
      <w:pPr>
        <w:pStyle w:val="TextBody"/>
        <w:bidi w:val="0"/>
        <w:spacing w:lineRule="auto" w:line="288" w:before="0" w:after="240"/>
        <w:ind w:left="0" w:right="0" w:firstLine="1426"/>
        <w:jc w:val="both"/>
        <w:rPr/>
      </w:pPr>
      <w:r>
        <w:rPr>
          <w:rFonts w:ascii="Times New Roman;sans-serif" w:hAnsi="Times New Roman;sans-serif"/>
          <w:b w:val="false"/>
          <w:color w:val="000000"/>
          <w:sz w:val="24"/>
        </w:rPr>
        <w:t>29.</w:t>
      </w:r>
      <w:r>
        <w:rPr>
          <w:rFonts w:ascii="Times New Roman;sans-serif" w:hAnsi="Times New Roman;sans-serif"/>
          <w:b/>
          <w:color w:val="000000"/>
          <w:sz w:val="24"/>
          <w:u w:val="single"/>
        </w:rPr>
        <w:t>Withholding Taxes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Whenever under the Plan shares of Common Stock or cash are to be delivered to a Grantee upon exercise of a Nonstatutory Stock Option or to a Grantee of a Stock Bonus, the Company shall be entitled to require as a condition of delivery that the Grantee remit or, at the discretion of the Committee, agree to remit when due, an amount sufficient to satisfy all current or estimated future Federal, state and local income tax withholding requirements, including, without limitation, the employee’s portion of any employment tax requirements relating thereto. At the time of a Disqualifying Disposition, the Grantee shall remit to the Company in cash the amount of any applicable Federal, state and local income tax withholding and the employee’s portion of any employment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02285"/>
                <wp:effectExtent l="0" t="0" r="0" b="0"/>
                <wp:wrapNone/>
                <wp:docPr id="191" name="Frame18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Committee may, in its discretion, provide any or all holders of Nonstatutory Stock Options or Grantees of Stock Bonus with the right to use shares of Common Stock in satisfaction of all or part of the withholding taxes to which such holders may become subject in connection with the exercise of their Options or their receipt of a Stock Bonus. Such right may be provided to any such holder in either or both of the following formats:</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election to have the Company withhold, from the shares of Common Stock otherwise issuable upon the exercise of such Nonstatutory Stock Option or the satisfaction of the conditions, limitations and restrictions with respect to a Stock Bonus, a portion of those shares with an aggregate fair market value equal to the percentage of the withholding taxes (not to exceed 100%) designated by the holder.</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election to deliver to the Company, at the time the Nonstatutory Stock Option is exercised or the conditions, limitations and restrictions are satisfied for a Stock Bonus, one or more shares of Common Stock previously acquired by such holder (other than in connection with the Option exercise or Stock Bonus grant triggering the withholding taxes) with an aggregate Fair Market Value equal to the percentage of the withholding taxes (not to exceed 100%) designated by the holder.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the foregoing, the Committee may, in its discretion, permit the use of shares of Common Stock, as provided for in paragraph (b) hereof, to satisfy income tax liabilities of the Grantee in excess of withholding tax requirements provided that such additional income tax liabilities are reasonably likely to be incurred by the Grantee.</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30.</w:t>
      </w:r>
      <w:r>
        <w:rPr>
          <w:rFonts w:ascii="Times New Roman;sans-serif" w:hAnsi="Times New Roman;sans-serif"/>
          <w:b/>
          <w:color w:val="000000"/>
          <w:sz w:val="24"/>
          <w:u w:val="single"/>
        </w:rPr>
        <w:t>Excise Tax</w:t>
      </w:r>
      <w:r>
        <w:rPr>
          <w:rFonts w:ascii="Times New Roman;sans-serif" w:hAnsi="Times New Roman;sans-serif"/>
          <w:b w:val="false"/>
          <w:color w:val="000000"/>
          <w:sz w:val="24"/>
        </w:rPr>
        <w:t>. In the event any Stock Award hereunder shall become subject to the excise tax imposed under Section 4999 of the Code, or any similar or successor provision of federal, state or local law, the Grantee shall not be paid any amounts to offset the tax effect of such excise tax or taxes.</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31.</w:t>
      </w:r>
      <w:r>
        <w:rPr>
          <w:rFonts w:ascii="Times New Roman;sans-serif" w:hAnsi="Times New Roman;sans-serif"/>
          <w:b/>
          <w:color w:val="000000"/>
          <w:sz w:val="24"/>
          <w:u w:val="single"/>
        </w:rPr>
        <w:t>Section 409A of the Code</w:t>
      </w:r>
      <w:r>
        <w:rPr>
          <w:rFonts w:ascii="Times New Roman;sans-serif" w:hAnsi="Times New Roman;sans-serif"/>
          <w:b w:val="false"/>
          <w:color w:val="000000"/>
          <w:sz w:val="24"/>
        </w:rPr>
        <w:t xml:space="preserve">. Although the Company does not guarantee the particular tax treatment of Stock Awards granted under the Plan, Stock Awards made under the Plan are intended to comply with, or be exempt from, the applicable requirements of Section 409A of the Code and the Plan and any Award Agreement hereunder shall be limited, construed and interpreted in accordance with such intent. To the extent that any Stock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In no event whatsoever shall the Company or any of its affiliates be liable for any additional tax, interest or penalties that may be imposed on a Grantee by Section 409A of the Code or any damages for failing to comply with Section 409A of the Code or this Section 31. Notwithstanding anything in the Plan or in a Stock Award to the contrary, the following provisions shall apply to any Stock Award granted under the Plan that constitutes "non-qualified deferred compensation" pursuant to Section 409A of the Code (a “409A Covered Award”):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02285"/>
                <wp:effectExtent l="0" t="0" r="0" b="0"/>
                <wp:wrapNone/>
                <wp:docPr id="192" name="Frame18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 termination of employment shall not be deemed to have occurred for purposes of any provision of a 409A Covered Award providing for payment upon or following a termination of the Grantee’s employment unless such termination is also a "Separation from Service" within the meaning of Code Section 409A and, for purposes of any such provision of a 409A Covered Award, references to a “termination,” “termination of employment” or like terms shall mean Separation from Service. Notwithstanding any provision to the contrary in the Plan or the Stock Award, if the Grantee is deemed on the date of the Grantee’s termination of service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409A Covered Award, to the extent required to be delayed in compliance with Code Section 409A(a)(2)(B), such payment shall not be made prior to the earlier of (i) the expiration of the six (6)-month period measured from the date of the Grantee’s Separation from Service, and (ii) the date of the Grantee’s death. All payments delayed pursuant to this Section 31 shall be paid to the Grantee on the first day of the seventh month following the date of the Grantee’s Separation from Service or, if earlier, on the date of the Grantee’s death.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Whenever a payment under a 409A Covered Award specifies a payment period with reference to a number of days, the actual date of payment within the specified period shall be within the sole discretion of the Company.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under a 409A Covered Award an amount is to be paid in two or more installments, for purposes of Code Section 409A, each installment shall be treated as a separate payment. </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32.</w:t>
      </w:r>
      <w:r>
        <w:rPr>
          <w:rFonts w:ascii="Times New Roman;sans-serif" w:hAnsi="Times New Roman;sans-serif"/>
          <w:b/>
          <w:color w:val="000000"/>
          <w:sz w:val="24"/>
          <w:u w:val="single"/>
        </w:rPr>
        <w:t>Other Provisions</w:t>
      </w:r>
      <w:r>
        <w:rPr>
          <w:rFonts w:ascii="Times New Roman;sans-serif" w:hAnsi="Times New Roman;sans-serif"/>
          <w:b w:val="false"/>
          <w:color w:val="000000"/>
          <w:sz w:val="24"/>
        </w:rPr>
        <w:t>. Each Stock Award under the Plan may contain such other terms and conditions not inconsistent with the Plan as may be determined by the Committee, in its sole discretion. Notwithstanding the foregoing, each Incentive Stock Option granted under the Plan shall include those terms and conditions which are necessary to qualify the Incentive Stock Option as an “incentive stock option” within the meaning of Section 422 of the Code and the regulations thereunder and shall not include any terms and conditions which are inconsistent therewith.</w:t>
      </w:r>
    </w:p>
    <w:p>
      <w:pPr>
        <w:pStyle w:val="TextBody"/>
        <w:bidi w:val="0"/>
        <w:spacing w:lineRule="auto" w:line="288" w:before="0" w:after="240"/>
        <w:ind w:left="0" w:right="0" w:firstLine="1425"/>
        <w:jc w:val="both"/>
        <w:rPr/>
      </w:pPr>
      <w:r>
        <w:rPr>
          <w:rFonts w:ascii="Times New Roman;sans-serif" w:hAnsi="Times New Roman;sans-serif"/>
          <w:b w:val="false"/>
          <w:color w:val="000000"/>
          <w:sz w:val="24"/>
        </w:rPr>
        <w:t>33.</w:t>
      </w:r>
      <w:r>
        <w:rPr>
          <w:rFonts w:ascii="Times New Roman;sans-serif" w:hAnsi="Times New Roman;sans-serif"/>
          <w:b/>
          <w:color w:val="000000"/>
          <w:sz w:val="24"/>
          <w:u w:val="single"/>
        </w:rPr>
        <w:t>Governing Law</w:t>
      </w:r>
      <w:r>
        <w:rPr>
          <w:rFonts w:ascii="Times New Roman;sans-serif" w:hAnsi="Times New Roman;sans-serif"/>
          <w:b w:val="false"/>
          <w:color w:val="000000"/>
          <w:sz w:val="24"/>
        </w:rPr>
        <w:t xml:space="preserve">. The Plan shall be governed by, and all questions arising hereunder shall be determined in accordance with, the laws of the State of Delaware, excluding choice of law principles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02285"/>
                <wp:effectExtent l="0" t="0" r="0" b="0"/>
                <wp:wrapNone/>
                <wp:docPr id="193" name="Frame18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PERFORMANCE GOALS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Performance Goals for the purposes of the vesting of performance-based Stock Awards shall be based upon one or more of the following business criteria (which may be determined for these purposes by reference to (i) the Company as a whole, (ii) any of the Company’s subsidiaries, operating divisions, regional business units or other operating units, or (iii) any combination thereof): profit before taxes, stock price, market share, gross revenue, net revenue, pre-tax income, operating income, cash flow, earnings per share, return on equity, return on invested capital or assets, cost reductions and savings, return on revenues or productivity, or any other business criteria the Committee deems appropriate, which may be modified at the discretion of the Committee to take into account significant nonrecurring items, or an event or events either not directly relating to the operations of the Company or not within the reasonable control of the Company’s management, or a change in accounting standards required by generally accepted accounting principles, or which may be adjusted to reflect such costs or expenses as the Committee deems appropriate.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94"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8236737.3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KINGSTONE COMPANIES,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Effective March 12,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hanging="730"/>
        <w:jc w:val="left"/>
        <w:rPr>
          <w:rFonts w:ascii="Times New Roman;sans-serif" w:hAnsi="Times New Roman;sans-serif"/>
          <w:b/>
          <w:color w:val="000000"/>
          <w:sz w:val="24"/>
        </w:rPr>
      </w:pPr>
      <w:r>
        <w:rPr>
          <w:rFonts w:ascii="Times New Roman;sans-serif" w:hAnsi="Times New Roman;sans-serif"/>
          <w:b/>
          <w:color w:val="000000"/>
          <w:sz w:val="24"/>
        </w:rPr>
        <w:t>I.    Introduction</w:t>
      </w:r>
    </w:p>
    <w:p>
      <w:pPr>
        <w:pStyle w:val="TextBody"/>
        <w:bidi w:val="0"/>
        <w:spacing w:lineRule="atLeast" w:line="265" w:before="0" w:after="240"/>
        <w:ind w:left="0" w:right="0" w:firstLine="730"/>
        <w:jc w:val="both"/>
        <w:rPr/>
      </w:pPr>
      <w:r>
        <w:rPr>
          <w:rFonts w:ascii="Times New Roman;sans-serif" w:hAnsi="Times New Roman;sans-serif"/>
          <w:b w:val="false"/>
          <w:color w:val="000000"/>
          <w:sz w:val="24"/>
        </w:rPr>
        <w:t>The purpose of this Insider Trading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is to promote compliance with applicable securities laws by Kingstone Companies, Inc. and its subsidiaries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all directors, officers and certain employees thereof as set forth on Schedule I hereto (the “</w:t>
      </w:r>
      <w:r>
        <w:rPr>
          <w:rFonts w:ascii="Times New Roman;sans-serif" w:hAnsi="Times New Roman;sans-serif"/>
          <w:b w:val="false"/>
          <w:color w:val="000000"/>
          <w:sz w:val="24"/>
          <w:u w:val="single"/>
        </w:rPr>
        <w:t>Designated Employees</w:t>
      </w:r>
      <w:r>
        <w:rPr>
          <w:color w:val="000000"/>
        </w:rPr>
        <w:t>”</w:t>
      </w:r>
      <w:r>
        <w:rPr>
          <w:rFonts w:ascii="Times New Roman;sans-serif" w:hAnsi="Times New Roman;sans-serif"/>
          <w:b w:val="false"/>
          <w:color w:val="000000"/>
          <w:sz w:val="24"/>
        </w:rPr>
        <w:t>) in order to preserve the reputation and integrity of the Company as well as that of all persons affiliated with it.</w:t>
      </w:r>
    </w:p>
    <w:p>
      <w:pPr>
        <w:pStyle w:val="TextBody"/>
        <w:bidi w:val="0"/>
        <w:spacing w:lineRule="auto" w:line="288" w:before="0" w:after="240"/>
        <w:ind w:left="0" w:right="0" w:hanging="730"/>
        <w:jc w:val="both"/>
        <w:rPr>
          <w:rFonts w:ascii="Times New Roman;sans-serif" w:hAnsi="Times New Roman;sans-serif"/>
          <w:b/>
          <w:color w:val="000000"/>
          <w:sz w:val="24"/>
        </w:rPr>
      </w:pPr>
      <w:r>
        <w:rPr>
          <w:rFonts w:ascii="Times New Roman;sans-serif" w:hAnsi="Times New Roman;sans-serif"/>
          <w:b/>
          <w:color w:val="000000"/>
          <w:sz w:val="24"/>
        </w:rPr>
        <w:t>II.    Applicability</w:t>
      </w:r>
    </w:p>
    <w:p>
      <w:pPr>
        <w:pStyle w:val="TextBody"/>
        <w:bidi w:val="0"/>
        <w:spacing w:lineRule="atLeast" w:line="265" w:before="0" w:after="240"/>
        <w:ind w:left="0" w:right="0" w:firstLine="730"/>
        <w:jc w:val="both"/>
        <w:rPr/>
      </w:pPr>
      <w:r>
        <w:rPr>
          <w:rFonts w:ascii="Times New Roman;sans-serif" w:hAnsi="Times New Roman;sans-serif"/>
          <w:b w:val="false"/>
          <w:color w:val="000000"/>
          <w:sz w:val="24"/>
        </w:rPr>
        <w:t>The Policy is applicable to all directors, officers and Designated Employees of the Company (collectively, “</w:t>
      </w:r>
      <w:r>
        <w:rPr>
          <w:rFonts w:ascii="Times New Roman;sans-serif" w:hAnsi="Times New Roman;sans-serif"/>
          <w:b w:val="false"/>
          <w:color w:val="000000"/>
          <w:sz w:val="24"/>
          <w:u w:val="single"/>
        </w:rPr>
        <w:t>Policy Insiders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34"/>
        <w:jc w:val="both"/>
        <w:rPr/>
      </w:pPr>
      <w:r>
        <w:rPr>
          <w:rFonts w:ascii="Times New Roman;sans-serif" w:hAnsi="Times New Roman;sans-serif"/>
          <w:b w:val="false"/>
          <w:color w:val="000000"/>
          <w:sz w:val="24"/>
        </w:rPr>
        <w:t xml:space="preserve">Questions regarding this Policy should be directed to Meryl Golden, the Company’s Chief Executive Officer, at </w:t>
      </w:r>
      <w:r>
        <w:rPr>
          <w:rFonts w:ascii="Times New Roman;sans-serif" w:hAnsi="Times New Roman;sans-serif"/>
          <w:b w:val="false"/>
          <w:color w:val="0000FF"/>
          <w:sz w:val="24"/>
          <w:u w:val="single"/>
        </w:rPr>
        <w:t>mgolden@kingstoneic.com</w:t>
      </w:r>
      <w:r>
        <w:rPr>
          <w:color w:val="000000"/>
        </w:rPr>
        <w:t xml:space="preserve"> </w:t>
      </w:r>
      <w:r>
        <w:rPr>
          <w:rFonts w:ascii="Times New Roman;sans-serif" w:hAnsi="Times New Roman;sans-serif"/>
          <w:b w:val="false"/>
          <w:color w:val="000000"/>
          <w:sz w:val="24"/>
        </w:rPr>
        <w:t>or (203) 246-5602. Policy Insiders are also encouraged to seek independent legal advice for matters other than routine reporting.</w:t>
      </w:r>
    </w:p>
    <w:p>
      <w:pPr>
        <w:pStyle w:val="TextBody"/>
        <w:bidi w:val="0"/>
        <w:spacing w:lineRule="auto" w:line="288" w:before="0" w:after="240"/>
        <w:ind w:left="0" w:right="0" w:hanging="730"/>
        <w:jc w:val="both"/>
        <w:rPr>
          <w:rFonts w:ascii="Times New Roman;sans-serif" w:hAnsi="Times New Roman;sans-serif"/>
          <w:b/>
          <w:color w:val="000000"/>
          <w:sz w:val="24"/>
        </w:rPr>
      </w:pPr>
      <w:r>
        <w:rPr>
          <w:rFonts w:ascii="Times New Roman;sans-serif" w:hAnsi="Times New Roman;sans-serif"/>
          <w:b/>
          <w:color w:val="000000"/>
          <w:sz w:val="24"/>
        </w:rPr>
        <w:t>III.    Policy</w:t>
      </w:r>
    </w:p>
    <w:p>
      <w:pPr>
        <w:pStyle w:val="TextBody"/>
        <w:bidi w:val="0"/>
        <w:spacing w:lineRule="atLeast" w:line="265" w:before="0" w:after="240"/>
        <w:ind w:left="0" w:right="0" w:firstLine="730"/>
        <w:jc w:val="both"/>
        <w:rPr/>
      </w:pPr>
      <w:r>
        <w:rPr>
          <w:rFonts w:ascii="Times New Roman;sans-serif" w:hAnsi="Times New Roman;sans-serif"/>
          <w:b w:val="false"/>
          <w:color w:val="000000"/>
          <w:sz w:val="24"/>
        </w:rPr>
        <w:t>It is the Company’s policy that neither Policy Insiders nor any Related Person (as defined below) may buy or sell securities of the Company (“</w:t>
      </w:r>
      <w:r>
        <w:rPr>
          <w:rFonts w:ascii="Times New Roman;sans-serif" w:hAnsi="Times New Roman;sans-serif"/>
          <w:b w:val="false"/>
          <w:color w:val="000000"/>
          <w:sz w:val="24"/>
          <w:u w:val="single"/>
        </w:rPr>
        <w:t>Company Securities</w:t>
      </w:r>
      <w:r>
        <w:rPr>
          <w:color w:val="000000"/>
        </w:rPr>
        <w:t>”</w:t>
      </w:r>
      <w:r>
        <w:rPr>
          <w:rFonts w:ascii="Times New Roman;sans-serif" w:hAnsi="Times New Roman;sans-serif"/>
          <w:b w:val="false"/>
          <w:color w:val="000000"/>
          <w:sz w:val="24"/>
        </w:rPr>
        <w:t xml:space="preserve">) or engage in any other action to take advantage of, or pass on to others, material nonpublic information. This Policy also applies to material nonpublic information relating to any other company with publicly traded securities, including, but not limited to, the Company’s customers or suppliers, obtained in the course of employment by or association with the Company. Any questions with respect to whether certain information is considered material nonpublic information should be referred to the Chief Executive Officer. </w:t>
      </w:r>
    </w:p>
    <w:p>
      <w:pPr>
        <w:pStyle w:val="TextBody"/>
        <w:bidi w:val="0"/>
        <w:spacing w:lineRule="atLeast" w:line="265" w:before="0" w:after="240"/>
        <w:ind w:left="0" w:right="0" w:firstLine="73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in no way reduces the obligations imposed by law on an insider. Compliance with the insider trading and disclosure requirements remains the personal responsibility of each Policy Insider.</w:t>
      </w:r>
    </w:p>
    <w:p>
      <w:pPr>
        <w:pStyle w:val="TextBody"/>
        <w:bidi w:val="0"/>
        <w:spacing w:lineRule="auto" w:line="288" w:before="0" w:after="240"/>
        <w:ind w:left="0" w:right="0" w:hanging="730"/>
        <w:jc w:val="both"/>
        <w:rPr>
          <w:rFonts w:ascii="Times New Roman;sans-serif" w:hAnsi="Times New Roman;sans-serif"/>
          <w:b/>
          <w:color w:val="000000"/>
          <w:sz w:val="24"/>
        </w:rPr>
      </w:pPr>
      <w:r>
        <w:rPr>
          <w:rFonts w:ascii="Times New Roman;sans-serif" w:hAnsi="Times New Roman;sans-serif"/>
          <w:b/>
          <w:color w:val="000000"/>
          <w:sz w:val="24"/>
        </w:rPr>
        <w:t>IV.    Definitions/Explanations</w:t>
      </w:r>
    </w:p>
    <w:p>
      <w:pPr>
        <w:pStyle w:val="TextBody"/>
        <w:bidi w:val="0"/>
        <w:spacing w:lineRule="atLeast" w:line="265" w:before="0" w:after="240"/>
        <w:ind w:left="0" w:right="0" w:firstLine="73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What is “Material Nonpublic Information?”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is material if there is a substantial likelihood that a reasonable investor would consider it important in deciding whether to buy, hold or sell a security. Any information that could reasonably be expected to affect the price of Company Securities is material. Common examples of material information are the following:</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Projections of future earnings or losses or other earnings guidance</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02285"/>
                <wp:effectExtent l="0" t="0" r="0" b="0"/>
                <wp:wrapNone/>
                <wp:docPr id="195" name="Frame19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Earnings that are inconsistent with the consensus expectations of the investment community</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A pending or proposed merger, tender offer, joint venture or acquisition or disposition of significant assets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A change in management</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Major events regarding the Company Securities, including, but not limited to, the declaration of a stock split or a reverse stock split, the offering of additional securities or change in dividend policy</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Severe financial liquidity problems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Actual or threatened material litigation, or the resolution of such litigation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New material contracts, orders, suppliers, customers or finance sources, or the loss thereof</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Significant changes in corporate objectives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Company restructuring</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Bank borrowing or other financing transactions out of the ordinary course</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Change in auditors or notification that the auditors’ reports may no longer be relied upon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Development of a significant new product, process or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 </w:t>
      </w:r>
      <w:r>
        <w:rPr>
          <w:rFonts w:ascii="Times New Roman;sans-serif" w:hAnsi="Times New Roman;sans-serif"/>
          <w:b/>
          <w:color w:val="000000"/>
          <w:sz w:val="24"/>
        </w:rPr>
        <w:t>If you are unsure whether information is material, you should consult the Chief Executive Officer before making any decision to disclose such information or to trade in or recommend Company Securities.</w:t>
      </w:r>
    </w:p>
    <w:p>
      <w:pPr>
        <w:pStyle w:val="TextBody"/>
        <w:bidi w:val="0"/>
        <w:spacing w:lineRule="auto" w:line="288"/>
        <w:ind w:left="0" w:right="0" w:firstLine="720"/>
        <w:jc w:val="both"/>
        <w:rPr/>
      </w:pPr>
      <w:r>
        <w:rPr>
          <w:rFonts w:ascii="Times New Roman;sans-serif" w:hAnsi="Times New Roman;sans-serif"/>
          <w:b w:val="false"/>
          <w:color w:val="000000"/>
          <w:sz w:val="24"/>
        </w:rPr>
        <w:t>Nonpublic information is information that is not generally known or available to the public. One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by filings with the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and the investing public has had time to absorb the information fully</w:t>
      </w:r>
      <w:r>
        <w:rPr>
          <w:rFonts w:ascii="Times New Roman;sans-serif" w:hAnsi="Times New Roman;sans-serif"/>
          <w:b w:val="false"/>
          <w:color w:val="000000"/>
          <w:sz w:val="24"/>
        </w:rPr>
        <w:t xml:space="preserve">. As a general rule, information is considered nonpublic until the second full trading day after the information is released. For example, if the Company announces financial earnings </w:t>
      </w:r>
      <w:r>
        <w:rPr>
          <w:rFonts w:ascii="Times New Roman;sans-serif" w:hAnsi="Times New Roman;sans-serif"/>
          <w:b w:val="false"/>
          <w:i/>
          <w:color w:val="000000"/>
          <w:sz w:val="24"/>
        </w:rPr>
        <w:t>before</w:t>
      </w:r>
      <w:r>
        <w:rPr>
          <w:color w:val="000000"/>
        </w:rPr>
        <w:t xml:space="preserve"> </w:t>
      </w:r>
      <w:r>
        <w:rPr>
          <w:rFonts w:ascii="Times New Roman;sans-serif" w:hAnsi="Times New Roman;sans-serif"/>
          <w:b w:val="false"/>
          <w:color w:val="000000"/>
          <w:sz w:val="24"/>
        </w:rPr>
        <w:t xml:space="preserve">trading begins on Tuesday, the first time you can buy or sell Company Securities is the opening of the market on Thursday (assuming that, at that time, you are not aware of other material nonpublic information and there is no event-specific blackout in place). However, if the Company announces earnings </w:t>
      </w:r>
      <w:r>
        <w:rPr>
          <w:rFonts w:ascii="Times New Roman;sans-serif" w:hAnsi="Times New Roman;sans-serif"/>
          <w:b w:val="false"/>
          <w:i/>
          <w:color w:val="000000"/>
          <w:sz w:val="24"/>
        </w:rPr>
        <w:t>after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02285"/>
                <wp:effectExtent l="0" t="0" r="0" b="0"/>
                <wp:wrapNone/>
                <wp:docPr id="196" name="Frame19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trading begins on that Tuesday, the first time you can buy or sell Company Securities is the opening of the market on Friday.</w:t>
      </w:r>
      <w:r>
        <w:rPr>
          <w:color w:val="000000"/>
        </w:rPr>
        <w:t xml:space="preserve"> </w:t>
      </w:r>
      <w:r>
        <w:rPr>
          <w:rFonts w:ascii="Times New Roman;sans-serif" w:hAnsi="Times New Roman;sans-serif"/>
          <w:b/>
          <w:color w:val="000000"/>
          <w:sz w:val="24"/>
        </w:rPr>
        <w:t>As with questions of materiality, if you are not sure whether information is considered public, you should either consult with the Chief Executive Officer or assume that the information is “non-public” and treat it as confidential.</w:t>
      </w:r>
    </w:p>
    <w:p>
      <w:pPr>
        <w:pStyle w:val="TextBody"/>
        <w:bidi w:val="0"/>
        <w:spacing w:lineRule="atLeast" w:line="526"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Who is a “Related Person?”</w:t>
      </w:r>
    </w:p>
    <w:p>
      <w:pPr>
        <w:pStyle w:val="TextBody"/>
        <w:bidi w:val="0"/>
        <w:spacing w:lineRule="atLeast" w:line="265" w:before="0" w:after="240"/>
        <w:ind w:left="0" w:right="0" w:firstLine="720"/>
        <w:jc w:val="both"/>
        <w:rPr/>
      </w:pPr>
      <w:r>
        <w:rPr>
          <w:rFonts w:ascii="Times New Roman;sans-serif" w:hAnsi="Times New Roman;sans-serif"/>
          <w:b w:val="false"/>
          <w:color w:val="000000"/>
          <w:sz w:val="24"/>
        </w:rPr>
        <w:t xml:space="preserve">For purposes of this Policy, a Related Person includes your spouse, minor children and anyone else living in your household or who does not live in your household but whose transactions in Company Securities are directed by you or are subject to your influence or control; corporations or limited liability companies which you control; partnerships in which you are a general partner; trusts of which you are a trustee; and estates of which you are an executor. Although a person’s parent or sibling may not be considered a Related Person (unless living in the same household or under the person’s influence or control), a parent or sibling may be a “tippee” for securities laws purposes. See </w:t>
      </w:r>
      <w:r>
        <w:rPr>
          <w:rFonts w:ascii="Times New Roman;sans-serif" w:hAnsi="Times New Roman;sans-serif"/>
          <w:b w:val="false"/>
          <w:color w:val="000000"/>
          <w:sz w:val="24"/>
          <w:u w:val="single"/>
        </w:rPr>
        <w:t>Section V</w:t>
      </w:r>
      <w:r>
        <w:rPr>
          <w:color w:val="000000"/>
        </w:rPr>
        <w:t xml:space="preserve"> </w:t>
      </w:r>
      <w:r>
        <w:rPr>
          <w:rFonts w:ascii="Times New Roman;sans-serif" w:hAnsi="Times New Roman;sans-serif"/>
          <w:b w:val="false"/>
          <w:color w:val="000000"/>
          <w:sz w:val="24"/>
        </w:rPr>
        <w:t xml:space="preserve">below for a discussion on the prohibition on “tipping.” </w:t>
      </w:r>
    </w:p>
    <w:p>
      <w:pPr>
        <w:pStyle w:val="TextBody"/>
        <w:bidi w:val="0"/>
        <w:spacing w:lineRule="auto" w:line="288" w:before="0" w:after="240"/>
        <w:ind w:left="0" w:right="0" w:hanging="730"/>
        <w:jc w:val="both"/>
        <w:rPr>
          <w:rFonts w:ascii="Times New Roman;sans-serif" w:hAnsi="Times New Roman;sans-serif"/>
          <w:b/>
          <w:color w:val="000000"/>
          <w:sz w:val="24"/>
        </w:rPr>
      </w:pPr>
      <w:r>
        <w:rPr>
          <w:rFonts w:ascii="Times New Roman;sans-serif" w:hAnsi="Times New Roman;sans-serif"/>
          <w:b/>
          <w:color w:val="000000"/>
          <w:sz w:val="24"/>
        </w:rPr>
        <w:t>V.    Guidelines</w:t>
      </w:r>
    </w:p>
    <w:p>
      <w:pPr>
        <w:pStyle w:val="TextBody"/>
        <w:bidi w:val="0"/>
        <w:spacing w:lineRule="auto" w:line="288" w:before="0" w:after="240"/>
        <w:ind w:left="0" w:right="0" w:hanging="696"/>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Non-Disclosure of Material Nonpublic Information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association as confidential and proprietary to the Company. Inadvertent disclosure of confidential or inside information may expose the Company and you to significant risk of investigation and litigation.</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timing and nature of the Company’s disclosure of material information to outsiders is subject to legal rules, the breach of which could result in substantial liability to you, the Company and its management. Accordingly, material nonpublic information must not be disclosed to anyone, except to persons within the Company or third party agents of the Company (such as investment banking advisors or outside legal counsel) whose positions require them to know it, until such information has been publicly released by the Company. The responsibility for determining whether you are in possession of material nonpublic information rests with you and any action on the part of the Company, the Chief Executive Officer of any other employee or director pursuant to this Policy (or otherwise) does not in any way constitute legal advice or insulate you from liability under applicable securities laws. </w:t>
      </w:r>
    </w:p>
    <w:p>
      <w:pPr>
        <w:pStyle w:val="TextBody"/>
        <w:bidi w:val="0"/>
        <w:spacing w:lineRule="auto" w:line="288" w:before="0" w:after="240"/>
        <w:ind w:left="0" w:right="0" w:hanging="696"/>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Prohibited Trading in Company Securities</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person may place a purchase or sell order or recommend that another person place a purchase or sell order in Company Securities (including, but not limited to, initial elections, changes in elections or reallocations of funds relating to 401(k) plan accounts) when he or she has knowledge of material information concerning the Company that has not been disclosed to the public. This rule does not apply to the purchase of stock under, or upon exercise of securities issued under, the Company’s 2024 Equity Participation Plan, as amended, or any other stock option, equity participation plan or similar plan hereafter adopted by the Company (collectively,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02285"/>
                <wp:effectExtent l="0" t="0" r="0" b="0"/>
                <wp:wrapNone/>
                <wp:docPr id="197" name="Frame19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tLeast" w:line="265" w:before="0" w:after="240"/>
        <w:jc w:val="both"/>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Plans</w:t>
      </w:r>
      <w:r>
        <w:rPr>
          <w:color w:val="000000"/>
        </w:rPr>
        <w:t>”</w:t>
      </w:r>
      <w:r>
        <w:rPr>
          <w:rFonts w:ascii="Times New Roman;sans-serif" w:hAnsi="Times New Roman;sans-serif"/>
          <w:b w:val="false"/>
          <w:color w:val="000000"/>
          <w:sz w:val="24"/>
        </w:rPr>
        <w:t>). However, stock that is acquired through or under the Plans is subject to this Policy and may not be sold by a Policy Insider who is in possession of material nonpublic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Tipping” Information to Others</w:t>
      </w:r>
    </w:p>
    <w:p>
      <w:pPr>
        <w:pStyle w:val="TextBody"/>
        <w:bidi w:val="0"/>
        <w:spacing w:lineRule="atLeast" w:line="265" w:before="0" w:after="240"/>
        <w:ind w:left="0" w:right="0" w:firstLine="720"/>
        <w:jc w:val="both"/>
        <w:rPr/>
      </w:pPr>
      <w:r>
        <w:rPr>
          <w:rFonts w:ascii="Times New Roman;sans-serif" w:hAnsi="Times New Roman;sans-serif"/>
          <w:b w:val="false"/>
          <w:color w:val="000000"/>
          <w:sz w:val="24"/>
        </w:rPr>
        <w:t>Insiders may be liable for communicating or tipping material nonpublic information to any third party (“</w:t>
      </w:r>
      <w:r>
        <w:rPr>
          <w:rFonts w:ascii="Times New Roman;sans-serif" w:hAnsi="Times New Roman;sans-serif"/>
          <w:b w:val="false"/>
          <w:color w:val="000000"/>
          <w:sz w:val="24"/>
          <w:u w:val="single"/>
        </w:rPr>
        <w:t>tippee</w:t>
      </w:r>
      <w:r>
        <w:rPr>
          <w:color w:val="000000"/>
        </w:rPr>
        <w:t>”</w:t>
      </w:r>
      <w:r>
        <w:rPr>
          <w:rFonts w:ascii="Times New Roman;sans-serif" w:hAnsi="Times New Roman;sans-serif"/>
          <w:b w:val="false"/>
          <w:color w:val="000000"/>
          <w:sz w:val="24"/>
        </w:rPr>
        <w:t>), not limited to just Related Persons. Further, insider trading violations are not limited to trading or tipping by insiders. Persons other than insiders also can be liable for insider trading, including, but not limited to, tippees who trade on material information which has been misappropriated.</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Tippees inherit an insider’s duties and generally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generally no different from that of the insider from whom he or she obtained the information. </w:t>
      </w:r>
    </w:p>
    <w:p>
      <w:pPr>
        <w:pStyle w:val="TextBody"/>
        <w:bidi w:val="0"/>
        <w:spacing w:lineRule="atLeast" w:line="265"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Avoid Speculation</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Policy Insiders and their Related Persons may not trade in options, warrants, puts and calls or similar instruments on Company Securities or sell Company Securities “short.” In addition, Policy Insiders and their Related Persons may not hold Company Securities in margin accounts.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Policy Insider in conflict with the best interests of the Company and its securityholders. Anyone may exercise options granted to him or her by the Company and have shares withheld to pay withholding taxes in connection with an option exercise or the vesting of restricted shares, and subject to the restrictions discussed in this Policy and any other applicable Company policies, sell shares acquired through the exercise of options or the vesting of restricted shares.</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Special circumstances related to the trading activities described above that do not involve short-range speculation may be reviewed and approved by the Company’s Board of Directors or a committee thereof. </w:t>
      </w:r>
    </w:p>
    <w:p>
      <w:pPr>
        <w:pStyle w:val="TextBody"/>
        <w:bidi w:val="0"/>
        <w:spacing w:lineRule="auto" w:line="288" w:before="0" w:after="240"/>
        <w:ind w:left="0" w:right="0" w:hanging="696"/>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Trading in Other Securities</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Policy Insider may place purchase or sell orders or recommend that another person place a purchase or sell order in the securities of another corporation or other entity if the person learns of material nonpublic information about the other corporation or other entity in the course of his or her employment or association with the Company.</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VI.    Trading Restrictions</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Event-Specific Blackouts</w:t>
      </w:r>
    </w:p>
    <w:p>
      <w:pPr>
        <w:pStyle w:val="TextBody"/>
        <w:bidi w:val="0"/>
        <w:spacing w:lineRule="atLeast" w:line="265" w:before="0" w:after="240"/>
        <w:ind w:left="0" w:right="0" w:firstLine="64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on occasion disclose material information by means of a press release, SEC filing on Form 8-K or other means designed to achieve widespread dissemination of the information. All Policy Insiders with knowledge of the material nonpublic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02285"/>
                <wp:effectExtent l="0" t="0" r="0" b="0"/>
                <wp:wrapNone/>
                <wp:docPr id="198" name="Frame19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tLeast" w:line="265"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should anticipate that trading will be blacked out while the Company is in the process of assembling the information to be released and until the information has been released and fully absorbed by the market.</w:t>
      </w:r>
    </w:p>
    <w:p>
      <w:pPr>
        <w:pStyle w:val="TextBody"/>
        <w:bidi w:val="0"/>
        <w:spacing w:lineRule="atLeast" w:line="265" w:before="0" w:after="240"/>
        <w:ind w:left="0" w:right="0" w:firstLine="735"/>
        <w:jc w:val="both"/>
        <w:rPr>
          <w:rFonts w:ascii="Times New Roman;sans-serif" w:hAnsi="Times New Roman;sans-serif"/>
          <w:b w:val="false"/>
          <w:color w:val="000000"/>
          <w:sz w:val="24"/>
        </w:rPr>
      </w:pPr>
      <w:r>
        <w:rPr>
          <w:rFonts w:ascii="Times New Roman;sans-serif" w:hAnsi="Times New Roman;sans-serif"/>
          <w:b w:val="false"/>
          <w:color w:val="000000"/>
          <w:sz w:val="24"/>
        </w:rPr>
        <w:t>From time to time, an event may occur that is material to the Company and is known by only a few directors, officers or employees of the Company. So long as the event remains material and nonpublic, the persons who are aware of the event may not trade in Company Securities. The existence of an event-specific blackout will not be announced, other than to those who are aware of the event giving rise to the blackout. If, however, a person whose trades are subject to the pre-clearance procedures outlined below requests permission to trade in Company Securities during an event-specific blackout, the Chief Executive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Chief Executive Officer to designate a person as being subject to an event-specific blackout will not relieve that person of the obligation not to trade while aware of material nonpublic information.</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Quarterly Blackouts</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The Company’s announcement of its quarterly financial results almost always has the potential to have a material effect on the market for Company Securities. Therefore, to avoid even the appearance of trading on the basis of material nonpublic information, Policy Insiders may not trade in Company Securities during the period beginning on the day following the end of a fiscal quarter and ending after the second</w:t>
      </w:r>
      <w:r>
        <w:rPr>
          <w:color w:val="000000"/>
        </w:rPr>
        <w:t xml:space="preserve"> </w:t>
      </w:r>
      <w:r>
        <w:rPr>
          <w:rFonts w:ascii="Times New Roman;sans-serif" w:hAnsi="Times New Roman;sans-serif"/>
          <w:b w:val="false"/>
          <w:color w:val="000000"/>
          <w:sz w:val="24"/>
        </w:rPr>
        <w:t xml:space="preserve">full business day following the release of the Company’s earnings for that quarter (or, in the case of the last quarter of a fiscal year, for that year). </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Pension Plan Blackouts</w:t>
      </w:r>
    </w:p>
    <w:p>
      <w:pPr>
        <w:pStyle w:val="TextBody"/>
        <w:bidi w:val="0"/>
        <w:spacing w:lineRule="atLeast" w:line="265" w:before="0" w:after="240"/>
        <w:ind w:left="0" w:right="0" w:firstLine="64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Policy Insiders may also be subject to event-specific blackouts which prohibit certain sales and other transfers by insiders during certain pension plan blackout periods. </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Hardship Exceptions</w:t>
      </w:r>
    </w:p>
    <w:p>
      <w:pPr>
        <w:pStyle w:val="TextBody"/>
        <w:bidi w:val="0"/>
        <w:spacing w:lineRule="atLeast" w:line="265" w:before="0" w:after="240"/>
        <w:ind w:left="0" w:right="0" w:firstLine="648"/>
        <w:jc w:val="both"/>
        <w:rPr>
          <w:rFonts w:ascii="Times New Roman;sans-serif" w:hAnsi="Times New Roman;sans-serif"/>
          <w:b w:val="false"/>
          <w:color w:val="000000"/>
          <w:sz w:val="24"/>
        </w:rPr>
      </w:pPr>
      <w:r>
        <w:rPr>
          <w:rFonts w:ascii="Times New Roman;sans-serif" w:hAnsi="Times New Roman;sans-serif"/>
          <w:b w:val="false"/>
          <w:color w:val="000000"/>
          <w:sz w:val="24"/>
        </w:rPr>
        <w:t>Policy Insiders who are subject to a quarterly earnings blackout period and who have an unexpected and urgent need to sell Company Securities in order to generate cash may, in appropriate circumstances, be permitted to sell Company Securities even during the quarterly blackout period. Hardship exceptions may be granted only by the Chief Executive Officer and must be requested at least two days in advance of the proposed trade. A hardship exception may be granted only if the Chief Executive Officer concludes that the Company’s earnings information for the applicable quarter does not constitute material nonpublic information and there exists no event-specific blackout at that time.</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Pre-Clearance Requirements for Policy Insiders</w:t>
      </w:r>
    </w:p>
    <w:p>
      <w:pPr>
        <w:pStyle w:val="TextBody"/>
        <w:bidi w:val="0"/>
        <w:spacing w:lineRule="atLeast" w:line="265" w:before="0" w:after="240"/>
        <w:ind w:left="0" w:right="0" w:firstLine="64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Policy Insiders must obtain prior clearance from the Company’s Chief Executive Officer, or his or her designee, before he, she or a Related Person makes any purchases or sales of Company Securities. Prior clearance is required for all purchases or sales of Company Securities (if an available investment option) in any Company 401(k) plan. Each proposed transaction will be evaluated to determine whether it raises insider trading concerns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02285"/>
                <wp:effectExtent l="0" t="0" r="0" b="0"/>
                <wp:wrapNone/>
                <wp:docPr id="199" name="Frame19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tLeast" w:line="265"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concerns under federal or state securities laws and regulations. Any advice will relate solely to the restraints imposed by law and will not constitute advice regarding the investment aspects of any transaction. Clearance of a transaction is valid only for a 48-hour period. If the transaction order is not placed within that 48-hour period, clearance of the transaction must be re-requested. If clearance is denied, the fact of such denial must be kept confidential by the person requesting such clearance. </w:t>
      </w:r>
    </w:p>
    <w:p>
      <w:pPr>
        <w:pStyle w:val="TextBody"/>
        <w:bidi w:val="0"/>
        <w:spacing w:lineRule="atLeast" w:line="265" w:before="0" w:after="240"/>
        <w:ind w:left="0" w:right="0" w:firstLine="648"/>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Pre-Arranged Trading Plan under SEC Rule 10b5-1</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Any Policy Insider who wishes to establish or modify a pre-arranged trading plan under SEC Rule 10b5-1 must first obtain approval of the plan or modification from the Chief Executive Officer. The following requirements, restrictions and limitations, among others, are applicable to all pre-arranged trading plans entered into or modified by a Policy Insider subsequent to the effective date of this Policy:</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Policy Insiders may enter into a pre-arranged trading plan only when he or she is not in possession of material nonpublic information.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Policy Insiders may not enter into a pre-arranged trading plan during a blackout period.</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The first trade pursuant to an approved pre-arranged trading plan may not be executed until the later of (i) 90 days after the adoption or modification of the plan and (ii) two business days following the filing of the Form 10-Q or Form 10-K for the fiscal quarter in which the plan was adopted or modified (but not to exceed 120 days after the plan was adopted or modified).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transaction effected pursuant to an approved pre-arranged trading plan will not require pre-clearance at the time of the transaction; however, officers and directors must immediately notify the Chief Executive Officer and the Company’s outside counsel when any such transaction has been completed for Section 16 reporting purposes.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VII.    Reporting of Insider Transactions</w:t>
      </w:r>
    </w:p>
    <w:p>
      <w:pPr>
        <w:pStyle w:val="TextBody"/>
        <w:bidi w:val="0"/>
        <w:spacing w:lineRule="atLeast" w:line="265" w:before="0" w:after="240"/>
        <w:ind w:left="0" w:right="0" w:firstLine="730"/>
        <w:jc w:val="both"/>
        <w:rPr>
          <w:rFonts w:ascii="Times New Roman;sans-serif" w:hAnsi="Times New Roman;sans-serif"/>
          <w:b w:val="false"/>
          <w:color w:val="000000"/>
          <w:sz w:val="24"/>
        </w:rPr>
      </w:pPr>
      <w:r>
        <w:rPr>
          <w:rFonts w:ascii="Times New Roman;sans-serif" w:hAnsi="Times New Roman;sans-serif"/>
          <w:b w:val="false"/>
          <w:color w:val="000000"/>
          <w:sz w:val="24"/>
        </w:rPr>
        <w:t>All officers and directors must promptly report their ownership and trading in securities of the Company to the SEC. This Policy requires officers and directors to notify the Company of their ownership and trades in Company Securities and provides for the Company or its counsel to file reports with the SEC on their behalf.</w:t>
      </w:r>
    </w:p>
    <w:p>
      <w:pPr>
        <w:pStyle w:val="TextBody"/>
        <w:bidi w:val="0"/>
        <w:spacing w:lineRule="auto" w:line="288" w:before="0" w:after="240"/>
        <w:ind w:left="0" w:right="0" w:hanging="69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Initial Form 3</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person who becomes an officer or director of the Company must file with the SEC an Initial Statement of Beneficial Ownership of Securities on Form 3 within ten (10) days of becoming such. The report must disclose the beneficial ownership of Company Securities by the officer or director. The Form 3 must be filed whether or not the officer or director beneficially owns any Company Securities.</w:t>
      </w:r>
    </w:p>
    <w:p>
      <w:pPr>
        <w:pStyle w:val="TextBody"/>
        <w:bidi w:val="0"/>
        <w:spacing w:lineRule="auto" w:line="288" w:before="0" w:after="240"/>
        <w:ind w:left="0" w:right="0" w:hanging="69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Subsequent Forms 4 and 5</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02285"/>
                <wp:effectExtent l="0" t="0" r="0" b="0"/>
                <wp:wrapNone/>
                <wp:docPr id="200" name="Frame19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comply with applicable federal securities laws, subsequent Statements of Changes in Beneficial Ownership of Securities on Form 4 must be filed with the SEC within two (2) business days after the date of any change in the beneficial ownership of Company Securities by an officer or director, including the grant and exercise of options and gifts. In addition, an Annual Statement of Beneficial Ownership of Securities on Form 5 must be filed with the SEC within 45 days after the end of the fiscal year to disclose certain transactions that were not required to be reported on a Form 4 and certain transactions after a person ceases to be an officer or director of the Company.</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Ownership is deemed to pass on the date of trade (i.e., the date the offer to buy or sell is accepted) and not on the settlement date.</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should be noted that the sale and purchase or purchase and sale of Company Securities by an officer or director within a six (6) month period of time could result in liability on the part of the officer or director to the Company for short-swing profits.</w:t>
      </w:r>
    </w:p>
    <w:p>
      <w:pPr>
        <w:pStyle w:val="TextBody"/>
        <w:bidi w:val="0"/>
        <w:spacing w:lineRule="auto" w:line="288" w:before="0" w:after="240"/>
        <w:ind w:left="0" w:right="0" w:hanging="691"/>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Reporting Procedures</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counsel will assist each officer and director in preparing and filing his/her Forms 3, 4 and 5 with the SEC. The Company’s counsel will have the authority to execute the Forms 3, 4 and 5 provided the officer or director has signed a Power of Attorney authorizing such counsel to sign and file such forms on his/her behalf. The reporting procedure will be as follows: </w:t>
      </w:r>
    </w:p>
    <w:p>
      <w:pPr>
        <w:pStyle w:val="TextBody"/>
        <w:bidi w:val="0"/>
        <w:spacing w:lineRule="atLeast" w:line="265" w:before="0" w:after="240"/>
        <w:ind w:left="0" w:right="0" w:hanging="360"/>
        <w:jc w:val="both"/>
        <w:rPr/>
      </w:pPr>
      <w:r>
        <w:rPr>
          <w:color w:val="000000"/>
        </w:rPr>
        <w:t>•</w:t>
      </w:r>
      <w:r>
        <w:rPr>
          <w:rFonts w:ascii="Times New Roman;sans-serif" w:hAnsi="Times New Roman;sans-serif"/>
          <w:b w:val="false"/>
          <w:color w:val="000000"/>
          <w:sz w:val="24"/>
        </w:rPr>
        <w:t>All trades, including the grant and exercise of options and the grant of restricted stock, must be reported immediately to the Chief Executive Officer and the Company’s counsel in order to meet the two (2) business day filing requirement.</w:t>
      </w:r>
    </w:p>
    <w:p>
      <w:pPr>
        <w:pStyle w:val="TextBody"/>
        <w:bidi w:val="0"/>
        <w:spacing w:lineRule="atLeast" w:line="265" w:before="0" w:after="240"/>
        <w:ind w:left="0" w:right="0" w:hanging="360"/>
        <w:jc w:val="both"/>
        <w:rPr/>
      </w:pPr>
      <w:r>
        <w:rPr>
          <w:color w:val="000000"/>
        </w:rPr>
        <w:t>•</w:t>
      </w:r>
      <w:r>
        <w:rPr>
          <w:rFonts w:ascii="Times New Roman;sans-serif" w:hAnsi="Times New Roman;sans-serif"/>
          <w:b w:val="false"/>
          <w:color w:val="000000"/>
          <w:sz w:val="24"/>
        </w:rPr>
        <w:t>The Company’s counsel will complete and file the Form 3, 4 or 5 on behalf of the officer or director with the SEC.</w:t>
      </w:r>
    </w:p>
    <w:p>
      <w:pPr>
        <w:pStyle w:val="TextBody"/>
        <w:bidi w:val="0"/>
        <w:spacing w:lineRule="atLeast" w:line="265" w:before="0" w:after="240"/>
        <w:ind w:left="0" w:right="0" w:hanging="360"/>
        <w:jc w:val="both"/>
        <w:rPr/>
      </w:pPr>
      <w:r>
        <w:rPr>
          <w:color w:val="000000"/>
        </w:rPr>
        <w:t>•</w:t>
      </w:r>
      <w:r>
        <w:rPr>
          <w:rFonts w:ascii="Times New Roman;sans-serif" w:hAnsi="Times New Roman;sans-serif"/>
          <w:b w:val="false"/>
          <w:color w:val="000000"/>
          <w:sz w:val="24"/>
        </w:rPr>
        <w:t>The Company’s counsel will notify the officer or director that the Form 3, 4 or 5 has been filed on his/her behalf.</w:t>
      </w:r>
    </w:p>
    <w:p>
      <w:pPr>
        <w:pStyle w:val="TextBody"/>
        <w:bidi w:val="0"/>
        <w:spacing w:lineRule="atLeast" w:line="265"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should be noted that the timely filing of the Forms 3, 4 and 5 is the personal responsibility of the officer or director.</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VIII.    Other Matters</w:t>
      </w:r>
    </w:p>
    <w:p>
      <w:pPr>
        <w:pStyle w:val="TextBody"/>
        <w:bidi w:val="0"/>
        <w:spacing w:lineRule="auto" w:line="288" w:before="0" w:after="240"/>
        <w:ind w:left="0" w:right="0" w:firstLine="734"/>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Company Assistance</w:t>
      </w:r>
    </w:p>
    <w:p>
      <w:pPr>
        <w:pStyle w:val="TextBody"/>
        <w:bidi w:val="0"/>
        <w:spacing w:lineRule="auto" w:line="288" w:before="0" w:after="240"/>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Your compliance with this Policy is of the utmost importance both for you and for the Company. If you have any questions about this Policy or its application to any proposed transaction, you may obtain additional guidance from the Chief Executive Officer.</w:t>
      </w:r>
    </w:p>
    <w:p>
      <w:pPr>
        <w:pStyle w:val="TextBody"/>
        <w:bidi w:val="0"/>
        <w:spacing w:lineRule="auto" w:line="288" w:before="0" w:after="240"/>
        <w:ind w:left="0" w:right="0" w:hanging="57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Certification</w:t>
      </w:r>
    </w:p>
    <w:p>
      <w:pPr>
        <w:pStyle w:val="TextBody"/>
        <w:bidi w:val="0"/>
        <w:spacing w:lineRule="auto" w:line="288" w:before="0" w:after="240"/>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Policy Insiders, as well as other employees or consultants determined from time to time by the Chief Executive Officer to be subject to the procedures set forth in this Policy, must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02285"/>
                <wp:effectExtent l="0" t="0" r="0" b="0"/>
                <wp:wrapNone/>
                <wp:docPr id="201" name="Frame19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certify their understanding of, and intent to comply with, this Policy on the Company’s form of Insider Trading Policy Certification which is attached to this Policy.</w:t>
      </w:r>
    </w:p>
    <w:p>
      <w:pPr>
        <w:pStyle w:val="TextBody"/>
        <w:bidi w:val="0"/>
        <w:spacing w:lineRule="auto" w:line="288" w:before="0" w:after="240"/>
        <w:ind w:left="0" w:right="0" w:hanging="57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Insider Liability</w:t>
      </w:r>
    </w:p>
    <w:p>
      <w:pPr>
        <w:pStyle w:val="TextBody"/>
        <w:bidi w:val="0"/>
        <w:spacing w:lineRule="auto" w:line="288" w:before="0" w:after="240"/>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Each person who fails to comply with insider trading laws is exposed to significant financial and legal liability including fines and imprisonment, in addition to general embarrassment and damage to his or her reputation. Further, the reputation of the Company may be damaged, and it may be exposed to liability. A breach of the Company’s Insider Trading Policy is considered a breach of any employment contract with the Company and, as such, violators may be immediately dismissed for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02285"/>
                <wp:effectExtent l="0" t="0" r="0" b="0"/>
                <wp:wrapNone/>
                <wp:docPr id="202" name="Frame19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ans-serif" w:hAnsi="Times New Roman;sans-serif"/>
          <w:b/>
          <w:color w:val="000000"/>
          <w:sz w:val="24"/>
        </w:rPr>
        <w:t>KINGSTONE COMPANIES,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before="0" w:after="0"/>
        <w:jc w:val="both"/>
        <w:rPr/>
      </w:pPr>
      <w:r>
        <w:rPr/>
      </w:r>
    </w:p>
    <w:p>
      <w:pPr>
        <w:pStyle w:val="TextBody"/>
        <w:bidi w:val="0"/>
        <w:spacing w:lineRule="atLeast" w:line="52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Chief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I, _________________________ (name), have received and read a copy of the Insider Trading Policy of Kingstone Companies,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effective ___________, 2025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I hereby agree to comply with the specific requirements of the Policy in all respects during my employment or other association with the Company. I understand that my failure to comply in all respects with the Policy is a basis for termination for cause of my employment or other association. </w:t>
      </w:r>
    </w:p>
    <w:p>
      <w:pPr>
        <w:pStyle w:val="TextBody"/>
        <w:bidi w:val="0"/>
        <w:spacing w:before="0" w:after="0"/>
        <w:ind w:left="0" w:right="0" w:firstLine="5040"/>
        <w:jc w:val="left"/>
        <w:rPr/>
      </w:pPr>
      <w:r>
        <w:rPr/>
      </w:r>
    </w:p>
    <w:p>
      <w:pPr>
        <w:pStyle w:val="TextBody"/>
        <w:bidi w:val="0"/>
        <w:spacing w:before="0" w:after="0"/>
        <w:ind w:left="0" w:right="0" w:firstLine="5040"/>
        <w:jc w:val="left"/>
        <w:rPr/>
      </w:pPr>
      <w:r>
        <w:rPr/>
      </w:r>
    </w:p>
    <w:p>
      <w:pPr>
        <w:pStyle w:val="TextBody"/>
        <w:bidi w:val="0"/>
        <w:spacing w:lineRule="auto" w:line="28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w:t>
      </w:r>
    </w:p>
    <w:p>
      <w:pPr>
        <w:pStyle w:val="TextBody"/>
        <w:bidi w:val="0"/>
        <w:spacing w:lineRule="auto" w:line="28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0"/>
        <w:ind w:left="0" w:right="0" w:firstLine="5040"/>
        <w:jc w:val="left"/>
        <w:rPr/>
      </w:pPr>
      <w:r>
        <w:rPr/>
      </w:r>
    </w:p>
    <w:p>
      <w:pPr>
        <w:pStyle w:val="TextBody"/>
        <w:bidi w:val="0"/>
        <w:spacing w:before="0" w:after="0"/>
        <w:ind w:left="0" w:right="0" w:firstLine="5040"/>
        <w:jc w:val="left"/>
        <w:rPr/>
      </w:pPr>
      <w:r>
        <w:rPr/>
      </w:r>
    </w:p>
    <w:p>
      <w:pPr>
        <w:pStyle w:val="TextBody"/>
        <w:bidi w:val="0"/>
        <w:spacing w:lineRule="auto" w:line="28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w:t>
      </w:r>
    </w:p>
    <w:p>
      <w:pPr>
        <w:pStyle w:val="TextBody"/>
        <w:bidi w:val="0"/>
        <w:spacing w:lineRule="auto" w:line="28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(Name - Please Print)</w:t>
      </w:r>
    </w:p>
    <w:p>
      <w:pPr>
        <w:pStyle w:val="TextBody"/>
        <w:bidi w:val="0"/>
        <w:spacing w:before="0" w:after="0"/>
        <w:ind w:left="0" w:right="0" w:firstLine="5040"/>
        <w:jc w:val="left"/>
        <w:rPr/>
      </w:pPr>
      <w:r>
        <w:rPr/>
      </w:r>
    </w:p>
    <w:p>
      <w:pPr>
        <w:pStyle w:val="TextBody"/>
        <w:bidi w:val="0"/>
        <w:spacing w:before="0" w:after="0"/>
        <w:ind w:left="0" w:right="0" w:firstLine="5040"/>
        <w:jc w:val="left"/>
        <w:rPr/>
      </w:pPr>
      <w:r>
        <w:rPr/>
      </w:r>
    </w:p>
    <w:p>
      <w:pPr>
        <w:pStyle w:val="TextBody"/>
        <w:bidi w:val="0"/>
        <w:spacing w:lineRule="auto" w:line="28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w:t>
      </w:r>
    </w:p>
    <w:p>
      <w:pPr>
        <w:pStyle w:val="TextBody"/>
        <w:bidi w:val="0"/>
        <w:spacing w:lineRule="auto" w:line="28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92100"/>
                <wp:effectExtent l="0" t="0" r="0" b="0"/>
                <wp:wrapNone/>
                <wp:docPr id="203" name="Frame19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lineRule="atLeast" w:line="520" w:before="0" w:after="0"/>
        <w:jc w:val="left"/>
        <w:rPr/>
      </w:pPr>
      <w:r>
        <w:rPr>
          <w:color w:val="000000"/>
        </w:rPr>
        <w:t>    </w:t>
      </w:r>
      <w:r>
        <w:rPr>
          <w:rFonts w:ascii="Times New Roman;sans-serif" w:hAnsi="Times New Roman;sans-serif"/>
          <w:b/>
          <w:color w:val="000000"/>
          <w:sz w:val="24"/>
        </w:rPr>
        <w:t>SCHEDULE I</w:t>
      </w:r>
    </w:p>
    <w:p>
      <w:pPr>
        <w:pStyle w:val="TextBody"/>
        <w:bidi w:val="0"/>
        <w:spacing w:lineRule="atLeast" w:line="520" w:before="0" w:after="0"/>
        <w:jc w:val="left"/>
        <w:rPr/>
      </w:pPr>
      <w:r>
        <w:rPr>
          <w:color w:val="000000"/>
        </w:rPr>
        <w:t>    </w:t>
      </w:r>
      <w:r>
        <w:rPr>
          <w:rFonts w:ascii="Times New Roman;sans-serif" w:hAnsi="Times New Roman;sans-serif"/>
          <w:b/>
          <w:color w:val="000000"/>
          <w:sz w:val="24"/>
          <w:u w:val="single"/>
        </w:rPr>
        <w:t>DESIGNATED EMPLOYEES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Senior Leadership Team members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Finance Department members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Senior Manager, Pricing and Product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Assistant Actuary</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92100"/>
                <wp:effectExtent l="0" t="0" r="0" b="0"/>
                <wp:wrapNone/>
                <wp:docPr id="204" name="Frame1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8499606.2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INDEPENDENT REGISTERED PUBLIC ACCOUNTING FIRM’S CONSENT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Registration Statements of Kingstone Companies, Inc. on Form S-3 (No. 333-278539) and Form S-8 (No. 333-207986, No. 333-245013, No. 333-258877, No. 333-274008 and No. 333-281544) of our report dated March 18, 2025, with respect to our audits of the consolidated financial statements of Kingstone Companies, Inc. and Subsidiaries as of December 31, 2024 and 2023 and for the years then ended, which report is included in this Annual Report on Form 10-K of Kingstone Companies, Inc. for the year ended 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Marcum llp</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Hartford, CT</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March 18,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Meryl S. Golden, certify that:</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Kingstone Companies, Inc.;</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85" w:type="dxa"/>
        <w:jc w:val="left"/>
        <w:tblInd w:w="0" w:type="dxa"/>
        <w:tblLayout w:type="fixed"/>
        <w:tblCellMar>
          <w:top w:w="28" w:type="dxa"/>
          <w:left w:w="28" w:type="dxa"/>
          <w:bottom w:w="28" w:type="dxa"/>
          <w:right w:w="28" w:type="dxa"/>
        </w:tblCellMar>
      </w:tblPr>
      <w:tblGrid>
        <w:gridCol w:w="683"/>
        <w:gridCol w:w="601"/>
        <w:gridCol w:w="605"/>
        <w:gridCol w:w="674"/>
        <w:gridCol w:w="674"/>
        <w:gridCol w:w="67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18, 2025</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Meryl S.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Meryl S. Golden</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Jennifer L. Gravelle, certify that:</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Kingstone Companies, Inc.;</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24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11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25" w:type="dxa"/>
        <w:jc w:val="left"/>
        <w:tblInd w:w="0" w:type="dxa"/>
        <w:tblLayout w:type="fixed"/>
        <w:tblCellMar>
          <w:top w:w="28" w:type="dxa"/>
          <w:left w:w="28" w:type="dxa"/>
          <w:bottom w:w="28" w:type="dxa"/>
          <w:right w:w="28" w:type="dxa"/>
        </w:tblCellMar>
      </w:tblPr>
      <w:tblGrid>
        <w:gridCol w:w="683"/>
        <w:gridCol w:w="601"/>
        <w:gridCol w:w="605"/>
        <w:gridCol w:w="654"/>
        <w:gridCol w:w="654"/>
        <w:gridCol w:w="65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18, 2025</w:t>
            </w:r>
          </w:p>
        </w:tc>
        <w:tc>
          <w:tcPr>
            <w:tcW w:w="1964"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Jennifer L. Gravelle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L. Gravelle</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AND CHIEF FINANCIAL OFFICER</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76" w:before="240" w:after="283"/>
        <w:ind w:left="0" w:right="0" w:firstLine="675"/>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certify, pursuant to, and as required by, 18 U.S.C. Section 1350, as adopted pursuant to Section 906 of the Sarbanes-Oxley Act of 2002, that the Annual Report of Kingstone Companies, Inc. (the “Company”) on Form 10-K for the year ended December 31, 2024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tbl>
      <w:tblPr>
        <w:tblW w:w="4391" w:type="dxa"/>
        <w:jc w:val="left"/>
        <w:tblInd w:w="0" w:type="dxa"/>
        <w:tblLayout w:type="fixed"/>
        <w:tblCellMar>
          <w:top w:w="28" w:type="dxa"/>
          <w:left w:w="28" w:type="dxa"/>
          <w:bottom w:w="28" w:type="dxa"/>
          <w:right w:w="28" w:type="dxa"/>
        </w:tblCellMar>
      </w:tblPr>
      <w:tblGrid>
        <w:gridCol w:w="721"/>
        <w:gridCol w:w="634"/>
        <w:gridCol w:w="640"/>
        <w:gridCol w:w="674"/>
        <w:gridCol w:w="674"/>
        <w:gridCol w:w="676"/>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18, 2025</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Meryl S.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Meryl S. Golden</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Jennifer L. Gravelle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L. Gravelle</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3992/000135448814002619/kins_ex3a.htm" TargetMode="External"/><Relationship Id="rId4" Type="http://schemas.openxmlformats.org/officeDocument/2006/relationships/hyperlink" Target="https://www.sec.gov/Archives/edgar/data/33992/000135448814002619/kins_ex3a.htm" TargetMode="External"/><Relationship Id="rId5" Type="http://schemas.openxmlformats.org/officeDocument/2006/relationships/hyperlink" Target="https://www.sec.gov/Archives/edgar/data/33992/000102177109000069/ex3_1.htm" TargetMode="External"/><Relationship Id="rId6" Type="http://schemas.openxmlformats.org/officeDocument/2006/relationships/hyperlink" Target="https://www.sec.gov/Archives/edgar/data/33992/000102177109000069/ex3_1.htm" TargetMode="External"/><Relationship Id="rId7" Type="http://schemas.openxmlformats.org/officeDocument/2006/relationships/hyperlink" Target="https://www.sec.gov/Archives/edgar/data/33992/000102177122000068/ex10_1.htm" TargetMode="External"/><Relationship Id="rId8" Type="http://schemas.openxmlformats.org/officeDocument/2006/relationships/hyperlink" Target="https://www.sec.gov/Archives/edgar/data/33992/000102177122000068/ex10_1.htm" TargetMode="External"/><Relationship Id="rId9" Type="http://schemas.openxmlformats.org/officeDocument/2006/relationships/hyperlink" Target="https://www.sec.gov/Archives/edgar/data/33992/000102177122000068/ex10_1.htm" TargetMode="External"/><Relationship Id="rId10" Type="http://schemas.openxmlformats.org/officeDocument/2006/relationships/hyperlink" Target="https://www.sec.gov/Archives/edgar/data/33992/000102177122000068/ex10_1.htm" TargetMode="External"/><Relationship Id="rId11" Type="http://schemas.openxmlformats.org/officeDocument/2006/relationships/hyperlink" Target="https://www.sec.gov/Archives/edgar/data/33992/000102177122000068/ex10_1.htm" TargetMode="External"/><Relationship Id="rId12" Type="http://schemas.openxmlformats.org/officeDocument/2006/relationships/hyperlink" Target="https://www.sec.gov/Archives/edgar/data/33992/000102177122000068/ex10_1.htm" TargetMode="External"/><Relationship Id="rId13" Type="http://schemas.openxmlformats.org/officeDocument/2006/relationships/hyperlink" Target="https://www.sec.gov/Archives/edgar/data/33992/000102177122000068/ex10_1.htm" TargetMode="External"/><Relationship Id="rId14" Type="http://schemas.openxmlformats.org/officeDocument/2006/relationships/hyperlink" Target="https://www.sec.gov/Archives/edgar/data/33992/000102177122000068/ex10_1.htm" TargetMode="External"/><Relationship Id="rId15" Type="http://schemas.openxmlformats.org/officeDocument/2006/relationships/hyperlink" Target="https://www.sec.gov/Archives/edgar/data/33992/000102177122000068/ex10_1.htm" TargetMode="External"/><Relationship Id="rId16" Type="http://schemas.openxmlformats.org/officeDocument/2006/relationships/hyperlink" Target="https://www.sec.gov/Archives/edgar/data/33992/000102177122000068/ex10_1.htm" TargetMode="External"/><Relationship Id="rId17" Type="http://schemas.openxmlformats.org/officeDocument/2006/relationships/hyperlink" Target="https://www.sec.gov/Archives/edgar/data/33992/000102177122000068/ex10_1.htm" TargetMode="External"/><Relationship Id="rId18" Type="http://schemas.openxmlformats.org/officeDocument/2006/relationships/hyperlink" Target="https://www.sec.gov/Archives/edgar/data/33992/000102177122000068/ex10_1.htm" TargetMode="External"/><Relationship Id="rId19" Type="http://schemas.openxmlformats.org/officeDocument/2006/relationships/hyperlink" Target="https://www.sec.gov/Archives/edgar/data/33992/000102177122000068/ex10_1.htm" TargetMode="External"/><Relationship Id="rId20" Type="http://schemas.openxmlformats.org/officeDocument/2006/relationships/hyperlink" Target="https://www.sec.gov/Archives/edgar/data/33992/000102177122000068/ex10_1.htm" TargetMode="External"/><Relationship Id="rId21" Type="http://schemas.openxmlformats.org/officeDocument/2006/relationships/hyperlink" Target="https://www.sec.gov/Archives/edgar/data/33992/000102177122000068/ex10_1.htm" TargetMode="External"/><Relationship Id="rId22" Type="http://schemas.openxmlformats.org/officeDocument/2006/relationships/hyperlink" Target="https://www.sec.gov/Archives/edgar/data/33992/000102177122000068/ex10_1.htm" TargetMode="External"/><Relationship Id="rId23" Type="http://schemas.openxmlformats.org/officeDocument/2006/relationships/hyperlink" Target="https://www.sec.gov/Archives/edgar/data/33992/000102177122000068/ex10_1.htm" TargetMode="External"/><Relationship Id="rId24" Type="http://schemas.openxmlformats.org/officeDocument/2006/relationships/hyperlink" Target="https://www.sec.gov/Archives/edgar/data/33992/000102177122000068/ex10_1.htm" TargetMode="External"/><Relationship Id="rId25" Type="http://schemas.openxmlformats.org/officeDocument/2006/relationships/hyperlink" Target="https://www.sec.gov/Archives/edgar/data/33992/000102177122000068/ex10_1.htm" TargetMode="External"/><Relationship Id="rId26" Type="http://schemas.openxmlformats.org/officeDocument/2006/relationships/hyperlink" Target="https://www.sec.gov/Archives/edgar/data/33992/000102177122000068/ex10_1.htm" TargetMode="External"/><Relationship Id="rId27" Type="http://schemas.openxmlformats.org/officeDocument/2006/relationships/hyperlink" Target="https://www.sec.gov/Archives/edgar/data/33992/000102177122000068/ex10_1.htm" TargetMode="External"/><Relationship Id="rId28" Type="http://schemas.openxmlformats.org/officeDocument/2006/relationships/hyperlink" Target="https://www.sec.gov/Archives/edgar/data/33992/000102177122000068/ex10_1.htm" TargetMode="External"/><Relationship Id="rId29" Type="http://schemas.openxmlformats.org/officeDocument/2006/relationships/hyperlink" Target="https://www.sec.gov/Archives/edgar/data/33992/000102177122000068/ex10_1.htm" TargetMode="External"/><Relationship Id="rId30" Type="http://schemas.openxmlformats.org/officeDocument/2006/relationships/hyperlink" Target="https://www.sec.gov/Archives/edgar/data/33992/000102177122000068/ex10_1.htm" TargetMode="External"/><Relationship Id="rId31" Type="http://schemas.openxmlformats.org/officeDocument/2006/relationships/hyperlink" Target="https://www.sec.gov/Archives/edgar/data/33992/000102177122000068/ex10_1.htm" TargetMode="External"/><Relationship Id="rId32" Type="http://schemas.openxmlformats.org/officeDocument/2006/relationships/hyperlink" Target="https://www.sec.gov/Archives/edgar/data/33992/000102177122000068/ex10_1.htm" TargetMode="External"/><Relationship Id="rId33" Type="http://schemas.openxmlformats.org/officeDocument/2006/relationships/hyperlink" Target="https://www.sec.gov/Archives/edgar/data/33992/000102177122000068/ex10_1.htm" TargetMode="External"/><Relationship Id="rId34" Type="http://schemas.openxmlformats.org/officeDocument/2006/relationships/hyperlink" Target="https://www.sec.gov/Archives/edgar/data/33992/000102177122000068/ex10_1.htm" TargetMode="External"/><Relationship Id="rId35" Type="http://schemas.openxmlformats.org/officeDocument/2006/relationships/hyperlink" Target="https://www.sec.gov/Archives/edgar/data/33992/000165495424004054/kins_ex10a.htm" TargetMode="External"/><Relationship Id="rId36" Type="http://schemas.openxmlformats.org/officeDocument/2006/relationships/hyperlink" Target="https://www.sec.gov/Archives/edgar/data/33992/000165495424004054/kins_ex10a.htm" TargetMode="External"/><Relationship Id="rId37" Type="http://schemas.openxmlformats.org/officeDocument/2006/relationships/hyperlink" Target="https://www.sec.gov/Archives/edgar/data/33992/000102177122000033/ex10_1.htm" TargetMode="External"/><Relationship Id="rId38" Type="http://schemas.openxmlformats.org/officeDocument/2006/relationships/hyperlink" Target="https://www.sec.gov/Archives/edgar/data/33992/000102177122000033/ex10_2.htm" TargetMode="External"/><Relationship Id="rId39" Type="http://schemas.openxmlformats.org/officeDocument/2006/relationships/hyperlink" Target="https://www.sec.gov/Archives/edgar/data/33992/000102177122000033/ex10_2.htm" TargetMode="External"/><Relationship Id="rId40" Type="http://schemas.openxmlformats.org/officeDocument/2006/relationships/hyperlink" Target="https://www.sec.gov/Archives/edgar/data/33992/000102177124000138/ex1_1.htm" TargetMode="External"/><Relationship Id="rId41" Type="http://schemas.openxmlformats.org/officeDocument/2006/relationships/hyperlink" Target="https://www.sec.gov/Archives/edgar/data/33992/000102177125000029/ex10_1.htm" TargetMode="External"/><Relationship Id="rId42" Type="http://schemas.openxmlformats.org/officeDocument/2006/relationships/hyperlink" Target="https://www.sec.gov/Archives/edgar/data/33992/000165495417002100/kins_ex21.htm" TargetMode="External"/><Relationship Id="rId43" Type="http://schemas.openxmlformats.org/officeDocument/2006/relationships/hyperlink" Target="https://www.sec.gov/Archives/edgar/data/33992/000165495424004054/kins_ex97.htm" TargetMode="External"/><Relationship Id="rId44" Type="http://schemas.openxmlformats.org/officeDocument/2006/relationships/hyperlink" Target="https://www.sec.gov/Archives/edgar/data/33992/000165495424004054/kins_ex97.htm" TargetMode="External"/><Relationship Id="rId45" Type="http://schemas.openxmlformats.org/officeDocument/2006/relationships/hyperlink" Target="https://www.sec.gov/Archives/edgar/data/33992/000165495424004054/kins_ex97.htm" TargetMode="External"/><Relationship Id="rId46" Type="http://schemas.openxmlformats.org/officeDocument/2006/relationships/hyperlink" Target="https://www.sec.gov/Archives/edgar/data/33992/000165495424004054/kins_ex97.htm" TargetMode="External"/><Relationship Id="rId47" Type="http://schemas.openxmlformats.org/officeDocument/2006/relationships/hyperlink" Target="https://www.sec.gov/Archives/edgar/data/33992/000165495424004054/kins_ex97.htm" TargetMode="External"/><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image" Target="media/image5.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89930</Words>
  <Characters>488249</Characters>
  <CharactersWithSpaces>575552</CharactersWithSpaces>
  <Paragraphs>9428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a10s2025bonusstructurere</dc:title>
</cp:coreProperties>
</file>