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10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302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520700</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3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23" w:lineRule="exact"/>
        <w:rPr>
          <w:sz w:val="24"/>
          <w:szCs w:val="24"/>
          <w:color w:val="auto"/>
        </w:rPr>
      </w:pPr>
    </w:p>
    <w:p>
      <w:pPr>
        <w:jc w:val="center"/>
        <w:ind w:left="4080" w:right="1480" w:hanging="3807"/>
        <w:spacing w:after="0" w:line="263" w:lineRule="auto"/>
        <w:tabs>
          <w:tab w:leader="none" w:pos="1283"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2016</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13" w:lineRule="exact"/>
        <w:rPr>
          <w:sz w:val="24"/>
          <w:szCs w:val="24"/>
          <w:color w:val="auto"/>
        </w:rPr>
      </w:pPr>
    </w:p>
    <w:p>
      <w:pPr>
        <w:jc w:val="center"/>
        <w:ind w:left="3740" w:right="1480" w:hanging="3467"/>
        <w:spacing w:after="0" w:line="286" w:lineRule="auto"/>
        <w:tabs>
          <w:tab w:leader="none" w:pos="1277"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_________to _________</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0-1665</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KINGSTONE COMPANIES,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400"/>
          </w:cols>
          <w:pgMar w:left="240" w:top="884" w:right="259" w:bottom="1440" w:gutter="0" w:footer="0" w:header="0"/>
        </w:sectPr>
      </w:pPr>
    </w:p>
    <w:p>
      <w:pPr>
        <w:spacing w:after="0" w:line="205"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Delaware(State or other jurisdiction of incorporation or organization)</w:t>
      </w:r>
    </w:p>
    <w:p>
      <w:pPr>
        <w:spacing w:after="0" w:line="24"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15 Joys Lane</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15"/>
          <w:szCs w:val="15"/>
          <w:b w:val="1"/>
          <w:bCs w:val="1"/>
          <w:color w:val="auto"/>
        </w:rPr>
        <w:t>Kingston, NY 12401</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36-2476480(I.R.S. EmployerIdentification Number)</w:t>
      </w:r>
    </w:p>
    <w:p>
      <w:pPr>
        <w:spacing w:after="0" w:line="465" w:lineRule="exact"/>
        <w:rPr>
          <w:sz w:val="24"/>
          <w:szCs w:val="24"/>
          <w:color w:val="auto"/>
        </w:rPr>
      </w:pPr>
    </w:p>
    <w:p>
      <w:pPr>
        <w:sectPr>
          <w:pgSz w:w="11900" w:h="16838" w:orient="portrait"/>
          <w:cols w:equalWidth="0" w:num="2">
            <w:col w:w="6440" w:space="400"/>
            <w:col w:w="4560"/>
          </w:cols>
          <w:pgMar w:left="240" w:top="884" w:right="25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(845) 802-7900</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27" w:lineRule="exact"/>
        <w:rPr>
          <w:sz w:val="24"/>
          <w:szCs w:val="24"/>
          <w:color w:val="auto"/>
        </w:rPr>
      </w:pPr>
    </w:p>
    <w:p>
      <w:pPr>
        <w:ind w:right="22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ind w:right="10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spacing w:after="0" w:line="28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884" w:right="259" w:bottom="1440" w:gutter="0" w:footer="0" w:header="0"/>
          <w:type w:val="continuous"/>
        </w:sectPr>
      </w:pPr>
    </w:p>
    <w:p>
      <w:pPr>
        <w:spacing w:after="0" w:line="138" w:lineRule="exact"/>
        <w:rPr>
          <w:sz w:val="24"/>
          <w:szCs w:val="24"/>
          <w:color w:val="auto"/>
        </w:rPr>
      </w:pPr>
    </w:p>
    <w:p>
      <w:pPr>
        <w:ind w:left="40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Accelerated filer</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rFonts w:ascii="Arial" w:cs="Arial" w:eastAsia="Arial" w:hAnsi="Arial"/>
          <w:sz w:val="15"/>
          <w:szCs w:val="15"/>
          <w:color w:val="auto"/>
        </w:rPr>
        <w:t>(Do not check</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if a smaller reporting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55" w:lineRule="exact"/>
        <w:rPr>
          <w:sz w:val="24"/>
          <w:szCs w:val="24"/>
          <w:color w:val="auto"/>
        </w:rPr>
      </w:pPr>
    </w:p>
    <w:p>
      <w:pPr>
        <w:sectPr>
          <w:pgSz w:w="11900" w:h="16838" w:orient="portrait"/>
          <w:cols w:equalWidth="0" w:num="4">
            <w:col w:w="2820" w:space="720"/>
            <w:col w:w="1600" w:space="720"/>
            <w:col w:w="2600" w:space="620"/>
            <w:col w:w="2320"/>
          </w:cols>
          <w:pgMar w:left="240" w:top="884" w:right="25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17"/>
          <w:szCs w:val="17"/>
          <w:color w:val="auto"/>
        </w:rPr>
        <w:t>As of August 11, 2016 there were 7,910,375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25106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33020"/>
                    </a:xfrm>
                    <a:prstGeom prst="rect">
                      <a:avLst/>
                    </a:prstGeom>
                    <a:noFill/>
                  </pic:spPr>
                </pic:pic>
              </a:graphicData>
            </a:graphic>
          </wp:anchor>
        </w:drawing>
      </w:r>
    </w:p>
    <w:p>
      <w:pPr>
        <w:sectPr>
          <w:pgSz w:w="11900" w:h="16838" w:orient="portrait"/>
          <w:cols w:equalWidth="0" w:num="1">
            <w:col w:w="11400"/>
          </w:cols>
          <w:pgMar w:left="240" w:top="884"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KINGSTONE COMPANIES,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5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6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PART I — FINANCIAL INFORMATION</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7"/>
                <w:szCs w:val="17"/>
                <w:color w:val="auto"/>
              </w:rPr>
              <w:t>Item 1 —</w:t>
            </w:r>
          </w:p>
        </w:tc>
        <w:tc>
          <w:tcPr>
            <w:tcW w:w="9560" w:type="dxa"/>
            <w:vAlign w:val="bottom"/>
          </w:tcPr>
          <w:p>
            <w:pPr>
              <w:ind w:left="120"/>
              <w:spacing w:after="0"/>
              <w:rPr>
                <w:sz w:val="20"/>
                <w:szCs w:val="20"/>
                <w:color w:val="auto"/>
              </w:rPr>
            </w:pPr>
            <w:r>
              <w:rPr>
                <w:rFonts w:ascii="Arial" w:cs="Arial" w:eastAsia="Arial" w:hAnsi="Arial"/>
                <w:sz w:val="17"/>
                <w:szCs w:val="17"/>
                <w:color w:val="auto"/>
              </w:rPr>
              <w:t>Financial Statements</w:t>
            </w:r>
          </w:p>
        </w:tc>
        <w:tc>
          <w:tcPr>
            <w:tcW w:w="7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Condensed Consolidated Balance Sheets at June 30, 2016 (Unaudited) and December 31, 2015</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560" w:type="dxa"/>
            <w:vAlign w:val="bottom"/>
          </w:tcPr>
          <w:p>
            <w:pPr>
              <w:ind w:left="120"/>
              <w:spacing w:after="0"/>
              <w:rPr>
                <w:sz w:val="20"/>
                <w:szCs w:val="20"/>
                <w:color w:val="auto"/>
              </w:rPr>
            </w:pPr>
            <w:r>
              <w:rPr>
                <w:rFonts w:ascii="Arial" w:cs="Arial" w:eastAsia="Arial" w:hAnsi="Arial"/>
                <w:sz w:val="17"/>
                <w:szCs w:val="17"/>
                <w:color w:val="auto"/>
                <w:w w:val="92"/>
              </w:rPr>
              <w:t>Condensed Consolidated Statements of Income and Comprehensive Income for the three months and six months ended June 30, 2016</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7"/>
                <w:szCs w:val="17"/>
                <w:color w:val="auto"/>
              </w:rPr>
              <w:t>(Unaudited) and 2015 (Unaudited)</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Condensed Consolidated Statement of Stockholders’ Equity for the six months ended June 30, 2016 (Unaudited)</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560" w:type="dxa"/>
            <w:vAlign w:val="bottom"/>
          </w:tcPr>
          <w:p>
            <w:pPr>
              <w:ind w:left="120"/>
              <w:spacing w:after="0"/>
              <w:rPr>
                <w:sz w:val="20"/>
                <w:szCs w:val="20"/>
                <w:color w:val="auto"/>
              </w:rPr>
            </w:pPr>
            <w:r>
              <w:rPr>
                <w:rFonts w:ascii="Arial" w:cs="Arial" w:eastAsia="Arial" w:hAnsi="Arial"/>
                <w:sz w:val="17"/>
                <w:szCs w:val="17"/>
                <w:color w:val="auto"/>
                <w:w w:val="98"/>
              </w:rPr>
              <w:t>Condensed Consolidated Statements of Cash Flows for the six months ended June 30, 2016 (Unaudited) and 2015 (Unaudited)</w:t>
            </w:r>
          </w:p>
        </w:tc>
        <w:tc>
          <w:tcPr>
            <w:tcW w:w="72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Notes to Condensed Consolidated Financial Statements (Unaudited)</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7"/>
                <w:szCs w:val="17"/>
                <w:color w:val="auto"/>
              </w:rPr>
              <w:t>Item 2 —</w:t>
            </w:r>
          </w:p>
        </w:tc>
        <w:tc>
          <w:tcPr>
            <w:tcW w:w="9560" w:type="dxa"/>
            <w:vAlign w:val="bottom"/>
          </w:tcPr>
          <w:p>
            <w:pPr>
              <w:ind w:left="16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720" w:type="dxa"/>
            <w:vAlign w:val="bottom"/>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Item 3 —</w:t>
            </w:r>
          </w:p>
        </w:tc>
        <w:tc>
          <w:tcPr>
            <w:tcW w:w="9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Quantitative and Qualitative Disclosures About Market Risk</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7"/>
                <w:szCs w:val="17"/>
                <w:color w:val="auto"/>
              </w:rPr>
              <w:t>Item 4 —</w:t>
            </w:r>
          </w:p>
        </w:tc>
        <w:tc>
          <w:tcPr>
            <w:tcW w:w="9560" w:type="dxa"/>
            <w:vAlign w:val="bottom"/>
          </w:tcPr>
          <w:p>
            <w:pPr>
              <w:ind w:left="160"/>
              <w:spacing w:after="0"/>
              <w:rPr>
                <w:sz w:val="20"/>
                <w:szCs w:val="20"/>
                <w:color w:val="auto"/>
              </w:rPr>
            </w:pPr>
            <w:r>
              <w:rPr>
                <w:rFonts w:ascii="Arial" w:cs="Arial" w:eastAsia="Arial" w:hAnsi="Arial"/>
                <w:sz w:val="17"/>
                <w:szCs w:val="17"/>
                <w:color w:val="auto"/>
              </w:rPr>
              <w:t>Controls and Procedures</w:t>
            </w:r>
          </w:p>
        </w:tc>
        <w:tc>
          <w:tcPr>
            <w:tcW w:w="720" w:type="dxa"/>
            <w:vAlign w:val="bottom"/>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6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680" w:type="dxa"/>
            <w:vAlign w:val="bottom"/>
            <w:gridSpan w:val="2"/>
          </w:tcPr>
          <w:p>
            <w:pPr>
              <w:spacing w:after="0"/>
              <w:rPr>
                <w:sz w:val="20"/>
                <w:szCs w:val="20"/>
                <w:color w:val="auto"/>
              </w:rPr>
            </w:pPr>
            <w:r>
              <w:rPr>
                <w:rFonts w:ascii="Arial" w:cs="Arial" w:eastAsia="Arial" w:hAnsi="Arial"/>
                <w:sz w:val="17"/>
                <w:szCs w:val="17"/>
                <w:b w:val="1"/>
                <w:bCs w:val="1"/>
                <w:color w:val="auto"/>
              </w:rPr>
              <w:t>PART II — OTHER INFORMATION</w:t>
            </w:r>
          </w:p>
        </w:tc>
        <w:tc>
          <w:tcPr>
            <w:tcW w:w="720" w:type="dxa"/>
            <w:vAlign w:val="bottom"/>
          </w:tcPr>
          <w:p>
            <w:pPr>
              <w:jc w:val="right"/>
              <w:spacing w:after="0"/>
              <w:rPr>
                <w:sz w:val="20"/>
                <w:szCs w:val="20"/>
                <w:color w:val="auto"/>
              </w:rPr>
            </w:pPr>
            <w:r>
              <w:rPr>
                <w:rFonts w:ascii="Arial" w:cs="Arial" w:eastAsia="Arial" w:hAnsi="Arial"/>
                <w:sz w:val="17"/>
                <w:szCs w:val="17"/>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Item 1 —</w:t>
            </w:r>
          </w:p>
        </w:tc>
        <w:tc>
          <w:tcPr>
            <w:tcW w:w="9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Legal Proceedings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7"/>
                <w:szCs w:val="17"/>
                <w:color w:val="auto"/>
              </w:rPr>
              <w:t>Item 1A —</w:t>
            </w:r>
          </w:p>
        </w:tc>
        <w:tc>
          <w:tcPr>
            <w:tcW w:w="9560" w:type="dxa"/>
            <w:vAlign w:val="bottom"/>
          </w:tcPr>
          <w:p>
            <w:pPr>
              <w:ind w:left="120"/>
              <w:spacing w:after="0"/>
              <w:rPr>
                <w:sz w:val="20"/>
                <w:szCs w:val="20"/>
                <w:color w:val="auto"/>
              </w:rPr>
            </w:pPr>
            <w:r>
              <w:rPr>
                <w:rFonts w:ascii="Arial" w:cs="Arial" w:eastAsia="Arial" w:hAnsi="Arial"/>
                <w:sz w:val="17"/>
                <w:szCs w:val="17"/>
                <w:color w:val="auto"/>
              </w:rPr>
              <w:t>Risk Factors</w:t>
            </w:r>
          </w:p>
        </w:tc>
        <w:tc>
          <w:tcPr>
            <w:tcW w:w="720" w:type="dxa"/>
            <w:vAlign w:val="bottom"/>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Item 2 —</w:t>
            </w:r>
          </w:p>
        </w:tc>
        <w:tc>
          <w:tcPr>
            <w:tcW w:w="9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Unregistered Sales of Equity Securities and Use of Proceeds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7"/>
                <w:szCs w:val="17"/>
                <w:color w:val="auto"/>
              </w:rPr>
              <w:t>Item 3 —</w:t>
            </w:r>
          </w:p>
        </w:tc>
        <w:tc>
          <w:tcPr>
            <w:tcW w:w="9560" w:type="dxa"/>
            <w:vAlign w:val="bottom"/>
          </w:tcPr>
          <w:p>
            <w:pPr>
              <w:ind w:left="120"/>
              <w:spacing w:after="0"/>
              <w:rPr>
                <w:sz w:val="20"/>
                <w:szCs w:val="20"/>
                <w:color w:val="auto"/>
              </w:rPr>
            </w:pPr>
            <w:r>
              <w:rPr>
                <w:rFonts w:ascii="Arial" w:cs="Arial" w:eastAsia="Arial" w:hAnsi="Arial"/>
                <w:sz w:val="17"/>
                <w:szCs w:val="17"/>
                <w:color w:val="auto"/>
              </w:rPr>
              <w:t>Defaults Upon Senior Securities</w:t>
            </w:r>
          </w:p>
        </w:tc>
        <w:tc>
          <w:tcPr>
            <w:tcW w:w="720" w:type="dxa"/>
            <w:vAlign w:val="bottom"/>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Item 4 —</w:t>
            </w:r>
          </w:p>
        </w:tc>
        <w:tc>
          <w:tcPr>
            <w:tcW w:w="9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Mine Safety Disclosures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7"/>
                <w:szCs w:val="17"/>
                <w:color w:val="auto"/>
              </w:rPr>
              <w:t>Item 5 —</w:t>
            </w:r>
          </w:p>
        </w:tc>
        <w:tc>
          <w:tcPr>
            <w:tcW w:w="9560" w:type="dxa"/>
            <w:vAlign w:val="bottom"/>
          </w:tcPr>
          <w:p>
            <w:pPr>
              <w:ind w:left="120"/>
              <w:spacing w:after="0"/>
              <w:rPr>
                <w:sz w:val="20"/>
                <w:szCs w:val="20"/>
                <w:color w:val="auto"/>
              </w:rPr>
            </w:pPr>
            <w:r>
              <w:rPr>
                <w:rFonts w:ascii="Arial" w:cs="Arial" w:eastAsia="Arial" w:hAnsi="Arial"/>
                <w:sz w:val="17"/>
                <w:szCs w:val="17"/>
                <w:color w:val="auto"/>
              </w:rPr>
              <w:t>Other Information</w:t>
            </w:r>
          </w:p>
        </w:tc>
        <w:tc>
          <w:tcPr>
            <w:tcW w:w="720" w:type="dxa"/>
            <w:vAlign w:val="bottom"/>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Item 6 —</w:t>
            </w:r>
          </w:p>
        </w:tc>
        <w:tc>
          <w:tcPr>
            <w:tcW w:w="9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Exhibits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Signatures</w:t>
            </w:r>
          </w:p>
        </w:tc>
        <w:tc>
          <w:tcPr>
            <w:tcW w:w="9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EXHIBIT 3(a)</w:t>
            </w:r>
          </w:p>
        </w:tc>
        <w:tc>
          <w:tcPr>
            <w:tcW w:w="9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EXHIBIT 3(b)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EXHIBIT 31(a)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EXHIBIT 31(b)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EXHIBIT 101.INS XBRL Instance Document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101.SCH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EXHIBIT 101.CAL XBRL Taxonomy Extension Calculation Linkbase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101.DEF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EXHIBIT 101.LAB XBRL Taxonomy Extension Label Linkbase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276225</wp:posOffset>
            </wp:positionV>
            <wp:extent cx="7251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32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2015 under “Factors That May Affect Future Results and Financial Condition.”</w:t>
      </w:r>
    </w:p>
    <w:p>
      <w:pPr>
        <w:spacing w:after="0" w:line="269"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 xml:space="preserve">PART I. </w:t>
      </w:r>
      <w:r>
        <w:rPr>
          <w:rFonts w:ascii="Arial" w:cs="Arial" w:eastAsia="Arial" w:hAnsi="Arial"/>
          <w:sz w:val="17"/>
          <w:szCs w:val="17"/>
          <w:b w:val="1"/>
          <w:bCs w:val="1"/>
          <w:u w:val="single" w:color="auto"/>
          <w:color w:val="auto"/>
        </w:rPr>
        <w:t>FINANCIAL INFORMATION</w:t>
      </w:r>
    </w:p>
    <w:p>
      <w:pPr>
        <w:spacing w:after="0" w:line="118" w:lineRule="exact"/>
        <w:rPr>
          <w:sz w:val="20"/>
          <w:szCs w:val="20"/>
          <w:color w:val="auto"/>
        </w:rPr>
      </w:pPr>
    </w:p>
    <w:p>
      <w:pPr>
        <w:spacing w:after="0"/>
        <w:tabs>
          <w:tab w:leader="none" w:pos="15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r>
        <w:rPr>
          <w:rFonts w:ascii="Arial" w:cs="Arial" w:eastAsia="Arial" w:hAnsi="Arial"/>
          <w:sz w:val="15"/>
          <w:szCs w:val="15"/>
          <w:color w:val="auto"/>
        </w:rPr>
        <w:t>.</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61" w:lineRule="exact"/>
        <w:rPr>
          <w:sz w:val="20"/>
          <w:szCs w:val="20"/>
          <w:color w:val="auto"/>
        </w:rPr>
      </w:pPr>
    </w:p>
    <w:p>
      <w:pPr>
        <w:ind w:left="9120"/>
        <w:spacing w:after="0"/>
        <w:tabs>
          <w:tab w:leader="none" w:pos="103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48" w:lineRule="exact"/>
        <w:rPr>
          <w:sz w:val="20"/>
          <w:szCs w:val="20"/>
          <w:color w:val="auto"/>
        </w:rPr>
      </w:pPr>
    </w:p>
    <w:p>
      <w:pPr>
        <w:ind w:left="9240"/>
        <w:spacing w:after="0"/>
        <w:tabs>
          <w:tab w:leader="none" w:pos="105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25106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1065" cy="132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4" w:lineRule="exact"/>
        <w:rPr>
          <w:sz w:val="20"/>
          <w:szCs w:val="20"/>
          <w:color w:val="auto"/>
        </w:rPr>
      </w:pPr>
    </w:p>
    <w:p>
      <w:pPr>
        <w:ind w:left="360" w:right="2820" w:hanging="156"/>
        <w:spacing w:after="0" w:line="291" w:lineRule="auto"/>
        <w:rPr>
          <w:sz w:val="20"/>
          <w:szCs w:val="20"/>
          <w:color w:val="auto"/>
        </w:rPr>
      </w:pPr>
      <w:r>
        <w:rPr>
          <w:rFonts w:ascii="Arial" w:cs="Arial" w:eastAsia="Arial" w:hAnsi="Arial"/>
          <w:sz w:val="15"/>
          <w:szCs w:val="15"/>
          <w:color w:val="auto"/>
        </w:rPr>
        <w:t>Fixed-maturity securities, held-to-maturity, at amortized cost (fair value of $5,446,841 at June 30, 2016 and $5,241,095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1065" cy="132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360" w:right="2740" w:hanging="156"/>
        <w:spacing w:after="0" w:line="291" w:lineRule="auto"/>
        <w:rPr>
          <w:sz w:val="20"/>
          <w:szCs w:val="20"/>
          <w:color w:val="auto"/>
        </w:rPr>
      </w:pPr>
      <w:r>
        <w:rPr>
          <w:rFonts w:ascii="Arial" w:cs="Arial" w:eastAsia="Arial" w:hAnsi="Arial"/>
          <w:sz w:val="15"/>
          <w:szCs w:val="15"/>
          <w:color w:val="auto"/>
        </w:rPr>
        <w:t>Fixed-maturity securities, available-for-sale, at fair value (amortized cost of $71,215,531 at June 30, 2016 and $62,221,129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1065" cy="132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360" w:right="3140" w:hanging="156"/>
        <w:spacing w:after="0" w:line="305" w:lineRule="auto"/>
        <w:rPr>
          <w:sz w:val="20"/>
          <w:szCs w:val="20"/>
          <w:color w:val="auto"/>
        </w:rPr>
      </w:pPr>
      <w:r>
        <w:rPr>
          <w:rFonts w:ascii="Arial" w:cs="Arial" w:eastAsia="Arial" w:hAnsi="Arial"/>
          <w:sz w:val="15"/>
          <w:szCs w:val="15"/>
          <w:color w:val="auto"/>
        </w:rPr>
        <w:t>Equity securities, available-for-sale, at fair value (cost of $10,417,835 at June 30, 2016 and $8,751,537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1065" cy="14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Total investments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Premiums receivable,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Reinsurance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Deferred policy acquisition costs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Property and equipment,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4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251065" cy="132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Loss and loss adjustment expense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Unearned premiums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Advance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Reinsurance balances payable</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Deferred ceding commission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Accounts payable, accrued expenses and other liabilities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Deferred income taxes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1065" cy="149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1065" cy="132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32" w:lineRule="exact"/>
        <w:rPr>
          <w:sz w:val="20"/>
          <w:szCs w:val="20"/>
          <w:color w:val="auto"/>
        </w:rPr>
      </w:pPr>
    </w:p>
    <w:p>
      <w:pPr>
        <w:jc w:val="both"/>
        <w:spacing w:after="0"/>
        <w:tabs>
          <w:tab w:leader="none" w:pos="400" w:val="left"/>
          <w:tab w:leader="none" w:pos="1360" w:val="left"/>
          <w:tab w:leader="none" w:pos="17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5,072,253</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5,138,872</w:t>
      </w:r>
    </w:p>
    <w:p>
      <w:pPr>
        <w:spacing w:after="0" w:line="223"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73,398,463</w:t>
      </w:r>
      <w:r>
        <w:rPr>
          <w:sz w:val="20"/>
          <w:szCs w:val="20"/>
          <w:color w:val="auto"/>
        </w:rPr>
        <w:tab/>
      </w:r>
      <w:r>
        <w:rPr>
          <w:rFonts w:ascii="Arial" w:cs="Arial" w:eastAsia="Arial" w:hAnsi="Arial"/>
          <w:sz w:val="17"/>
          <w:szCs w:val="17"/>
          <w:color w:val="auto"/>
        </w:rPr>
        <w:t>62,502,064</w:t>
      </w:r>
    </w:p>
    <w:p>
      <w:pPr>
        <w:spacing w:after="0" w:line="223" w:lineRule="exact"/>
        <w:rPr>
          <w:sz w:val="20"/>
          <w:szCs w:val="20"/>
          <w:color w:val="auto"/>
        </w:rPr>
      </w:pPr>
    </w:p>
    <w:p>
      <w:pPr>
        <w:jc w:val="both"/>
        <w:ind w:left="340"/>
        <w:spacing w:after="0"/>
        <w:tabs>
          <w:tab w:leader="none" w:pos="1760" w:val="left"/>
        </w:tabs>
        <w:rPr>
          <w:sz w:val="20"/>
          <w:szCs w:val="20"/>
          <w:color w:val="auto"/>
        </w:rPr>
      </w:pPr>
      <w:r>
        <w:rPr>
          <w:rFonts w:ascii="Arial" w:cs="Arial" w:eastAsia="Arial" w:hAnsi="Arial"/>
          <w:sz w:val="17"/>
          <w:szCs w:val="17"/>
          <w:color w:val="auto"/>
        </w:rPr>
        <w:t>10,962,617</w:t>
      </w:r>
      <w:r>
        <w:rPr>
          <w:sz w:val="20"/>
          <w:szCs w:val="20"/>
          <w:color w:val="auto"/>
        </w:rPr>
        <w:tab/>
      </w:r>
      <w:r>
        <w:rPr>
          <w:rFonts w:ascii="Arial" w:cs="Arial" w:eastAsia="Arial" w:hAnsi="Arial"/>
          <w:sz w:val="17"/>
          <w:szCs w:val="17"/>
          <w:color w:val="auto"/>
        </w:rPr>
        <w:t>9,204,270</w:t>
      </w:r>
    </w:p>
    <w:p>
      <w:pPr>
        <w:spacing w:after="0" w:line="40"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89,433,333</w:t>
      </w:r>
      <w:r>
        <w:rPr>
          <w:sz w:val="20"/>
          <w:szCs w:val="20"/>
          <w:color w:val="auto"/>
        </w:rPr>
        <w:tab/>
      </w:r>
      <w:r>
        <w:rPr>
          <w:rFonts w:ascii="Arial" w:cs="Arial" w:eastAsia="Arial" w:hAnsi="Arial"/>
          <w:sz w:val="17"/>
          <w:szCs w:val="17"/>
          <w:color w:val="auto"/>
        </w:rPr>
        <w:t>76,845,206</w:t>
      </w:r>
    </w:p>
    <w:p>
      <w:pPr>
        <w:spacing w:after="0" w:line="20"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14,638,274</w:t>
      </w:r>
      <w:r>
        <w:rPr>
          <w:sz w:val="20"/>
          <w:szCs w:val="20"/>
          <w:color w:val="auto"/>
        </w:rPr>
        <w:tab/>
      </w:r>
      <w:r>
        <w:rPr>
          <w:rFonts w:ascii="Arial" w:cs="Arial" w:eastAsia="Arial" w:hAnsi="Arial"/>
          <w:sz w:val="17"/>
          <w:szCs w:val="17"/>
          <w:color w:val="auto"/>
        </w:rPr>
        <w:t>13,551,372</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11,250,184</w:t>
      </w:r>
      <w:r>
        <w:rPr>
          <w:sz w:val="20"/>
          <w:szCs w:val="20"/>
          <w:color w:val="auto"/>
        </w:rPr>
        <w:tab/>
      </w:r>
      <w:r>
        <w:rPr>
          <w:rFonts w:ascii="Arial" w:cs="Arial" w:eastAsia="Arial" w:hAnsi="Arial"/>
          <w:sz w:val="17"/>
          <w:szCs w:val="17"/>
          <w:color w:val="auto"/>
        </w:rPr>
        <w:t>10,621,655</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35,354,444</w:t>
      </w:r>
      <w:r>
        <w:rPr>
          <w:sz w:val="20"/>
          <w:szCs w:val="20"/>
          <w:color w:val="auto"/>
        </w:rPr>
        <w:tab/>
      </w:r>
      <w:r>
        <w:rPr>
          <w:rFonts w:ascii="Arial" w:cs="Arial" w:eastAsia="Arial" w:hAnsi="Arial"/>
          <w:sz w:val="17"/>
          <w:szCs w:val="17"/>
          <w:color w:val="auto"/>
        </w:rPr>
        <w:t>31,270,235</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11,548,056</w:t>
      </w:r>
      <w:r>
        <w:rPr>
          <w:sz w:val="20"/>
          <w:szCs w:val="20"/>
          <w:color w:val="auto"/>
        </w:rPr>
        <w:tab/>
      </w:r>
      <w:r>
        <w:rPr>
          <w:rFonts w:ascii="Arial" w:cs="Arial" w:eastAsia="Arial" w:hAnsi="Arial"/>
          <w:sz w:val="17"/>
          <w:szCs w:val="17"/>
          <w:color w:val="auto"/>
        </w:rPr>
        <w:t>10,835,306</w:t>
      </w:r>
    </w:p>
    <w:p>
      <w:pPr>
        <w:spacing w:after="0" w:line="14"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7"/>
          <w:szCs w:val="17"/>
          <w:color w:val="auto"/>
        </w:rPr>
        <w:t>1,520,000</w:t>
      </w:r>
      <w:r>
        <w:rPr>
          <w:sz w:val="20"/>
          <w:szCs w:val="20"/>
          <w:color w:val="auto"/>
        </w:rPr>
        <w:tab/>
      </w:r>
      <w:r>
        <w:rPr>
          <w:rFonts w:ascii="Arial" w:cs="Arial" w:eastAsia="Arial" w:hAnsi="Arial"/>
          <w:sz w:val="17"/>
          <w:szCs w:val="17"/>
          <w:color w:val="auto"/>
        </w:rPr>
        <w:t>1,757,816</w:t>
      </w:r>
    </w:p>
    <w:p>
      <w:pPr>
        <w:spacing w:after="0" w:line="14"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7"/>
          <w:szCs w:val="17"/>
          <w:color w:val="auto"/>
        </w:rPr>
        <w:t>3,143,656</w:t>
      </w:r>
      <w:r>
        <w:rPr>
          <w:sz w:val="20"/>
          <w:szCs w:val="20"/>
          <w:color w:val="auto"/>
        </w:rPr>
        <w:tab/>
      </w:r>
      <w:r>
        <w:rPr>
          <w:rFonts w:ascii="Arial" w:cs="Arial" w:eastAsia="Arial" w:hAnsi="Arial"/>
          <w:sz w:val="17"/>
          <w:szCs w:val="17"/>
          <w:color w:val="auto"/>
        </w:rPr>
        <w:t>3,152,266</w:t>
      </w:r>
    </w:p>
    <w:p>
      <w:pPr>
        <w:spacing w:after="0" w:line="14"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7"/>
          <w:szCs w:val="17"/>
          <w:color w:val="auto"/>
        </w:rPr>
        <w:t>1,042,165</w:t>
      </w:r>
      <w:r>
        <w:rPr>
          <w:sz w:val="20"/>
          <w:szCs w:val="20"/>
          <w:color w:val="auto"/>
        </w:rPr>
        <w:tab/>
      </w:r>
      <w:r>
        <w:rPr>
          <w:rFonts w:ascii="Arial" w:cs="Arial" w:eastAsia="Arial" w:hAnsi="Arial"/>
          <w:sz w:val="17"/>
          <w:szCs w:val="17"/>
          <w:color w:val="auto"/>
        </w:rPr>
        <w:t>1,095,894</w:t>
      </w:r>
    </w:p>
    <w:p>
      <w:pPr>
        <w:spacing w:after="0" w:line="34" w:lineRule="exact"/>
        <w:rPr>
          <w:sz w:val="20"/>
          <w:szCs w:val="20"/>
          <w:color w:val="auto"/>
        </w:rPr>
      </w:pPr>
    </w:p>
    <w:p>
      <w:pPr>
        <w:spacing w:after="0"/>
        <w:tabs>
          <w:tab w:leader="none" w:pos="240" w:val="left"/>
          <w:tab w:leader="none" w:pos="1360" w:val="left"/>
          <w:tab w:leader="none" w:pos="1600" w:val="left"/>
        </w:tabs>
        <w:rPr>
          <w:sz w:val="20"/>
          <w:szCs w:val="20"/>
          <w:color w:val="auto"/>
        </w:rPr>
      </w:pPr>
      <w:r>
        <w:rPr>
          <w:rFonts w:ascii="Arial" w:cs="Arial" w:eastAsia="Arial" w:hAnsi="Arial"/>
          <w:sz w:val="17"/>
          <w:szCs w:val="17"/>
          <w:color w:val="auto"/>
        </w:rPr>
        <w:t>$</w:t>
        <w:tab/>
        <w:t>167,930,112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149,129,750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13970</wp:posOffset>
            </wp:positionV>
            <wp:extent cx="17360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3609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39370</wp:posOffset>
            </wp:positionV>
            <wp:extent cx="17360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609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hanging="333"/>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44,335,224   $   39,876,500</w:t>
      </w:r>
    </w:p>
    <w:p>
      <w:pPr>
        <w:spacing w:after="0" w:line="20"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51,460,250</w:t>
      </w:r>
      <w:r>
        <w:rPr>
          <w:rFonts w:ascii="Arial" w:cs="Arial" w:eastAsia="Arial" w:hAnsi="Arial"/>
          <w:sz w:val="15"/>
          <w:szCs w:val="15"/>
          <w:color w:val="auto"/>
        </w:rPr>
        <w:t>48,890,241</w:t>
      </w:r>
    </w:p>
    <w:p>
      <w:pPr>
        <w:spacing w:after="0" w:line="13"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1,789,122</w:t>
      </w:r>
      <w:r>
        <w:rPr>
          <w:rFonts w:ascii="Arial" w:cs="Arial" w:eastAsia="Arial" w:hAnsi="Arial"/>
          <w:sz w:val="15"/>
          <w:szCs w:val="15"/>
          <w:color w:val="auto"/>
        </w:rPr>
        <w:t>1,199,376</w:t>
      </w:r>
    </w:p>
    <w:p>
      <w:pPr>
        <w:spacing w:after="0" w:line="13"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3,905,776</w:t>
      </w:r>
      <w:r>
        <w:rPr>
          <w:rFonts w:ascii="Arial" w:cs="Arial" w:eastAsia="Arial" w:hAnsi="Arial"/>
          <w:sz w:val="15"/>
          <w:szCs w:val="15"/>
          <w:color w:val="auto"/>
        </w:rPr>
        <w:t>1,688,922</w:t>
      </w:r>
    </w:p>
    <w:p>
      <w:pPr>
        <w:spacing w:after="0" w:line="13"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6,662,989</w:t>
      </w:r>
      <w:r>
        <w:rPr>
          <w:rFonts w:ascii="Arial" w:cs="Arial" w:eastAsia="Arial" w:hAnsi="Arial"/>
          <w:sz w:val="15"/>
          <w:szCs w:val="15"/>
          <w:color w:val="auto"/>
        </w:rPr>
        <w:t>6,435,068</w:t>
      </w:r>
    </w:p>
    <w:p>
      <w:pPr>
        <w:spacing w:after="0" w:line="13"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4,021,433</w:t>
      </w:r>
      <w:r>
        <w:rPr>
          <w:rFonts w:ascii="Arial" w:cs="Arial" w:eastAsia="Arial" w:hAnsi="Arial"/>
          <w:sz w:val="15"/>
          <w:szCs w:val="15"/>
          <w:color w:val="auto"/>
        </w:rPr>
        <w:t>4,826,603</w:t>
      </w:r>
    </w:p>
    <w:p>
      <w:pPr>
        <w:spacing w:after="0" w:line="13"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739,615</w:t>
      </w:r>
      <w:r>
        <w:rPr>
          <w:rFonts w:ascii="Arial" w:cs="Arial" w:eastAsia="Arial" w:hAnsi="Arial"/>
          <w:sz w:val="14"/>
          <w:szCs w:val="14"/>
          <w:color w:val="auto"/>
        </w:rPr>
        <w:t>263,622</w:t>
      </w:r>
    </w:p>
    <w:p>
      <w:pPr>
        <w:spacing w:after="0" w:line="13"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1,224,607</w:t>
      </w:r>
      <w:r>
        <w:rPr>
          <w:rFonts w:ascii="Arial" w:cs="Arial" w:eastAsia="Arial" w:hAnsi="Arial"/>
          <w:sz w:val="14"/>
          <w:szCs w:val="14"/>
          <w:color w:val="auto"/>
        </w:rPr>
        <w:t>672,190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10160</wp:posOffset>
            </wp:positionV>
            <wp:extent cx="173609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6090" cy="16510"/>
                    </a:xfrm>
                    <a:prstGeom prst="rect">
                      <a:avLst/>
                    </a:prstGeom>
                    <a:noFill/>
                  </pic:spPr>
                </pic:pic>
              </a:graphicData>
            </a:graphic>
          </wp:anchor>
        </w:drawing>
      </w:r>
    </w:p>
    <w:p>
      <w:pPr>
        <w:spacing w:after="0" w:line="14" w:lineRule="exact"/>
        <w:rPr>
          <w:sz w:val="20"/>
          <w:szCs w:val="20"/>
          <w:color w:val="auto"/>
        </w:rPr>
      </w:pPr>
    </w:p>
    <w:p>
      <w:pPr>
        <w:jc w:val="both"/>
        <w:ind w:left="260"/>
        <w:spacing w:after="0"/>
        <w:tabs>
          <w:tab w:leader="none" w:pos="1600" w:val="left"/>
        </w:tabs>
        <w:rPr>
          <w:sz w:val="20"/>
          <w:szCs w:val="20"/>
          <w:color w:val="auto"/>
        </w:rPr>
      </w:pPr>
      <w:r>
        <w:rPr>
          <w:rFonts w:ascii="Arial" w:cs="Arial" w:eastAsia="Arial" w:hAnsi="Arial"/>
          <w:sz w:val="17"/>
          <w:szCs w:val="17"/>
          <w:color w:val="auto"/>
        </w:rPr>
        <w:t>114,139,016</w:t>
      </w:r>
      <w:r>
        <w:rPr>
          <w:sz w:val="20"/>
          <w:szCs w:val="20"/>
          <w:color w:val="auto"/>
        </w:rPr>
        <w:tab/>
      </w:r>
      <w:r>
        <w:rPr>
          <w:rFonts w:ascii="Arial" w:cs="Arial" w:eastAsia="Arial" w:hAnsi="Arial"/>
          <w:sz w:val="17"/>
          <w:szCs w:val="17"/>
          <w:color w:val="auto"/>
        </w:rPr>
        <w:t>103,852,522</w:t>
      </w:r>
    </w:p>
    <w:p>
      <w:pPr>
        <w:spacing w:after="0" w:line="640" w:lineRule="exact"/>
        <w:rPr>
          <w:sz w:val="20"/>
          <w:szCs w:val="20"/>
          <w:color w:val="auto"/>
        </w:rPr>
      </w:pPr>
    </w:p>
    <w:p>
      <w:pPr>
        <w:sectPr>
          <w:pgSz w:w="11900" w:h="16838" w:orient="portrait"/>
          <w:cols w:equalWidth="0" w:num="2">
            <w:col w:w="8100" w:space="720"/>
            <w:col w:w="2600"/>
          </w:cols>
          <w:pgMar w:left="240" w:top="336" w:right="23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7"/>
                <w:szCs w:val="17"/>
                <w:color w:val="auto"/>
              </w:rPr>
              <w:t>Preferred stock, $.01 par value; authorized 2,500,000 shares</w:t>
            </w:r>
          </w:p>
        </w:tc>
        <w:tc>
          <w:tcPr>
            <w:tcW w:w="14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stock, $.01 par value; authorized 20,000,000 shares; issued 8,884,844 shares</w:t>
            </w:r>
          </w:p>
        </w:tc>
        <w:tc>
          <w:tcPr>
            <w:tcW w:w="1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7"/>
                <w:szCs w:val="17"/>
                <w:color w:val="auto"/>
              </w:rPr>
              <w:t>at June 30, 2016 and 8,289,606 at December 31, 2015; outstanding</w:t>
            </w: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7,910,375 shares at June 30, 2016 and 7,328,637 shares at December 31, 2015</w:t>
            </w: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88,848</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82,896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7"/>
                <w:szCs w:val="17"/>
                <w:color w:val="auto"/>
              </w:rPr>
              <w:t>Capital in excess of par</w:t>
            </w:r>
          </w:p>
        </w:tc>
        <w:tc>
          <w:tcPr>
            <w:tcW w:w="1420" w:type="dxa"/>
            <w:vAlign w:val="bottom"/>
          </w:tcPr>
          <w:p>
            <w:pPr>
              <w:jc w:val="right"/>
              <w:ind w:right="95"/>
              <w:spacing w:after="0"/>
              <w:rPr>
                <w:sz w:val="20"/>
                <w:szCs w:val="20"/>
                <w:color w:val="auto"/>
              </w:rPr>
            </w:pPr>
            <w:r>
              <w:rPr>
                <w:rFonts w:ascii="Arial" w:cs="Arial" w:eastAsia="Arial" w:hAnsi="Arial"/>
                <w:sz w:val="17"/>
                <w:szCs w:val="17"/>
                <w:color w:val="auto"/>
              </w:rPr>
              <w:t>37,861,030</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32,987,082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income</w:t>
            </w: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1,800,290</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484,220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16,036,390</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13,605,225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55,786,558</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47,159,423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7"/>
                <w:szCs w:val="17"/>
                <w:color w:val="auto"/>
              </w:rPr>
              <w:t>Treasury stock, at cost, 974,469 shares at June 30, 2016 and 960,969 shares</w:t>
            </w: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at December 31, 2015</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(1,995,462)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(1,882,195)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stockholders' equity</w:t>
            </w: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53,791,096</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45,277,228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  167,930,112</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  149,129,750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51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Income and Comprehensive Income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38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15,010,875</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10,865,715</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29,542,550</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21,251,514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2,569,025</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3,655,522</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5,339,362</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6,744,926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764,070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625,972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1,577,127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1,200,628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realized gains (losses) on investments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283,432</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2,263</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363,868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(65,231)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284,508</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393,040</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533,855</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1,024,231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18,911,910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15,542,512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37,356,762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30,156,068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5,786,836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4,770,813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15,270,691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11,834,030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4,526,208</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3,600,164</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8,796,274</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7,012,491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3,596,134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2,961,663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6,942,575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5,960,818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432,696</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377,843</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761,935</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706,341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289,173</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246,572</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573,001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482,234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expenses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14,631,047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11,957,055</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32,344,476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25,995,914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Income from operations before taxes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4,280,863</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3,585,457</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5,012,286</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4,160,154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1,438,602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1,206,275</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1,628,993</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1,398,473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2,842,261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2,379,182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3,383,293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2,761,681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Other comprehensive income (loss), net of tax</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change in unrealized gains (losses)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on available-for-sale-securities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873,850</w:t>
            </w:r>
          </w:p>
        </w:tc>
        <w:tc>
          <w:tcPr>
            <w:tcW w:w="34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(1,313,096)</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2,357,914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(607,522)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Reclassification adjustment for (gains) losses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included in net income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(283,432)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(2,263)</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(363,868)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65,231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460"/>
              <w:spacing w:after="0"/>
              <w:rPr>
                <w:sz w:val="20"/>
                <w:szCs w:val="20"/>
                <w:color w:val="auto"/>
              </w:rPr>
            </w:pPr>
            <w:r>
              <w:rPr>
                <w:rFonts w:ascii="Arial" w:cs="Arial" w:eastAsia="Arial" w:hAnsi="Arial"/>
                <w:sz w:val="17"/>
                <w:szCs w:val="17"/>
                <w:color w:val="auto"/>
              </w:rPr>
              <w:t>Net change in unrealized gains (losses)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590,418</w:t>
            </w:r>
          </w:p>
        </w:tc>
        <w:tc>
          <w:tcPr>
            <w:tcW w:w="34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(1,315,359)</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1,994,046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(542,291)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(expense) benefit related to items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of other comprehensive income (loss)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(200,742)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447,222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(677,976)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184,379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(loss), net of tax</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389,676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(868,137)</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1,316,070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(357,912)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3,231,937</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1,511,045</w:t>
            </w: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4,699,363</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2,403,769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common share: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0.36</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0.32</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0.45</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0.36</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0.32</w:t>
            </w: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0.44</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7,794,347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7,337,817</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7,558,366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7,328,098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7,853,284</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7,362,988</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7,607,231</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7,355,908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0.0,625</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0.0,500</w:t>
            </w: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0.1,250</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0.1,000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1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5" w:name="page6"/>
    <w:bookmarkEnd w:id="5"/>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Preferred Stock</w:t>
            </w:r>
          </w:p>
        </w:tc>
        <w:tc>
          <w:tcPr>
            <w:tcW w:w="3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in Excess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1020" w:type="dxa"/>
            <w:vAlign w:val="bottom"/>
          </w:tcPr>
          <w:p>
            <w:pPr>
              <w:jc w:val="right"/>
              <w:ind w:right="158"/>
              <w:spacing w:after="0"/>
              <w:rPr>
                <w:sz w:val="20"/>
                <w:szCs w:val="20"/>
                <w:color w:val="auto"/>
              </w:rPr>
            </w:pPr>
            <w:r>
              <w:rPr>
                <w:rFonts w:ascii="Arial" w:cs="Arial" w:eastAsia="Arial" w:hAnsi="Arial"/>
                <w:sz w:val="14"/>
                <w:szCs w:val="14"/>
                <w:b w:val="1"/>
                <w:bCs w:val="1"/>
                <w:color w:val="auto"/>
              </w:rPr>
              <w:t>Retained</w:t>
            </w:r>
          </w:p>
        </w:tc>
        <w:tc>
          <w:tcPr>
            <w:tcW w:w="2040" w:type="dxa"/>
            <w:vAlign w:val="bottom"/>
            <w:tcBorders>
              <w:bottom w:val="single" w:sz="8" w:color="auto"/>
            </w:tcBorders>
            <w:gridSpan w:val="2"/>
          </w:tcPr>
          <w:p>
            <w:pPr>
              <w:jc w:val="right"/>
              <w:ind w:right="476"/>
              <w:spacing w:after="0"/>
              <w:rPr>
                <w:sz w:val="20"/>
                <w:szCs w:val="20"/>
                <w:color w:val="auto"/>
              </w:rPr>
            </w:pPr>
            <w:r>
              <w:rPr>
                <w:rFonts w:ascii="Arial" w:cs="Arial" w:eastAsia="Arial" w:hAnsi="Arial"/>
                <w:sz w:val="14"/>
                <w:szCs w:val="14"/>
                <w:b w:val="1"/>
                <w:bCs w:val="1"/>
                <w:color w:val="auto"/>
              </w:rPr>
              <w:t>Treasury Stock</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Amount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Par</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Earnings</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1, 2016</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9"/>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8,289,606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82,896</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7"/>
              </w:rPr>
              <w:t>$32,987,082</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  484,220</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95"/>
              </w:rPr>
              <w:t>$13,605,225</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960,969</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$(1,882,195)</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5"/>
              </w:rPr>
              <w:t>$45,277,228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Proceeds from</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60" w:type="dxa"/>
            <w:vAlign w:val="bottom"/>
            <w:gridSpan w:val="3"/>
          </w:tcPr>
          <w:p>
            <w:pPr>
              <w:spacing w:after="0"/>
              <w:rPr>
                <w:sz w:val="20"/>
                <w:szCs w:val="20"/>
                <w:color w:val="auto"/>
              </w:rPr>
            </w:pPr>
            <w:r>
              <w:rPr>
                <w:rFonts w:ascii="Arial" w:cs="Arial" w:eastAsia="Arial" w:hAnsi="Arial"/>
                <w:sz w:val="17"/>
                <w:szCs w:val="17"/>
                <w:color w:val="auto"/>
              </w:rPr>
              <w:t>private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gridSpan w:val="3"/>
          </w:tcPr>
          <w:p>
            <w:pPr>
              <w:spacing w:after="0"/>
              <w:rPr>
                <w:sz w:val="20"/>
                <w:szCs w:val="20"/>
                <w:color w:val="auto"/>
              </w:rPr>
            </w:pPr>
            <w:r>
              <w:rPr>
                <w:rFonts w:ascii="Arial" w:cs="Arial" w:eastAsia="Arial" w:hAnsi="Arial"/>
                <w:sz w:val="17"/>
                <w:szCs w:val="17"/>
                <w:color w:val="auto"/>
              </w:rPr>
              <w:t>placement, net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60" w:type="dxa"/>
            <w:vAlign w:val="bottom"/>
            <w:gridSpan w:val="3"/>
          </w:tcPr>
          <w:p>
            <w:pPr>
              <w:spacing w:after="0"/>
              <w:rPr>
                <w:sz w:val="20"/>
                <w:szCs w:val="20"/>
                <w:color w:val="auto"/>
              </w:rPr>
            </w:pPr>
            <w:r>
              <w:rPr>
                <w:rFonts w:ascii="Arial" w:cs="Arial" w:eastAsia="Arial" w:hAnsi="Arial"/>
                <w:sz w:val="17"/>
                <w:szCs w:val="17"/>
                <w:color w:val="auto"/>
              </w:rPr>
              <w:t>of</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closing costs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 $186,426</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595,238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5,952</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4,807,622</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4,813,574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Stock-based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7"/>
                <w:szCs w:val="17"/>
                <w:color w:val="auto"/>
              </w:rPr>
              <w:t>compensation</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66,326</w:t>
            </w: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66,326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 of</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treasury stock</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13,500</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(113,267)</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Dividends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(952,128)</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(952,128)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3,383,293</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3,383,293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Change in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60" w:type="dxa"/>
            <w:vAlign w:val="bottom"/>
            <w:gridSpan w:val="3"/>
          </w:tcPr>
          <w:p>
            <w:pPr>
              <w:spacing w:after="0"/>
              <w:rPr>
                <w:sz w:val="20"/>
                <w:szCs w:val="20"/>
                <w:color w:val="auto"/>
              </w:rPr>
            </w:pPr>
            <w:r>
              <w:rPr>
                <w:rFonts w:ascii="Arial" w:cs="Arial" w:eastAsia="Arial" w:hAnsi="Arial"/>
                <w:sz w:val="17"/>
                <w:szCs w:val="17"/>
                <w:color w:val="auto"/>
              </w:rPr>
              <w:t>unrealized gains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7"/>
                <w:szCs w:val="17"/>
                <w:color w:val="auto"/>
              </w:rPr>
              <w:t>on available-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for-sale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 net of</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tax</w:t>
            </w: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1,316,070</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1,316,070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Balance, June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gridSpan w:val="2"/>
          </w:tcPr>
          <w:p>
            <w:pPr>
              <w:spacing w:after="0"/>
              <w:rPr>
                <w:sz w:val="20"/>
                <w:szCs w:val="20"/>
                <w:color w:val="auto"/>
              </w:rPr>
            </w:pPr>
            <w:r>
              <w:rPr>
                <w:rFonts w:ascii="Arial" w:cs="Arial" w:eastAsia="Arial" w:hAnsi="Arial"/>
                <w:sz w:val="17"/>
                <w:szCs w:val="17"/>
                <w:color w:val="auto"/>
              </w:rPr>
              <w:t>30, 2016</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8,884,844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88,848</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7"/>
              </w:rPr>
              <w:t>$37,861,030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$ 1,800,290</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w w:val="95"/>
              </w:rPr>
              <w:t>$16,036,390</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974,469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$(1,995,462)</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5"/>
              </w:rPr>
              <w:t>$53,791,096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1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 w:name="page7"/>
    <w:bookmarkEnd w:id="6"/>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80" w:type="dxa"/>
            <w:vAlign w:val="bottom"/>
            <w:tcBorders>
              <w:top w:val="single" w:sz="8" w:color="auto"/>
            </w:tcBorders>
            <w:gridSpan w:val="2"/>
          </w:tcPr>
          <w:p>
            <w:pPr>
              <w:spacing w:after="0"/>
              <w:rPr>
                <w:sz w:val="20"/>
                <w:szCs w:val="20"/>
                <w:color w:val="auto"/>
              </w:rPr>
            </w:pPr>
            <w:r>
              <w:rPr>
                <w:rFonts w:ascii="Arial" w:cs="Arial" w:eastAsia="Arial" w:hAnsi="Arial"/>
                <w:sz w:val="17"/>
                <w:szCs w:val="17"/>
                <w:i w:val="1"/>
                <w:iCs w:val="1"/>
                <w:color w:val="auto"/>
              </w:rPr>
              <w:t>Six months ended June 30,</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provided by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3,383,293</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2,761,681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realized (gains) losses on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(363,868)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65,231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573,001</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482,234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bond premium,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167,488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152,665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66,326</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77,784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Excess tax benefit from exercise of stock options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Deferred income tax expense</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(125,559)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(64,757)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operating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Premiums receivable, net</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(628,529)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(1,551,888)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 reinsurance contracts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Reinsurance receivables, net</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(4,084,209)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(3,165,889)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policy acquisition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(712,750)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(773,097)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(196,719)</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6,583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operating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4,458,724</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1,336,137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2,570,009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3,651,941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Advance premiums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589,746</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376,077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Reinsurance balances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2,216,854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653,407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Deferred ceding commission revenue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227,921</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371,785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(329,177)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22,796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7,812,551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3,356,300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 fixed-maturity securities available-for-sale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9"/>
              </w:rPr>
              <w:t>(23,339,058)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(7,505,716)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Purchase - equity securities available-for-sale</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(5,585,777)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(2,225,328)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Sale or maturity - fixed-maturity securities available-for-sale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14,314,798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1,135,673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Sale - equity securities available-for-sale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4,212,336</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839,408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fixed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(326,575)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(619,212)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Other investing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250,448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3,170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flows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9"/>
              </w:rPr>
              <w:t>(10,473,828)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(8,372,005)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provided by (used in) 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proceeds from issuance of common stock</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4,813,574</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Withholding taxes paid on net exercise of stock options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Excess tax benefit from exercise of stock options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221,136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of treasury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(113,267)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Dividends paid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(952,128)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(732,190)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flows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3,748,179</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(958,776)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2"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1065" cy="132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Cash and cash equivalents, beginning of period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1065" cy="166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1065" cy="132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32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Value of shares deducted from exercise of stock options for payment of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1065" cy="132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7251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1,086,902</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(5,974,481)</w:t>
            </w:r>
          </w:p>
        </w:tc>
      </w:tr>
      <w:tr>
        <w:trPr>
          <w:trHeight w:val="224"/>
        </w:trPr>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13,551,372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9,906,878</w:t>
            </w:r>
          </w:p>
        </w:tc>
      </w:tr>
      <w:tr>
        <w:trPr>
          <w:trHeight w:val="209"/>
        </w:trPr>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14,638,274</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3,932,397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8"/>
        </w:trPr>
        <w:tc>
          <w:tcPr>
            <w:tcW w:w="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1,747,466</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1,008,433</w:t>
            </w:r>
          </w:p>
        </w:tc>
      </w:tr>
      <w:tr>
        <w:trPr>
          <w:trHeight w:val="628"/>
        </w:trPr>
        <w:tc>
          <w:tcPr>
            <w:tcW w:w="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243,662</w:t>
            </w:r>
          </w:p>
        </w:tc>
      </w:tr>
    </w:tbl>
    <w:p>
      <w:pPr>
        <w:spacing w:after="0" w:line="200" w:lineRule="exact"/>
        <w:rPr>
          <w:sz w:val="20"/>
          <w:szCs w:val="20"/>
          <w:color w:val="auto"/>
        </w:rPr>
      </w:pPr>
    </w:p>
    <w:p>
      <w:pPr>
        <w:sectPr>
          <w:pgSz w:w="11900" w:h="16838" w:orient="portrait"/>
          <w:cols w:equalWidth="0" w:num="2">
            <w:col w:w="7960" w:space="720"/>
            <w:col w:w="2740"/>
          </w:cols>
          <w:pgMar w:left="240" w:top="572" w:right="2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51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type w:val="continuous"/>
        </w:sectPr>
      </w:pPr>
    </w:p>
    <w:bookmarkStart w:id="7" w:name="page8"/>
    <w:bookmarkEnd w:id="7"/>
    <w:p>
      <w:pPr>
        <w:ind w:left="36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118"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2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and Texas; however, KICO writes substantially all of its business in New York. Through March 31, 2015, Kingstone, through its wholly owned subsidiary, Payments Inc., a licensed premium finance company in the State of New York, received fees for placing contracts with a third party licensed premium finance company (see Note 11 – Premium Finance Placement Fees).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condensed financial statements should be read in conjunction with the consolidated financial statements as of and for the year ended December 31, 2015 and notes thereto included in the Company’s Annual Report on Form 10-K filed with the SEC on March 24, 2016.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six months ended June 30, 2016 may not be indicative of the results that may be expected for the year ending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consolidated financial statements consist of Kingstone and its wholly owned subsidiaries; (1) KICO and its wholly owned subsidiaries, CMIC Properties, Inc. (“Properties”) and 15 Joys Lane, LLC (“15 Joys Lane”), which together own the land and building from which KICO operates, and (2) Payments Inc. All significant inter-company account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 Revenue from Contracts with Customers (Topic 606). The core principle of the new guidance is that an entity should recognize revenue to reflect the transfer of goods and services to customers in an amount equal to the consideration the entity receives or expects to receive. ASU 2014-09, as amended by ASU 2015-14, ASU 2016-08 and ASU 2016-10, is effective for annual reporting periods beginning after December 15, 2017, including interim periods within that reporting period. Early adoption is permitted for annual reporting periods beginning after December 15, 2016. The Company will apply the guidance using a modified retrospective approach. The Company does not expect these amendments to have a material effect on its consolidated financial statements.</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May 2015, FASB issued ASU 2015-09, Financial Services – Insurance (Topic 944): Disclosures About Short-Duration Contracts. The updated accounting guidance requires expanded disclosures for insurance entities that issue short-duration contracts. The expanded disclosures are designed to provide additional insight into an insurance entity’s ability to underwrite and anticipate costs associated with insurance claims. The disclosures include information about incurred and paid claims development by accident year, on a net basis after reinsurance, for the number of years claims incurred typically remain outstanding, not to exceed ten years. Each period presented in the disclosure about claims development that precedes the current reporting period is considered required supplementary information. The expanded disclosures also include information about significant changes in methodologies and assumptions, a reconciliation of incurred and paid claims development to the carrying amount of the liability for unpaid claims and claim adjustment expenses, the total amount of incurred but not reported liabilities plus expected development, claims frequency information including the methodology used to determine claim frequency and any changes to that methodology, and claim duration. The guidance is effective for annual periods beginning after December 15, 2015, and interim periods beginning after December 15, 2016, and is to be applied retrospectively. The new guidance affects disclosures only and will have no impact on the Company’s results of operations or financial position.</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January 2016, FASB issued ASU 2016-01 – Financial Instruments – Overall (Subtopic 825-10): Recognition and Measurement of Financial Assets and Financial Liabilities.” The updated accounting guidance requires changes to the reporting model for financial instruments. The primary change for the Company is expected to be the requirement for equity investments (except those accounted for under the equity method of accounting or those that result in consolidation of the investee) to be measured at fair value with changes in fair value recognized in net income. The updated guidance is effective for fiscal years beginning after December 15, 2017, including interim periods within those fiscal years. The Company is currently evaluating the effect the updated guidance will have on its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 w:name="page10"/>
    <w:bookmarkEnd w:id="9"/>
    <w:p>
      <w:pPr>
        <w:jc w:val="both"/>
        <w:spacing w:after="0" w:line="297" w:lineRule="auto"/>
        <w:rPr>
          <w:sz w:val="20"/>
          <w:szCs w:val="20"/>
          <w:color w:val="auto"/>
        </w:rPr>
      </w:pPr>
      <w:r>
        <w:rPr>
          <w:rFonts w:ascii="Arial" w:cs="Arial" w:eastAsia="Arial" w:hAnsi="Arial"/>
          <w:sz w:val="15"/>
          <w:szCs w:val="15"/>
          <w:color w:val="auto"/>
        </w:rPr>
        <w:t>In February 2016, FASB issued ASU 2016-02 – Leases (Topic 842). Under this ASU, lessees will recognize a right-of-use 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reporting periods beginning after December 15, 2018. The Company will apply the guidance using a modified retrospective approach. Early application is permitted. The Company is evaluating whether the adoption of ASU 2016-02 will have a significant impact on its consolidated results of operations, financial position or cash flows.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January 2016, FASB issued ASU 2016-09 – Compensation - Stock Compensation (Topic 718): Improvements to Employee Share-Based Payment Accounting. The amendments are intended to improve the accounting for employee share-based payments. These amendments to current accounting guidance will require all income tax effects of awards to be recognized in the income statement when the awards vest or are settled rather than through additional paid in capital in the equity section of the balance sheet. The amendments also permit an employer to repurchase an employee’s shares at the maximum statutory tax rate in the employee’s applicable jurisdiction for tax withholding purposes without triggering liability accounting. Finally, the amendments permit entities to make a one-time accounting policy election to account for forfeitures as they occur. Specific adoption methods depend on the issue being adopted and range from prospective to retrospective adoption. Early adoption is permitted, however all amendments must be adopted in the same period. The Company is evaluating whether the adoption of ASU 2016-09 will have a significant impact on its consolidated results of operations, financial position or cash flows.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3 -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Available-for-Sale Securities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amortized cost and fair value of investments in available-for-sale fixed-maturity securities and equity securities as of June 30, 2016 and December 31, 2015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25"/>
        </w:trPr>
        <w:tc>
          <w:tcPr>
            <w:tcW w:w="4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Net</w:t>
            </w:r>
          </w:p>
        </w:tc>
      </w:tr>
      <w:tr>
        <w:trPr>
          <w:trHeight w:val="200"/>
        </w:trPr>
        <w:tc>
          <w:tcPr>
            <w:tcW w:w="45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Cost 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Gross Unrealized Losses</w:t>
            </w:r>
          </w:p>
        </w:tc>
        <w:tc>
          <w:tcPr>
            <w:tcW w:w="1060" w:type="dxa"/>
            <w:vAlign w:val="bottom"/>
          </w:tcPr>
          <w:p>
            <w:pPr>
              <w:spacing w:after="0"/>
              <w:rPr>
                <w:sz w:val="17"/>
                <w:szCs w:val="17"/>
                <w:color w:val="auto"/>
              </w:rPr>
            </w:pP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Unrealized</w:t>
            </w:r>
          </w:p>
        </w:tc>
      </w:tr>
      <w:tr>
        <w:trPr>
          <w:trHeight w:val="144"/>
        </w:trPr>
        <w:tc>
          <w:tcPr>
            <w:tcW w:w="458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Amortized</w:t>
            </w: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1060" w:type="dxa"/>
            <w:vAlign w:val="bottom"/>
          </w:tcPr>
          <w:p>
            <w:pPr>
              <w:jc w:val="center"/>
              <w:ind w:left="8"/>
              <w:spacing w:after="0" w:line="144" w:lineRule="exact"/>
              <w:rPr>
                <w:sz w:val="20"/>
                <w:szCs w:val="20"/>
                <w:color w:val="auto"/>
              </w:rPr>
            </w:pPr>
            <w:r>
              <w:rPr>
                <w:rFonts w:ascii="Arial" w:cs="Arial" w:eastAsia="Arial" w:hAnsi="Arial"/>
                <w:sz w:val="14"/>
                <w:szCs w:val="14"/>
                <w:b w:val="1"/>
                <w:bCs w:val="1"/>
                <w:color w:val="auto"/>
              </w:rPr>
              <w:t>Fair</w:t>
            </w:r>
          </w:p>
        </w:tc>
        <w:tc>
          <w:tcPr>
            <w:tcW w:w="1220" w:type="dxa"/>
            <w:vAlign w:val="bottom"/>
          </w:tcPr>
          <w:p>
            <w:pPr>
              <w:jc w:val="center"/>
              <w:ind w:left="28"/>
              <w:spacing w:after="0" w:line="144" w:lineRule="exact"/>
              <w:rPr>
                <w:sz w:val="20"/>
                <w:szCs w:val="20"/>
                <w:color w:val="auto"/>
              </w:rPr>
            </w:pPr>
            <w:r>
              <w:rPr>
                <w:rFonts w:ascii="Arial" w:cs="Arial" w:eastAsia="Arial" w:hAnsi="Arial"/>
                <w:sz w:val="14"/>
                <w:szCs w:val="14"/>
                <w:b w:val="1"/>
                <w:bCs w:val="1"/>
                <w:color w:val="auto"/>
                <w:w w:val="93"/>
              </w:rPr>
              <w:t>Gains/</w:t>
            </w:r>
          </w:p>
        </w:tc>
      </w:tr>
      <w:tr>
        <w:trPr>
          <w:trHeight w:val="177"/>
        </w:trPr>
        <w:tc>
          <w:tcPr>
            <w:tcW w:w="458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Months</w:t>
            </w:r>
          </w:p>
        </w:tc>
        <w:tc>
          <w:tcPr>
            <w:tcW w:w="1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6"/>
              </w:rPr>
              <w:t>(Losses)</w:t>
            </w:r>
          </w:p>
        </w:tc>
      </w:tr>
      <w:tr>
        <w:trPr>
          <w:trHeight w:val="209"/>
        </w:trPr>
        <w:tc>
          <w:tcPr>
            <w:tcW w:w="4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546" w:right="239" w:bottom="1440" w:gutter="0" w:footer="0" w:header="0"/>
        </w:sectPr>
      </w:pPr>
    </w:p>
    <w:p>
      <w:pPr>
        <w:spacing w:after="0"/>
        <w:rPr>
          <w:sz w:val="20"/>
          <w:szCs w:val="20"/>
          <w:color w:val="auto"/>
        </w:rPr>
      </w:pPr>
      <w:r>
        <w:rPr>
          <w:rFonts w:ascii="Arial" w:cs="Arial" w:eastAsia="Arial" w:hAnsi="Arial"/>
          <w:sz w:val="17"/>
          <w:szCs w:val="17"/>
          <w:b w:val="1"/>
          <w:bCs w:val="1"/>
          <w:color w:val="auto"/>
        </w:rPr>
        <w:t>Fixed-Maturity Securities: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Political subdivisions of States,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Territories and Possessions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Corporate and other bonds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Industrial and miscellaneous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Residential mortgage backed</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securities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Total fixed-maturity securities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35"/>
              <w:spacing w:after="0"/>
              <w:rPr>
                <w:sz w:val="20"/>
                <w:szCs w:val="20"/>
                <w:color w:val="auto"/>
              </w:rPr>
            </w:pPr>
            <w:r>
              <w:rPr>
                <w:rFonts w:ascii="Arial" w:cs="Arial" w:eastAsia="Arial" w:hAnsi="Arial"/>
                <w:sz w:val="17"/>
                <w:szCs w:val="17"/>
                <w:color w:val="auto"/>
              </w:rPr>
              <w:t>$  8,109,438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515,834</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(4,402)</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  8,620,870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511,432</w:t>
            </w:r>
          </w:p>
        </w:tc>
      </w:tr>
      <w:tr>
        <w:trPr>
          <w:trHeight w:val="628"/>
        </w:trPr>
        <w:tc>
          <w:tcPr>
            <w:tcW w:w="1160" w:type="dxa"/>
            <w:vAlign w:val="bottom"/>
          </w:tcPr>
          <w:p>
            <w:pPr>
              <w:jc w:val="right"/>
              <w:ind w:right="35"/>
              <w:spacing w:after="0"/>
              <w:rPr>
                <w:sz w:val="20"/>
                <w:szCs w:val="20"/>
                <w:color w:val="auto"/>
              </w:rPr>
            </w:pPr>
            <w:r>
              <w:rPr>
                <w:rFonts w:ascii="Arial" w:cs="Arial" w:eastAsia="Arial" w:hAnsi="Arial"/>
                <w:sz w:val="17"/>
                <w:szCs w:val="17"/>
                <w:color w:val="auto"/>
              </w:rPr>
              <w:t>44,293,609</w:t>
            </w:r>
          </w:p>
        </w:tc>
        <w:tc>
          <w:tcPr>
            <w:tcW w:w="260" w:type="dxa"/>
            <w:vAlign w:val="bottom"/>
          </w:tcPr>
          <w:p>
            <w:pPr>
              <w:spacing w:after="0"/>
              <w:rPr>
                <w:sz w:val="24"/>
                <w:szCs w:val="24"/>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w w:val="97"/>
              </w:rPr>
              <w:t>1,553,402</w:t>
            </w:r>
          </w:p>
        </w:tc>
        <w:tc>
          <w:tcPr>
            <w:tcW w:w="300" w:type="dxa"/>
            <w:vAlign w:val="bottom"/>
          </w:tcPr>
          <w:p>
            <w:pPr>
              <w:spacing w:after="0"/>
              <w:rPr>
                <w:sz w:val="24"/>
                <w:szCs w:val="24"/>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(69,496)</w:t>
            </w:r>
          </w:p>
        </w:tc>
        <w:tc>
          <w:tcPr>
            <w:tcW w:w="940" w:type="dxa"/>
            <w:vAlign w:val="bottom"/>
          </w:tcPr>
          <w:p>
            <w:pPr>
              <w:jc w:val="right"/>
              <w:spacing w:after="0"/>
              <w:rPr>
                <w:sz w:val="20"/>
                <w:szCs w:val="20"/>
                <w:color w:val="auto"/>
              </w:rPr>
            </w:pPr>
            <w:r>
              <w:rPr>
                <w:rFonts w:ascii="Arial" w:cs="Arial" w:eastAsia="Arial" w:hAnsi="Arial"/>
                <w:sz w:val="17"/>
                <w:szCs w:val="17"/>
                <w:color w:val="auto"/>
              </w:rPr>
              <w:t>(41,112)</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45,736,403</w:t>
            </w:r>
          </w:p>
        </w:tc>
        <w:tc>
          <w:tcPr>
            <w:tcW w:w="280" w:type="dxa"/>
            <w:vAlign w:val="bottom"/>
          </w:tcPr>
          <w:p>
            <w:pPr>
              <w:spacing w:after="0"/>
              <w:rPr>
                <w:sz w:val="24"/>
                <w:szCs w:val="24"/>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w w:val="95"/>
              </w:rPr>
              <w:t>1,442,794</w:t>
            </w:r>
          </w:p>
        </w:tc>
      </w:tr>
      <w:tr>
        <w:trPr>
          <w:trHeight w:val="636"/>
        </w:trPr>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18,812,484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278,790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(33,751)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(16,333)</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19,041,190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228,706</w:t>
            </w:r>
          </w:p>
        </w:tc>
      </w:tr>
      <w:tr>
        <w:trPr>
          <w:trHeight w:val="215"/>
        </w:trPr>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71,215,531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7"/>
              </w:rPr>
              <w:t>2,348,026</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(107,649)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(57,445)</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73,398,463</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5"/>
              </w:rPr>
              <w:t>2,182,932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-1228725</wp:posOffset>
            </wp:positionV>
            <wp:extent cx="7251065" cy="132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-962660</wp:posOffset>
            </wp:positionV>
            <wp:extent cx="7251065" cy="132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-697230</wp:posOffset>
            </wp:positionV>
            <wp:extent cx="7251065" cy="132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-431165</wp:posOffset>
            </wp:positionV>
            <wp:extent cx="7251065" cy="132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-148590</wp:posOffset>
            </wp:positionV>
            <wp:extent cx="7251065" cy="149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132715</wp:posOffset>
            </wp:positionV>
            <wp:extent cx="7251065" cy="132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2">
            <w:col w:w="3860" w:space="720"/>
            <w:col w:w="6840"/>
          </w:cols>
          <w:pgMar w:left="240" w:top="546"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580" w:type="dxa"/>
            <w:vAlign w:val="bottom"/>
            <w:gridSpan w:val="2"/>
          </w:tcPr>
          <w:p>
            <w:pPr>
              <w:spacing w:after="0"/>
              <w:rPr>
                <w:sz w:val="20"/>
                <w:szCs w:val="20"/>
                <w:color w:val="auto"/>
              </w:rPr>
            </w:pPr>
            <w:r>
              <w:rPr>
                <w:rFonts w:ascii="Arial" w:cs="Arial" w:eastAsia="Arial" w:hAnsi="Arial"/>
                <w:sz w:val="17"/>
                <w:szCs w:val="17"/>
                <w:color w:val="auto"/>
              </w:rPr>
              <w:t>Preferred stocks</w:t>
            </w:r>
          </w:p>
        </w:tc>
        <w:tc>
          <w:tcPr>
            <w:tcW w:w="1060" w:type="dxa"/>
            <w:vAlign w:val="bottom"/>
          </w:tcPr>
          <w:p>
            <w:pPr>
              <w:jc w:val="right"/>
              <w:spacing w:after="0"/>
              <w:rPr>
                <w:sz w:val="20"/>
                <w:szCs w:val="20"/>
                <w:color w:val="auto"/>
              </w:rPr>
            </w:pPr>
            <w:r>
              <w:rPr>
                <w:rFonts w:ascii="Arial" w:cs="Arial" w:eastAsia="Arial" w:hAnsi="Arial"/>
                <w:sz w:val="17"/>
                <w:szCs w:val="17"/>
                <w:color w:val="auto"/>
              </w:rPr>
              <w:t>5,473,690</w:t>
            </w: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141,126</w:t>
            </w:r>
          </w:p>
        </w:tc>
        <w:tc>
          <w:tcPr>
            <w:tcW w:w="1160" w:type="dxa"/>
            <w:vAlign w:val="bottom"/>
          </w:tcPr>
          <w:p>
            <w:pPr>
              <w:jc w:val="right"/>
              <w:spacing w:after="0"/>
              <w:rPr>
                <w:sz w:val="20"/>
                <w:szCs w:val="20"/>
                <w:color w:val="auto"/>
              </w:rPr>
            </w:pPr>
            <w:r>
              <w:rPr>
                <w:rFonts w:ascii="Arial" w:cs="Arial" w:eastAsia="Arial" w:hAnsi="Arial"/>
                <w:sz w:val="17"/>
                <w:szCs w:val="17"/>
                <w:color w:val="auto"/>
              </w:rPr>
              <w:t>(594)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(37,072)</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5,577,150</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103,460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4,944,145</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596,463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(155,141)</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5,385,467</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441,322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10,417,835</w:t>
            </w: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737,589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(155,735)</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(37,072)</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10,962,617</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544,782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$ 81,633,366</w:t>
            </w: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  3,085,615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(263,384)</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(94,517)</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8"/>
              </w:rPr>
              <w:t>$ 84,361,080</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  2,727,714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35"/>
              <w:spacing w:after="0"/>
              <w:rPr>
                <w:sz w:val="20"/>
                <w:szCs w:val="20"/>
                <w:color w:val="auto"/>
              </w:rPr>
            </w:pPr>
            <w:r>
              <w:rPr>
                <w:rFonts w:ascii="Arial" w:cs="Arial" w:eastAsia="Arial" w:hAnsi="Arial"/>
                <w:sz w:val="17"/>
                <w:szCs w:val="17"/>
                <w:color w:val="auto"/>
              </w:rPr>
              <w:t>9</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91"/>
              </w:rPr>
              <w:t>December 31, 2015</w:t>
            </w: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25"/>
        </w:trPr>
        <w:tc>
          <w:tcPr>
            <w:tcW w:w="4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Net</w:t>
            </w:r>
          </w:p>
        </w:tc>
      </w:tr>
      <w:tr>
        <w:trPr>
          <w:trHeight w:val="200"/>
        </w:trPr>
        <w:tc>
          <w:tcPr>
            <w:tcW w:w="45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Cost or</w:t>
            </w: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Gross</w:t>
            </w:r>
          </w:p>
        </w:tc>
        <w:tc>
          <w:tcPr>
            <w:tcW w:w="216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89"/>
              </w:rPr>
              <w:t>Gross Unrealized Losses</w:t>
            </w:r>
          </w:p>
        </w:tc>
        <w:tc>
          <w:tcPr>
            <w:tcW w:w="1060" w:type="dxa"/>
            <w:vAlign w:val="bottom"/>
          </w:tcPr>
          <w:p>
            <w:pPr>
              <w:spacing w:after="0"/>
              <w:rPr>
                <w:sz w:val="17"/>
                <w:szCs w:val="17"/>
                <w:color w:val="auto"/>
              </w:rPr>
            </w:pP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Unrealized</w:t>
            </w:r>
          </w:p>
        </w:tc>
      </w:tr>
      <w:tr>
        <w:trPr>
          <w:trHeight w:val="144"/>
        </w:trPr>
        <w:tc>
          <w:tcPr>
            <w:tcW w:w="458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Amortized</w:t>
            </w:r>
          </w:p>
        </w:tc>
        <w:tc>
          <w:tcPr>
            <w:tcW w:w="1260" w:type="dxa"/>
            <w:vAlign w:val="bottom"/>
          </w:tcPr>
          <w:p>
            <w:pPr>
              <w:jc w:val="center"/>
              <w:ind w:right="28"/>
              <w:spacing w:after="0" w:line="144" w:lineRule="exact"/>
              <w:rPr>
                <w:sz w:val="20"/>
                <w:szCs w:val="20"/>
                <w:color w:val="auto"/>
              </w:rPr>
            </w:pPr>
            <w:r>
              <w:rPr>
                <w:rFonts w:ascii="Arial" w:cs="Arial" w:eastAsia="Arial" w:hAnsi="Arial"/>
                <w:sz w:val="14"/>
                <w:szCs w:val="14"/>
                <w:b w:val="1"/>
                <w:bCs w:val="1"/>
                <w:color w:val="auto"/>
                <w:w w:val="95"/>
              </w:rPr>
              <w:t>Unrealized</w:t>
            </w:r>
          </w:p>
        </w:tc>
        <w:tc>
          <w:tcPr>
            <w:tcW w:w="1020" w:type="dxa"/>
            <w:vAlign w:val="bottom"/>
          </w:tcPr>
          <w:p>
            <w:pPr>
              <w:jc w:val="center"/>
              <w:ind w:right="28"/>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1060" w:type="dxa"/>
            <w:vAlign w:val="bottom"/>
          </w:tcPr>
          <w:p>
            <w:pPr>
              <w:jc w:val="center"/>
              <w:ind w:left="8"/>
              <w:spacing w:after="0" w:line="144" w:lineRule="exact"/>
              <w:rPr>
                <w:sz w:val="20"/>
                <w:szCs w:val="20"/>
                <w:color w:val="auto"/>
              </w:rPr>
            </w:pPr>
            <w:r>
              <w:rPr>
                <w:rFonts w:ascii="Arial" w:cs="Arial" w:eastAsia="Arial" w:hAnsi="Arial"/>
                <w:sz w:val="14"/>
                <w:szCs w:val="14"/>
                <w:b w:val="1"/>
                <w:bCs w:val="1"/>
                <w:color w:val="auto"/>
              </w:rPr>
              <w:t>Fair</w:t>
            </w:r>
          </w:p>
        </w:tc>
        <w:tc>
          <w:tcPr>
            <w:tcW w:w="1220" w:type="dxa"/>
            <w:vAlign w:val="bottom"/>
          </w:tcPr>
          <w:p>
            <w:pPr>
              <w:jc w:val="center"/>
              <w:ind w:left="28"/>
              <w:spacing w:after="0" w:line="144" w:lineRule="exact"/>
              <w:rPr>
                <w:sz w:val="20"/>
                <w:szCs w:val="20"/>
                <w:color w:val="auto"/>
              </w:rPr>
            </w:pPr>
            <w:r>
              <w:rPr>
                <w:rFonts w:ascii="Arial" w:cs="Arial" w:eastAsia="Arial" w:hAnsi="Arial"/>
                <w:sz w:val="14"/>
                <w:szCs w:val="14"/>
                <w:b w:val="1"/>
                <w:bCs w:val="1"/>
                <w:color w:val="auto"/>
                <w:w w:val="93"/>
              </w:rPr>
              <w:t>Gains/</w:t>
            </w:r>
          </w:p>
        </w:tc>
      </w:tr>
      <w:tr>
        <w:trPr>
          <w:trHeight w:val="177"/>
        </w:trPr>
        <w:tc>
          <w:tcPr>
            <w:tcW w:w="458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2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Gains</w:t>
            </w: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Months</w:t>
            </w:r>
          </w:p>
        </w:tc>
        <w:tc>
          <w:tcPr>
            <w:tcW w:w="1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6"/>
              </w:rPr>
              <w:t>(Losses)</w:t>
            </w:r>
          </w:p>
        </w:tc>
      </w:tr>
      <w:tr>
        <w:trPr>
          <w:trHeight w:val="209"/>
        </w:trPr>
        <w:tc>
          <w:tcPr>
            <w:tcW w:w="4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545" w:right="239" w:bottom="1440" w:gutter="0" w:footer="0" w:header="0"/>
        </w:sectPr>
      </w:pPr>
    </w:p>
    <w:p>
      <w:pPr>
        <w:spacing w:after="0"/>
        <w:rPr>
          <w:sz w:val="20"/>
          <w:szCs w:val="20"/>
          <w:color w:val="auto"/>
        </w:rPr>
      </w:pPr>
      <w:r>
        <w:rPr>
          <w:rFonts w:ascii="Arial" w:cs="Arial" w:eastAsia="Arial" w:hAnsi="Arial"/>
          <w:sz w:val="17"/>
          <w:szCs w:val="17"/>
          <w:b w:val="1"/>
          <w:bCs w:val="1"/>
          <w:color w:val="auto"/>
        </w:rPr>
        <w:t>Fixed-Maturity Securities: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Political subdivisions of States,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Territories and Possessions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Corporate and other bonds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Industrial and miscellaneous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Residential mortgage backed</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securities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Total fixed-maturity securities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35"/>
              <w:spacing w:after="0"/>
              <w:rPr>
                <w:sz w:val="20"/>
                <w:szCs w:val="20"/>
                <w:color w:val="auto"/>
              </w:rPr>
            </w:pPr>
            <w:r>
              <w:rPr>
                <w:rFonts w:ascii="Arial" w:cs="Arial" w:eastAsia="Arial" w:hAnsi="Arial"/>
                <w:sz w:val="17"/>
                <w:szCs w:val="17"/>
                <w:color w:val="auto"/>
              </w:rPr>
              <w:t>$ 12,139,793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431,194</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(15,889)</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w w:val="98"/>
              </w:rPr>
              <w:t>$ 12,555,098</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415,305</w:t>
            </w:r>
          </w:p>
        </w:tc>
      </w:tr>
      <w:tr>
        <w:trPr>
          <w:trHeight w:val="628"/>
        </w:trPr>
        <w:tc>
          <w:tcPr>
            <w:tcW w:w="1160" w:type="dxa"/>
            <w:vAlign w:val="bottom"/>
          </w:tcPr>
          <w:p>
            <w:pPr>
              <w:jc w:val="right"/>
              <w:ind w:right="35"/>
              <w:spacing w:after="0"/>
              <w:rPr>
                <w:sz w:val="20"/>
                <w:szCs w:val="20"/>
                <w:color w:val="auto"/>
              </w:rPr>
            </w:pPr>
            <w:r>
              <w:rPr>
                <w:rFonts w:ascii="Arial" w:cs="Arial" w:eastAsia="Arial" w:hAnsi="Arial"/>
                <w:sz w:val="17"/>
                <w:szCs w:val="17"/>
                <w:color w:val="auto"/>
              </w:rPr>
              <w:t>45,078,044</w:t>
            </w:r>
          </w:p>
        </w:tc>
        <w:tc>
          <w:tcPr>
            <w:tcW w:w="32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490,444</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(512,427)</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(99,593)</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44,956,468</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(121,576)</w:t>
            </w:r>
          </w:p>
        </w:tc>
      </w:tr>
      <w:tr>
        <w:trPr>
          <w:trHeight w:val="636"/>
        </w:trPr>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5,003,292</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48,375</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(61,169)</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4,990,498</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(12,794)</w:t>
            </w:r>
          </w:p>
        </w:tc>
      </w:tr>
      <w:tr>
        <w:trPr>
          <w:trHeight w:val="215"/>
        </w:trPr>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62,221,129</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970,013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(589,485)</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(99,593)</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62,502,064</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280,935</w:t>
            </w:r>
          </w:p>
        </w:tc>
      </w:tr>
      <w:tr>
        <w:trPr>
          <w:trHeight w:val="626"/>
        </w:trPr>
        <w:tc>
          <w:tcPr>
            <w:tcW w:w="1160" w:type="dxa"/>
            <w:vAlign w:val="bottom"/>
          </w:tcPr>
          <w:p>
            <w:pPr>
              <w:jc w:val="right"/>
              <w:ind w:right="35"/>
              <w:spacing w:after="0"/>
              <w:rPr>
                <w:sz w:val="20"/>
                <w:szCs w:val="20"/>
                <w:color w:val="auto"/>
              </w:rPr>
            </w:pPr>
            <w:r>
              <w:rPr>
                <w:rFonts w:ascii="Arial" w:cs="Arial" w:eastAsia="Arial" w:hAnsi="Arial"/>
                <w:sz w:val="17"/>
                <w:szCs w:val="17"/>
                <w:color w:val="auto"/>
              </w:rPr>
              <w:t>2,874,173</w:t>
            </w:r>
          </w:p>
        </w:tc>
        <w:tc>
          <w:tcPr>
            <w:tcW w:w="32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70,799</w:t>
            </w:r>
          </w:p>
        </w:tc>
        <w:tc>
          <w:tcPr>
            <w:tcW w:w="3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(29,322)</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2,915,650</w:t>
            </w:r>
          </w:p>
        </w:tc>
        <w:tc>
          <w:tcPr>
            <w:tcW w:w="32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41,477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-1625600</wp:posOffset>
            </wp:positionV>
            <wp:extent cx="7251065" cy="132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-1360170</wp:posOffset>
            </wp:positionV>
            <wp:extent cx="7251065" cy="132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-1094105</wp:posOffset>
            </wp:positionV>
            <wp:extent cx="7251065" cy="132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-828675</wp:posOffset>
            </wp:positionV>
            <wp:extent cx="7251065" cy="132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-546100</wp:posOffset>
            </wp:positionV>
            <wp:extent cx="7251065" cy="149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-263525</wp:posOffset>
            </wp:positionV>
            <wp:extent cx="7251065" cy="132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3860" w:space="720"/>
            <w:col w:w="6840"/>
          </w:cols>
          <w:pgMar w:left="240" w:top="545"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stocks</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5,877,364</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514,977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(103,721)</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6,288,620</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411,256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8,751,537</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585,776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(103,721)</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(29,322)</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9,204,270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452,733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$ 70,972,666</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  1,555,789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(693,206)</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(128,915)</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8"/>
              </w:rPr>
              <w:t>$ 71,706,334</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733,668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A summary of the amortized cost and fair value of the Company’s investments in available-for-sale fixed-maturity securities by contractual maturity as of June 30, 2016 and December 31, 2015 is shown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857"/>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279"/>
              <w:spacing w:after="0" w:line="144" w:lineRule="exact"/>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279"/>
              <w:spacing w:after="0" w:line="144"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Remaining Time to Maturity</w:t>
            </w:r>
          </w:p>
        </w:tc>
        <w:tc>
          <w:tcPr>
            <w:tcW w:w="300" w:type="dxa"/>
            <w:vAlign w:val="bottom"/>
          </w:tcPr>
          <w:p>
            <w:pPr>
              <w:spacing w:after="0"/>
              <w:rPr>
                <w:sz w:val="15"/>
                <w:szCs w:val="15"/>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08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1080" w:type="dxa"/>
            <w:vAlign w:val="bottom"/>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5"/>
                <w:szCs w:val="15"/>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Less than one year</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1,507,212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1,538,112</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827,246</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837,918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One to five years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21,557,731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22,347,267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17,146,349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17,393,571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Five to ten years</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28,657,092</w:t>
            </w:r>
          </w:p>
        </w:tc>
        <w:tc>
          <w:tcPr>
            <w:tcW w:w="2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29,756,566</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37,877,726</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37,884,450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More than 10 years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681,012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715,328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1,366,516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1,395,627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Residential mortgage backed securities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18,812,484</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19,041,190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5,003,292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4,990,498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71,215,531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73,398,463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62,221,129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62,502,064</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amortized cost and fair value of investments in held-to-maturity fixed-maturity securities as of June 30, 2016 and December 31, 2015 are summarized as follows:</w:t>
      </w:r>
    </w:p>
    <w:p>
      <w:pPr>
        <w:sectPr>
          <w:pgSz w:w="11900" w:h="16838" w:orient="portrait"/>
          <w:cols w:equalWidth="0" w:num="1">
            <w:col w:w="11420"/>
          </w:cols>
          <w:pgMar w:left="240" w:top="4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Category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U.S. Treasury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Political subdivisions of States,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Territories and Possessions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Corporate and other bonds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Industrial and miscellaneous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Category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434403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44035" cy="1651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Net</w:t>
            </w:r>
          </w:p>
        </w:tc>
      </w:tr>
      <w:tr>
        <w:trPr>
          <w:trHeight w:val="200"/>
        </w:trPr>
        <w:tc>
          <w:tcPr>
            <w:tcW w:w="220" w:type="dxa"/>
            <w:vAlign w:val="bottom"/>
          </w:tcPr>
          <w:p>
            <w:pPr>
              <w:spacing w:after="0"/>
              <w:rPr>
                <w:sz w:val="17"/>
                <w:szCs w:val="17"/>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7"/>
                <w:szCs w:val="17"/>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4"/>
                <w:szCs w:val="14"/>
                <w:b w:val="1"/>
                <w:bCs w:val="1"/>
                <w:color w:val="auto"/>
                <w:w w:val="89"/>
              </w:rPr>
              <w:t>Gross Unrealized Losses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Unrealized</w:t>
            </w:r>
          </w:p>
        </w:tc>
      </w:tr>
      <w:tr>
        <w:trPr>
          <w:trHeight w:val="225"/>
        </w:trPr>
        <w:tc>
          <w:tcPr>
            <w:tcW w:w="220" w:type="dxa"/>
            <w:vAlign w:val="bottom"/>
          </w:tcPr>
          <w:p>
            <w:pPr>
              <w:spacing w:after="0"/>
              <w:rPr>
                <w:sz w:val="19"/>
                <w:szCs w:val="19"/>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9"/>
                <w:szCs w:val="19"/>
                <w:color w:val="auto"/>
              </w:rPr>
            </w:pPr>
          </w:p>
        </w:tc>
        <w:tc>
          <w:tcPr>
            <w:tcW w:w="106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280" w:type="dxa"/>
            <w:vAlign w:val="bottom"/>
          </w:tcPr>
          <w:p>
            <w:pPr>
              <w:spacing w:after="0"/>
              <w:rPr>
                <w:sz w:val="19"/>
                <w:szCs w:val="19"/>
                <w:color w:val="auto"/>
              </w:rPr>
            </w:pPr>
          </w:p>
        </w:tc>
        <w:tc>
          <w:tcPr>
            <w:tcW w:w="860" w:type="dxa"/>
            <w:vAlign w:val="bottom"/>
          </w:tcPr>
          <w:p>
            <w:pPr>
              <w:jc w:val="center"/>
              <w:ind w:right="202"/>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92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Gains/</w:t>
            </w:r>
          </w:p>
        </w:tc>
      </w:tr>
      <w:tr>
        <w:trPr>
          <w:trHeight w:val="200"/>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Months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6"/>
              </w:rPr>
              <w:t>(Losses)</w:t>
            </w:r>
          </w:p>
        </w:tc>
      </w:tr>
      <w:tr>
        <w:trPr>
          <w:trHeight w:val="626"/>
        </w:trPr>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3"/>
              <w:spacing w:after="0"/>
              <w:rPr>
                <w:sz w:val="20"/>
                <w:szCs w:val="20"/>
                <w:color w:val="auto"/>
              </w:rPr>
            </w:pPr>
            <w:r>
              <w:rPr>
                <w:rFonts w:ascii="Arial" w:cs="Arial" w:eastAsia="Arial" w:hAnsi="Arial"/>
                <w:sz w:val="17"/>
                <w:szCs w:val="17"/>
                <w:color w:val="auto"/>
              </w:rPr>
              <w:t>606,408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43"/>
              <w:spacing w:after="0"/>
              <w:rPr>
                <w:sz w:val="20"/>
                <w:szCs w:val="20"/>
                <w:color w:val="auto"/>
              </w:rPr>
            </w:pPr>
            <w:r>
              <w:rPr>
                <w:rFonts w:ascii="Arial" w:cs="Arial" w:eastAsia="Arial" w:hAnsi="Arial"/>
                <w:sz w:val="17"/>
                <w:szCs w:val="17"/>
                <w:color w:val="auto"/>
              </w:rPr>
              <w:t>147,631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62"/>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2"/>
              <w:spacing w:after="0"/>
              <w:rPr>
                <w:sz w:val="20"/>
                <w:szCs w:val="20"/>
                <w:color w:val="auto"/>
              </w:rPr>
            </w:pPr>
            <w:r>
              <w:rPr>
                <w:rFonts w:ascii="Arial" w:cs="Arial" w:eastAsia="Arial" w:hAnsi="Arial"/>
                <w:sz w:val="17"/>
                <w:szCs w:val="17"/>
                <w:color w:val="auto"/>
              </w:rPr>
              <w:t>754,039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ind w:left="260"/>
              <w:spacing w:after="0"/>
              <w:rPr>
                <w:sz w:val="20"/>
                <w:szCs w:val="20"/>
                <w:color w:val="auto"/>
              </w:rPr>
            </w:pPr>
            <w:r>
              <w:rPr>
                <w:rFonts w:ascii="Arial" w:cs="Arial" w:eastAsia="Arial" w:hAnsi="Arial"/>
                <w:sz w:val="17"/>
                <w:szCs w:val="17"/>
                <w:color w:val="auto"/>
              </w:rPr>
              <w:t>147,631</w:t>
            </w:r>
          </w:p>
        </w:tc>
      </w:tr>
      <w:tr>
        <w:trPr>
          <w:trHeight w:val="628"/>
        </w:trPr>
        <w:tc>
          <w:tcPr>
            <w:tcW w:w="220" w:type="dxa"/>
            <w:vAlign w:val="bottom"/>
          </w:tcPr>
          <w:p>
            <w:pPr>
              <w:spacing w:after="0"/>
              <w:rPr>
                <w:sz w:val="24"/>
                <w:szCs w:val="24"/>
                <w:color w:val="auto"/>
              </w:rPr>
            </w:pPr>
          </w:p>
        </w:tc>
        <w:tc>
          <w:tcPr>
            <w:tcW w:w="940" w:type="dxa"/>
            <w:vAlign w:val="bottom"/>
          </w:tcPr>
          <w:p>
            <w:pPr>
              <w:jc w:val="right"/>
              <w:ind w:right="43"/>
              <w:spacing w:after="0"/>
              <w:rPr>
                <w:sz w:val="20"/>
                <w:szCs w:val="20"/>
                <w:color w:val="auto"/>
              </w:rPr>
            </w:pPr>
            <w:r>
              <w:rPr>
                <w:rFonts w:ascii="Arial" w:cs="Arial" w:eastAsia="Arial" w:hAnsi="Arial"/>
                <w:sz w:val="17"/>
                <w:szCs w:val="17"/>
                <w:color w:val="auto"/>
              </w:rPr>
              <w:t>1,350,056</w:t>
            </w:r>
          </w:p>
        </w:tc>
        <w:tc>
          <w:tcPr>
            <w:tcW w:w="22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Arial" w:cs="Arial" w:eastAsia="Arial" w:hAnsi="Arial"/>
                <w:sz w:val="17"/>
                <w:szCs w:val="17"/>
                <w:color w:val="auto"/>
              </w:rPr>
              <w:t>113,781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7"/>
                <w:szCs w:val="17"/>
                <w:color w:val="auto"/>
                <w:w w:val="97"/>
              </w:rPr>
              <w:t>1,463,837</w:t>
            </w:r>
          </w:p>
        </w:tc>
        <w:tc>
          <w:tcPr>
            <w:tcW w:w="22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17"/>
                <w:szCs w:val="17"/>
                <w:color w:val="auto"/>
              </w:rPr>
              <w:t>113,781</w:t>
            </w:r>
          </w:p>
        </w:tc>
      </w:tr>
      <w:tr>
        <w:trPr>
          <w:trHeight w:val="636"/>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3,115,789</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179,743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(347)</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(66,220)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w w:val="97"/>
              </w:rPr>
              <w:t>3,228,965</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113,176</w:t>
            </w:r>
          </w:p>
        </w:tc>
      </w:tr>
      <w:tr>
        <w:trPr>
          <w:trHeight w:val="417"/>
        </w:trPr>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5,072,253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441,155</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(347)</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w w:val="97"/>
              </w:rPr>
              <w:t>5,446,841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374,588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8"/>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1"/>
              </w:rPr>
              <w:t>December 31, 2015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5"/>
        </w:trPr>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7"/>
              </w:rPr>
              <w:t>Net</w:t>
            </w:r>
          </w:p>
        </w:tc>
      </w:tr>
      <w:tr>
        <w:trPr>
          <w:trHeight w:val="200"/>
        </w:trPr>
        <w:tc>
          <w:tcPr>
            <w:tcW w:w="220" w:type="dxa"/>
            <w:vAlign w:val="bottom"/>
          </w:tcPr>
          <w:p>
            <w:pPr>
              <w:spacing w:after="0"/>
              <w:rPr>
                <w:sz w:val="17"/>
                <w:szCs w:val="17"/>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7"/>
                <w:szCs w:val="17"/>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4"/>
                <w:szCs w:val="14"/>
                <w:b w:val="1"/>
                <w:bCs w:val="1"/>
                <w:color w:val="auto"/>
                <w:w w:val="89"/>
              </w:rPr>
              <w:t>Gross Unrealized Losses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Unrealized</w:t>
            </w:r>
          </w:p>
        </w:tc>
      </w:tr>
      <w:tr>
        <w:trPr>
          <w:trHeight w:val="225"/>
        </w:trPr>
        <w:tc>
          <w:tcPr>
            <w:tcW w:w="220" w:type="dxa"/>
            <w:vAlign w:val="bottom"/>
          </w:tcPr>
          <w:p>
            <w:pPr>
              <w:spacing w:after="0"/>
              <w:rPr>
                <w:sz w:val="19"/>
                <w:szCs w:val="19"/>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9"/>
                <w:szCs w:val="19"/>
                <w:color w:val="auto"/>
              </w:rPr>
            </w:pPr>
          </w:p>
        </w:tc>
        <w:tc>
          <w:tcPr>
            <w:tcW w:w="106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280" w:type="dxa"/>
            <w:vAlign w:val="bottom"/>
          </w:tcPr>
          <w:p>
            <w:pPr>
              <w:spacing w:after="0"/>
              <w:rPr>
                <w:sz w:val="19"/>
                <w:szCs w:val="19"/>
                <w:color w:val="auto"/>
              </w:rPr>
            </w:pPr>
          </w:p>
        </w:tc>
        <w:tc>
          <w:tcPr>
            <w:tcW w:w="860" w:type="dxa"/>
            <w:vAlign w:val="bottom"/>
          </w:tcPr>
          <w:p>
            <w:pPr>
              <w:jc w:val="center"/>
              <w:ind w:right="202"/>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92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Gains/</w:t>
            </w:r>
          </w:p>
        </w:tc>
      </w:tr>
      <w:tr>
        <w:trPr>
          <w:trHeight w:val="200"/>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Months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6"/>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-2358390</wp:posOffset>
            </wp:positionV>
            <wp:extent cx="7251065" cy="132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-2092325</wp:posOffset>
            </wp:positionV>
            <wp:extent cx="7251065" cy="132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-1826895</wp:posOffset>
            </wp:positionV>
            <wp:extent cx="7251065" cy="132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-1560830</wp:posOffset>
            </wp:positionV>
            <wp:extent cx="7251065" cy="132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-1294765</wp:posOffset>
            </wp:positionV>
            <wp:extent cx="7251065" cy="149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-1012825</wp:posOffset>
            </wp:positionV>
            <wp:extent cx="7251065" cy="166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0</wp:posOffset>
            </wp:positionV>
            <wp:extent cx="7251065" cy="132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497" w:right="239" w:bottom="1440" w:gutter="0" w:footer="0" w:header="0"/>
          <w:type w:val="continuous"/>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606,389</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147,650</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754,039</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147,650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8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w w:val="97"/>
              </w:rPr>
              <w:t>1,417,679</w:t>
            </w:r>
          </w:p>
        </w:tc>
        <w:tc>
          <w:tcPr>
            <w:tcW w:w="32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70,284</w:t>
            </w:r>
          </w:p>
        </w:tc>
        <w:tc>
          <w:tcPr>
            <w:tcW w:w="34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(54,189)</w:t>
            </w:r>
          </w:p>
        </w:tc>
        <w:tc>
          <w:tcPr>
            <w:tcW w:w="24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w w:val="97"/>
              </w:rPr>
              <w:t>1,433,774</w:t>
            </w:r>
          </w:p>
        </w:tc>
        <w:tc>
          <w:tcPr>
            <w:tcW w:w="34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16,095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7"/>
              </w:rPr>
              <w:t>3,114,804</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82,265</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(17,980)</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(125,807)</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7"/>
              </w:rPr>
              <w:t>3,053,282</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7"/>
              </w:rPr>
              <w:t>5,138,872</w:t>
            </w: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300,199</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(17,980)</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7"/>
              </w:rPr>
              <w:t>5,241,095</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102,223</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the New York State Department of Financial Services’ minimum funds requirement.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type w:val="continuous"/>
        </w:sectPr>
      </w:pPr>
    </w:p>
    <w:bookmarkStart w:id="13" w:name="page14"/>
    <w:bookmarkEnd w:id="13"/>
    <w:p>
      <w:pPr>
        <w:spacing w:after="0" w:line="281" w:lineRule="auto"/>
        <w:rPr>
          <w:sz w:val="20"/>
          <w:szCs w:val="20"/>
          <w:color w:val="auto"/>
        </w:rPr>
      </w:pPr>
      <w:r>
        <w:rPr>
          <w:rFonts w:ascii="Arial" w:cs="Arial" w:eastAsia="Arial" w:hAnsi="Arial"/>
          <w:sz w:val="17"/>
          <w:szCs w:val="17"/>
          <w:color w:val="auto"/>
        </w:rPr>
        <w:t>A summary of the amortized cost and fair value of the Company’s investments in held-to-maturity securities by contractual maturity as of June 30, 2016 and December 31, 2015 is shown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2"/>
              </w:rPr>
              <w:t>June 30, 2016</w:t>
            </w: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25"/>
        </w:trPr>
        <w:tc>
          <w:tcPr>
            <w:tcW w:w="59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Remaining Time to Maturity</w:t>
            </w:r>
          </w:p>
        </w:tc>
        <w:tc>
          <w:tcPr>
            <w:tcW w:w="300" w:type="dxa"/>
            <w:vAlign w:val="bottom"/>
          </w:tcPr>
          <w:p>
            <w:pPr>
              <w:spacing w:after="0"/>
              <w:rPr>
                <w:sz w:val="19"/>
                <w:szCs w:val="19"/>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940" w:type="dxa"/>
            <w:vAlign w:val="bottom"/>
            <w:gridSpan w:val="3"/>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Less than one year</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One to five years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500,000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504,210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500,000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496,245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Five to ten years</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3,965,845</w:t>
            </w:r>
          </w:p>
        </w:tc>
        <w:tc>
          <w:tcPr>
            <w:tcW w:w="3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4,188,592</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4,032,483</w:t>
            </w:r>
          </w:p>
        </w:tc>
        <w:tc>
          <w:tcPr>
            <w:tcW w:w="32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3,990,811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More than 10 years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606,408</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754,039</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606,389</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754,039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5,072,253</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5,446,841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5,138,872</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5,241,095</w:t>
            </w:r>
          </w:p>
        </w:tc>
        <w:tc>
          <w:tcPr>
            <w:tcW w:w="0" w:type="dxa"/>
            <w:vAlign w:val="bottom"/>
          </w:tcPr>
          <w:p>
            <w:pPr>
              <w:spacing w:after="0"/>
              <w:rPr>
                <w:sz w:val="1"/>
                <w:szCs w:val="1"/>
                <w:color w:val="auto"/>
              </w:rPr>
            </w:pPr>
          </w:p>
        </w:tc>
      </w:tr>
      <w:tr>
        <w:trPr>
          <w:trHeight w:val="20"/>
        </w:trPr>
        <w:tc>
          <w:tcPr>
            <w:tcW w:w="1320" w:type="dxa"/>
            <w:vAlign w:val="bottom"/>
            <w:gridSpan w:val="2"/>
            <w:vMerge w:val="restart"/>
          </w:tcPr>
          <w:p>
            <w:pPr>
              <w:spacing w:after="0"/>
              <w:rPr>
                <w:sz w:val="20"/>
                <w:szCs w:val="20"/>
                <w:color w:val="auto"/>
              </w:rPr>
            </w:pPr>
            <w:r>
              <w:rPr>
                <w:rFonts w:ascii="Arial" w:cs="Arial" w:eastAsia="Arial" w:hAnsi="Arial"/>
                <w:sz w:val="17"/>
                <w:szCs w:val="17"/>
                <w:color w:val="auto"/>
                <w:w w:val="90"/>
              </w:rPr>
              <w:t>Investment Income</w:t>
            </w:r>
          </w:p>
        </w:tc>
        <w:tc>
          <w:tcPr>
            <w:tcW w:w="46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20" w:type="dxa"/>
            <w:vAlign w:val="bottom"/>
            <w:tcBorders>
              <w:bottom w:val="single" w:sz="8" w:color="auto"/>
            </w:tcBorders>
            <w:gridSpan w:val="2"/>
            <w:vMerge w:val="continue"/>
          </w:tcPr>
          <w:p>
            <w:pPr>
              <w:spacing w:after="0"/>
              <w:rPr>
                <w:sz w:val="24"/>
                <w:szCs w:val="24"/>
                <w:color w:val="auto"/>
              </w:rPr>
            </w:pPr>
          </w:p>
        </w:tc>
        <w:tc>
          <w:tcPr>
            <w:tcW w:w="4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940" w:type="dxa"/>
            <w:vAlign w:val="bottom"/>
            <w:gridSpan w:val="3"/>
          </w:tcPr>
          <w:p>
            <w:pPr>
              <w:spacing w:after="0"/>
              <w:rPr>
                <w:sz w:val="20"/>
                <w:szCs w:val="20"/>
                <w:color w:val="auto"/>
              </w:rPr>
            </w:pPr>
            <w:r>
              <w:rPr>
                <w:rFonts w:ascii="Arial" w:cs="Arial" w:eastAsia="Arial" w:hAnsi="Arial"/>
                <w:sz w:val="17"/>
                <w:szCs w:val="17"/>
                <w:color w:val="auto"/>
                <w:w w:val="91"/>
              </w:rPr>
              <w:t>Major categories of the Company’s net investment income are summarized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3"/>
          </w:tcPr>
          <w:p>
            <w:pPr>
              <w:jc w:val="center"/>
              <w:ind w:right="217"/>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24"/>
                <w:szCs w:val="24"/>
                <w:color w:val="auto"/>
              </w:rPr>
            </w:pPr>
          </w:p>
        </w:tc>
        <w:tc>
          <w:tcPr>
            <w:tcW w:w="2440" w:type="dxa"/>
            <w:vAlign w:val="bottom"/>
            <w:gridSpan w:val="3"/>
          </w:tcPr>
          <w:p>
            <w:pPr>
              <w:jc w:val="center"/>
              <w:ind w:right="197"/>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left="720"/>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left="720"/>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Income: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Fixed-maturity securities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685,776</w:t>
            </w: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565,337</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1,350,252</w:t>
            </w: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1,076,292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104,652</w:t>
            </w:r>
          </w:p>
        </w:tc>
        <w:tc>
          <w:tcPr>
            <w:tcW w:w="3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130,136</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280,603</w:t>
            </w:r>
          </w:p>
        </w:tc>
        <w:tc>
          <w:tcPr>
            <w:tcW w:w="32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252,705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2,732</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121</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9,178</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Total</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793,160</w:t>
            </w:r>
          </w:p>
        </w:tc>
        <w:tc>
          <w:tcPr>
            <w:tcW w:w="32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695,594</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1,640,033</w:t>
            </w:r>
          </w:p>
        </w:tc>
        <w:tc>
          <w:tcPr>
            <w:tcW w:w="32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1,329,212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Investment expenses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29,090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69,622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62,906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128,584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764,070</w:t>
            </w:r>
          </w:p>
        </w:tc>
        <w:tc>
          <w:tcPr>
            <w:tcW w:w="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625,972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1,577,127</w:t>
            </w:r>
          </w:p>
        </w:tc>
        <w:tc>
          <w:tcPr>
            <w:tcW w:w="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1,200,628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Proceeds from the sale and maturity of fixed-maturity securities available-for-sale were $14,314,798 and $1,135,673 for the six months ended June 30,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sale of equity securities available-for-sale were $4,212,336 and $839,408 for the six months ended June 30, 2016 and 2015,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Company’s net realized gains (losses) on investments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920" w:type="dxa"/>
            <w:vAlign w:val="bottom"/>
          </w:tcPr>
          <w:p>
            <w:pPr>
              <w:jc w:val="center"/>
              <w:ind w:left="768"/>
              <w:spacing w:after="0"/>
              <w:rPr>
                <w:sz w:val="20"/>
                <w:szCs w:val="20"/>
                <w:color w:val="auto"/>
              </w:rPr>
            </w:pPr>
            <w:r>
              <w:rPr>
                <w:rFonts w:ascii="Arial" w:cs="Arial" w:eastAsia="Arial" w:hAnsi="Arial"/>
                <w:sz w:val="14"/>
                <w:szCs w:val="14"/>
                <w:b w:val="1"/>
                <w:bCs w:val="1"/>
                <w:color w:val="auto"/>
                <w:w w:val="89"/>
              </w:rPr>
              <w:t>Six months ended</w:t>
            </w:r>
          </w:p>
        </w:tc>
        <w:tc>
          <w:tcPr>
            <w:tcW w:w="820" w:type="dxa"/>
            <w:vAlign w:val="bottom"/>
          </w:tcPr>
          <w:p>
            <w:pPr>
              <w:spacing w:after="0"/>
              <w:rPr>
                <w:sz w:val="16"/>
                <w:szCs w:val="16"/>
                <w:color w:val="auto"/>
              </w:rPr>
            </w:pPr>
          </w:p>
        </w:tc>
      </w:tr>
      <w:tr>
        <w:trPr>
          <w:trHeight w:val="200"/>
        </w:trPr>
        <w:tc>
          <w:tcPr>
            <w:tcW w:w="59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w w:val="92"/>
              </w:rPr>
              <w:t>June 30,</w:t>
            </w:r>
          </w:p>
        </w:tc>
        <w:tc>
          <w:tcPr>
            <w:tcW w:w="192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7"/>
                <w:szCs w:val="17"/>
                <w:color w:val="auto"/>
              </w:rPr>
            </w:pPr>
          </w:p>
        </w:tc>
      </w:tr>
      <w:tr>
        <w:trPr>
          <w:trHeight w:val="215"/>
        </w:trPr>
        <w:tc>
          <w:tcPr>
            <w:tcW w:w="69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7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920" w:type="dxa"/>
            <w:vAlign w:val="bottom"/>
          </w:tcPr>
          <w:p>
            <w:pPr>
              <w:jc w:val="right"/>
              <w:ind w:right="1008"/>
              <w:spacing w:after="0"/>
              <w:rPr>
                <w:sz w:val="20"/>
                <w:szCs w:val="20"/>
                <w:color w:val="auto"/>
              </w:rPr>
            </w:pPr>
            <w:r>
              <w:rPr>
                <w:rFonts w:ascii="Arial" w:cs="Arial" w:eastAsia="Arial" w:hAnsi="Arial"/>
                <w:sz w:val="14"/>
                <w:szCs w:val="14"/>
                <w:b w:val="1"/>
                <w:bCs w:val="1"/>
                <w:color w:val="auto"/>
              </w:rPr>
              <w:t>2016</w:t>
            </w:r>
          </w:p>
        </w:tc>
        <w:tc>
          <w:tcPr>
            <w:tcW w:w="820" w:type="dxa"/>
            <w:vAlign w:val="bottom"/>
          </w:tcPr>
          <w:p>
            <w:pPr>
              <w:jc w:val="right"/>
              <w:ind w:right="468"/>
              <w:spacing w:after="0"/>
              <w:rPr>
                <w:sz w:val="20"/>
                <w:szCs w:val="20"/>
                <w:color w:val="auto"/>
              </w:rPr>
            </w:pPr>
            <w:r>
              <w:rPr>
                <w:rFonts w:ascii="Arial" w:cs="Arial" w:eastAsia="Arial" w:hAnsi="Arial"/>
                <w:sz w:val="14"/>
                <w:szCs w:val="14"/>
                <w:b w:val="1"/>
                <w:bCs w:val="1"/>
                <w:color w:val="auto"/>
                <w:w w:val="83"/>
              </w:rPr>
              <w:t>2015</w:t>
            </w:r>
          </w:p>
        </w:tc>
      </w:tr>
      <w:tr>
        <w:trPr>
          <w:trHeight w:val="209"/>
        </w:trPr>
        <w:tc>
          <w:tcPr>
            <w:tcW w:w="59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497" w:right="239" w:bottom="1440" w:gutter="0" w:footer="0" w:header="0"/>
        </w:sectPr>
      </w:pPr>
    </w:p>
    <w:p>
      <w:pPr>
        <w:spacing w:after="0"/>
        <w:rPr>
          <w:sz w:val="20"/>
          <w:szCs w:val="20"/>
          <w:color w:val="auto"/>
        </w:rPr>
      </w:pPr>
      <w:r>
        <w:rPr>
          <w:rFonts w:ascii="Arial" w:cs="Arial" w:eastAsia="Arial" w:hAnsi="Arial"/>
          <w:sz w:val="15"/>
          <w:szCs w:val="15"/>
          <w:b w:val="1"/>
          <w:bCs w:val="1"/>
          <w:color w:val="auto"/>
        </w:rPr>
        <w:t>Fixed-maturity securities: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gains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losses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gains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205,476</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311,893</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w:t>
            </w:r>
          </w:p>
        </w:tc>
      </w:tr>
      <w:tr>
        <w:trPr>
          <w:trHeight w:val="224"/>
        </w:trPr>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(65,428)</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(18,717)</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(170,971)</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(86,211)</w:t>
            </w:r>
          </w:p>
        </w:tc>
      </w:tr>
      <w:tr>
        <w:trPr>
          <w:trHeight w:val="215"/>
        </w:trPr>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140,048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(18,717)</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140,922</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(86,211)</w:t>
            </w:r>
          </w:p>
        </w:tc>
      </w:tr>
      <w:tr>
        <w:trPr>
          <w:trHeight w:val="626"/>
        </w:trPr>
        <w:tc>
          <w:tcPr>
            <w:tcW w:w="460" w:type="dxa"/>
            <w:vAlign w:val="bottom"/>
          </w:tcPr>
          <w:p>
            <w:pPr>
              <w:spacing w:after="0"/>
              <w:rPr>
                <w:sz w:val="24"/>
                <w:szCs w:val="24"/>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232,929</w:t>
            </w:r>
          </w:p>
        </w:tc>
        <w:tc>
          <w:tcPr>
            <w:tcW w:w="440" w:type="dxa"/>
            <w:vAlign w:val="bottom"/>
          </w:tcPr>
          <w:p>
            <w:pPr>
              <w:spacing w:after="0"/>
              <w:rPr>
                <w:sz w:val="24"/>
                <w:szCs w:val="24"/>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36,421</w:t>
            </w:r>
          </w:p>
        </w:tc>
        <w:tc>
          <w:tcPr>
            <w:tcW w:w="400" w:type="dxa"/>
            <w:vAlign w:val="bottom"/>
          </w:tcPr>
          <w:p>
            <w:pPr>
              <w:spacing w:after="0"/>
              <w:rPr>
                <w:sz w:val="24"/>
                <w:szCs w:val="24"/>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315,617</w:t>
            </w:r>
          </w:p>
        </w:tc>
        <w:tc>
          <w:tcPr>
            <w:tcW w:w="42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36,421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-828675</wp:posOffset>
            </wp:positionV>
            <wp:extent cx="7251065" cy="132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-546100</wp:posOffset>
            </wp:positionV>
            <wp:extent cx="7251065" cy="149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-263525</wp:posOffset>
            </wp:positionV>
            <wp:extent cx="7251065" cy="132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5220" w:space="720"/>
            <w:col w:w="5480"/>
          </w:cols>
          <w:pgMar w:left="240" w:top="497"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Gross realized losses</w:t>
            </w:r>
          </w:p>
        </w:tc>
        <w:tc>
          <w:tcPr>
            <w:tcW w:w="4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(19,634)</w:t>
            </w: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(15,441)</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(22,760)</w:t>
            </w: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213,295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20,980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292,857</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20,980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Other-than-temporary impairment losses: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Fixed-maturity securities</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(69,911)</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(69,911)</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(69,911)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(69,911)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Net realized gains (losses)</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283,432</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2,263</w:t>
            </w: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363,868</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(65,231)</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Arial" w:cs="Arial" w:eastAsia="Arial" w:hAnsi="Arial"/>
                <w:sz w:val="17"/>
                <w:szCs w:val="17"/>
                <w:color w:val="auto"/>
                <w:w w:val="92"/>
              </w:rPr>
              <w:t>Impairment Review</w:t>
            </w:r>
          </w:p>
        </w:tc>
        <w:tc>
          <w:tcPr>
            <w:tcW w:w="458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60" w:type="dxa"/>
            <w:vAlign w:val="bottom"/>
            <w:tcBorders>
              <w:bottom w:val="single" w:sz="8" w:color="auto"/>
            </w:tcBorders>
            <w:gridSpan w:val="2"/>
            <w:vMerge w:val="continue"/>
          </w:tcPr>
          <w:p>
            <w:pPr>
              <w:spacing w:after="0"/>
              <w:rPr>
                <w:sz w:val="24"/>
                <w:szCs w:val="24"/>
                <w:color w:val="auto"/>
              </w:rPr>
            </w:pPr>
          </w:p>
        </w:tc>
        <w:tc>
          <w:tcPr>
            <w:tcW w:w="45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w:t>
      </w:r>
    </w:p>
    <w:p>
      <w:pPr>
        <w:jc w:val="both"/>
        <w:ind w:firstLine="5"/>
        <w:spacing w:after="0" w:line="259" w:lineRule="auto"/>
        <w:tabs>
          <w:tab w:leader="none" w:pos="2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June 30, 2016 and December 31, 2015, there were 26 and 57 securities, respectively, that accounted for the gross unrealized loss. As of June 30, 2016 the Company’s held-to-maturity debt securities included an investment in one bond issued by the Commonwealth of Puerto Rico (“PR”). In July 2016, PR defaulted on its interest payment to bondholders. Due to the credit deterioration of PR, the Company recorded a credit loss component of OTTI on this investment as of June 30, 2016. For the three months and six months ended June 30, 2016, the full amount of the write-down was recognized as a credit component of OTTI in the amount of $69,911 and is included as a reduction to net realized gains in the condensed consolidated statements of income and comprehensive income. The Company determined that none of the other unrealized losses were deemed to be OTTI for its portfolio of fixed-maturity investments and equity securities for the six months ended June 30, 2016 and 2015.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The Company held securities with unrealized losses representing declines that were considered temporary at June 30, 2016 and December 31, 2015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4"/>
                <w:szCs w:val="14"/>
                <w:b w:val="1"/>
                <w:bCs w:val="1"/>
                <w:color w:val="auto"/>
              </w:rPr>
              <w:t>June 30, 2016</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4"/>
                <w:szCs w:val="14"/>
                <w:b w:val="1"/>
                <w:bCs w:val="1"/>
                <w:color w:val="auto"/>
                <w:w w:val="90"/>
              </w:rPr>
              <w:t>Less than 12 months</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00" w:type="dxa"/>
            <w:vAlign w:val="bottom"/>
          </w:tcPr>
          <w:p>
            <w:pPr>
              <w:jc w:val="center"/>
              <w:ind w:right="298"/>
              <w:spacing w:after="0" w:line="157"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380" w:type="dxa"/>
            <w:vAlign w:val="bottom"/>
          </w:tcPr>
          <w:p>
            <w:pPr>
              <w:spacing w:after="0"/>
              <w:rPr>
                <w:sz w:val="13"/>
                <w:szCs w:val="13"/>
                <w:color w:val="auto"/>
              </w:rPr>
            </w:pPr>
          </w:p>
        </w:tc>
        <w:tc>
          <w:tcPr>
            <w:tcW w:w="800" w:type="dxa"/>
            <w:vAlign w:val="bottom"/>
          </w:tcPr>
          <w:p>
            <w:pPr>
              <w:jc w:val="right"/>
              <w:ind w:right="279"/>
              <w:spacing w:after="0" w:line="15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80" w:type="dxa"/>
            <w:vAlign w:val="bottom"/>
          </w:tcPr>
          <w:p>
            <w:pPr>
              <w:jc w:val="center"/>
              <w:ind w:right="278"/>
              <w:spacing w:after="0" w:line="157"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900" w:type="dxa"/>
            <w:vAlign w:val="bottom"/>
          </w:tcPr>
          <w:p>
            <w:pPr>
              <w:jc w:val="center"/>
              <w:ind w:right="159"/>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80" w:type="dxa"/>
            <w:vAlign w:val="bottom"/>
          </w:tcPr>
          <w:p>
            <w:pPr>
              <w:spacing w:after="0"/>
              <w:rPr>
                <w:sz w:val="15"/>
                <w:szCs w:val="15"/>
                <w:color w:val="auto"/>
              </w:rPr>
            </w:pPr>
          </w:p>
        </w:tc>
        <w:tc>
          <w:tcPr>
            <w:tcW w:w="78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100" w:type="dxa"/>
            <w:vAlign w:val="bottom"/>
          </w:tcPr>
          <w:p>
            <w:pPr>
              <w:jc w:val="center"/>
              <w:ind w:right="298"/>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38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80" w:type="dxa"/>
            <w:vAlign w:val="bottom"/>
          </w:tcPr>
          <w:p>
            <w:pPr>
              <w:jc w:val="center"/>
              <w:ind w:right="27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Pr>
          <w:p>
            <w:pPr>
              <w:spacing w:after="0"/>
              <w:rPr>
                <w:sz w:val="15"/>
                <w:szCs w:val="15"/>
                <w:color w:val="auto"/>
              </w:rPr>
            </w:pPr>
          </w:p>
        </w:tc>
        <w:tc>
          <w:tcPr>
            <w:tcW w:w="90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920" w:type="dxa"/>
            <w:vAlign w:val="bottom"/>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b w:val="1"/>
                <w:bCs w:val="1"/>
                <w:color w:val="auto"/>
              </w:rPr>
              <w:t>Fixed-Maturity Securities: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States, Territories and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331,626</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(4,402)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331,626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bonds industrial and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2,807,274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(69,496)</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504,110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(41,112)</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3,311,384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(110,608)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backed securities</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1,042,448</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(33,751)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560,806</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(16,333)</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1,603,254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(50,084)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fixed-maturity</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4,181,348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(107,649)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1,064,916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(57,445)</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5,246,264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(165,094)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530,800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8"/>
              <w:spacing w:after="0"/>
              <w:rPr>
                <w:sz w:val="20"/>
                <w:szCs w:val="20"/>
                <w:color w:val="auto"/>
              </w:rPr>
            </w:pPr>
            <w:r>
              <w:rPr>
                <w:rFonts w:ascii="Arial" w:cs="Arial" w:eastAsia="Arial" w:hAnsi="Arial"/>
                <w:sz w:val="17"/>
                <w:szCs w:val="17"/>
                <w:color w:val="auto"/>
              </w:rPr>
              <w:t>(594)</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694,250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(37,072)</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1,225,050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(37,666)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stocks</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1,331,100</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(155,141)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1,331,100</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(155,141)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1,861,900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(155,735)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694,250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(37,072)</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2,556,150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(192,807)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6,043,248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(263,384)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1,759,166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(94,517)</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7,802,414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(357,901)</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14</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4"/>
                <w:szCs w:val="14"/>
                <w:b w:val="1"/>
                <w:bCs w:val="1"/>
                <w:color w:val="auto"/>
              </w:rPr>
              <w:t>December 31, 2015</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58"/>
              <w:spacing w:after="0"/>
              <w:rPr>
                <w:sz w:val="20"/>
                <w:szCs w:val="20"/>
                <w:color w:val="auto"/>
              </w:rPr>
            </w:pPr>
            <w:r>
              <w:rPr>
                <w:rFonts w:ascii="Arial" w:cs="Arial" w:eastAsia="Arial" w:hAnsi="Arial"/>
                <w:sz w:val="14"/>
                <w:szCs w:val="14"/>
                <w:b w:val="1"/>
                <w:bCs w:val="1"/>
                <w:color w:val="auto"/>
                <w:w w:val="90"/>
              </w:rPr>
              <w:t>Less than 12 months</w:t>
            </w: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No. of</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40" w:type="dxa"/>
            <w:vAlign w:val="bottom"/>
          </w:tcPr>
          <w:p>
            <w:pPr>
              <w:jc w:val="center"/>
              <w:ind w:right="338"/>
              <w:spacing w:after="0" w:line="157" w:lineRule="exact"/>
              <w:rPr>
                <w:sz w:val="20"/>
                <w:szCs w:val="20"/>
                <w:color w:val="auto"/>
              </w:rPr>
            </w:pPr>
            <w:r>
              <w:rPr>
                <w:rFonts w:ascii="Arial" w:cs="Arial" w:eastAsia="Arial" w:hAnsi="Arial"/>
                <w:sz w:val="14"/>
                <w:szCs w:val="14"/>
                <w:b w:val="1"/>
                <w:bCs w:val="1"/>
                <w:color w:val="auto"/>
                <w:w w:val="95"/>
              </w:rPr>
              <w:t>Unrealized</w:t>
            </w:r>
          </w:p>
        </w:tc>
        <w:tc>
          <w:tcPr>
            <w:tcW w:w="820" w:type="dxa"/>
            <w:vAlign w:val="bottom"/>
          </w:tcPr>
          <w:p>
            <w:pPr>
              <w:jc w:val="center"/>
              <w:ind w:right="19"/>
              <w:spacing w:after="0" w:line="157" w:lineRule="exact"/>
              <w:rPr>
                <w:sz w:val="20"/>
                <w:szCs w:val="20"/>
                <w:color w:val="auto"/>
              </w:rPr>
            </w:pPr>
            <w:r>
              <w:rPr>
                <w:rFonts w:ascii="Arial" w:cs="Arial" w:eastAsia="Arial" w:hAnsi="Arial"/>
                <w:sz w:val="14"/>
                <w:szCs w:val="14"/>
                <w:b w:val="1"/>
                <w:bCs w:val="1"/>
                <w:color w:val="auto"/>
                <w:w w:val="88"/>
              </w:rPr>
              <w:t>Positions</w:t>
            </w:r>
          </w:p>
        </w:tc>
        <w:tc>
          <w:tcPr>
            <w:tcW w:w="380" w:type="dxa"/>
            <w:vAlign w:val="bottom"/>
          </w:tcPr>
          <w:p>
            <w:pPr>
              <w:spacing w:after="0"/>
              <w:rPr>
                <w:sz w:val="13"/>
                <w:szCs w:val="13"/>
                <w:color w:val="auto"/>
              </w:rPr>
            </w:pPr>
          </w:p>
        </w:tc>
        <w:tc>
          <w:tcPr>
            <w:tcW w:w="800" w:type="dxa"/>
            <w:vAlign w:val="bottom"/>
          </w:tcPr>
          <w:p>
            <w:pPr>
              <w:jc w:val="right"/>
              <w:ind w:right="279"/>
              <w:spacing w:after="0" w:line="15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80" w:type="dxa"/>
            <w:vAlign w:val="bottom"/>
          </w:tcPr>
          <w:p>
            <w:pPr>
              <w:jc w:val="center"/>
              <w:ind w:right="278"/>
              <w:spacing w:after="0" w:line="157"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900" w:type="dxa"/>
            <w:vAlign w:val="bottom"/>
          </w:tcPr>
          <w:p>
            <w:pPr>
              <w:jc w:val="center"/>
              <w:ind w:right="159"/>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4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140" w:type="dxa"/>
            <w:vAlign w:val="bottom"/>
          </w:tcPr>
          <w:p>
            <w:pPr>
              <w:jc w:val="center"/>
              <w:ind w:right="338"/>
              <w:spacing w:after="0"/>
              <w:rPr>
                <w:sz w:val="20"/>
                <w:szCs w:val="20"/>
                <w:color w:val="auto"/>
              </w:rPr>
            </w:pPr>
            <w:r>
              <w:rPr>
                <w:rFonts w:ascii="Arial" w:cs="Arial" w:eastAsia="Arial" w:hAnsi="Arial"/>
                <w:sz w:val="14"/>
                <w:szCs w:val="14"/>
                <w:b w:val="1"/>
                <w:bCs w:val="1"/>
                <w:color w:val="auto"/>
                <w:w w:val="82"/>
              </w:rPr>
              <w:t>Losses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38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80" w:type="dxa"/>
            <w:vAlign w:val="bottom"/>
          </w:tcPr>
          <w:p>
            <w:pPr>
              <w:jc w:val="center"/>
              <w:ind w:right="27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Pr>
          <w:p>
            <w:pPr>
              <w:spacing w:after="0"/>
              <w:rPr>
                <w:sz w:val="15"/>
                <w:szCs w:val="15"/>
                <w:color w:val="auto"/>
              </w:rPr>
            </w:pPr>
          </w:p>
        </w:tc>
        <w:tc>
          <w:tcPr>
            <w:tcW w:w="90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920" w:type="dxa"/>
            <w:vAlign w:val="bottom"/>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States, Territories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1,432,005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(15,889)$4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1,432,005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bonds industrial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18,424,609</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(512,427)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636,093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(99,593)</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1"/>
              </w:rPr>
              <w:t>19,060,702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backed securities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2,413,980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8"/>
              <w:spacing w:after="0"/>
              <w:rPr>
                <w:sz w:val="20"/>
                <w:szCs w:val="20"/>
                <w:color w:val="auto"/>
              </w:rPr>
            </w:pPr>
            <w:r>
              <w:rPr>
                <w:rFonts w:ascii="Arial" w:cs="Arial" w:eastAsia="Arial" w:hAnsi="Arial"/>
                <w:sz w:val="17"/>
                <w:szCs w:val="17"/>
                <w:color w:val="auto"/>
              </w:rPr>
              <w:t>(61,169)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2,413,980</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fixed-maturity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22,270,594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(589,485)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636,093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(99,593)</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22,906,687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(689,078)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3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702,000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(29,322)</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702,000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(29,322)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2,538,900</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(103,721)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2,538,900</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2,538,900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(103,721)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702,000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(29,322)</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3,240,900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(133,043)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24,809,494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(693,206)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1,338,093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(128,915)</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26,147,587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(822,121)</w:t>
            </w:r>
          </w:p>
        </w:tc>
        <w:tc>
          <w:tcPr>
            <w:tcW w:w="0" w:type="dxa"/>
            <w:vAlign w:val="bottom"/>
          </w:tcPr>
          <w:p>
            <w:pPr>
              <w:spacing w:after="0"/>
              <w:rPr>
                <w:sz w:val="1"/>
                <w:szCs w:val="1"/>
                <w:color w:val="auto"/>
              </w:rPr>
            </w:pPr>
          </w:p>
        </w:tc>
      </w:tr>
      <w:tr>
        <w:trPr>
          <w:trHeight w:val="828"/>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15</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an active exchange, such as the NASDAQ Global Select Market, U.S. Treasury securities and obligations of U.S. government agencies, together with corporate debt securities that are generally investment grade.</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The Company’s investments are allocated among pricing input levels at June 30, 2016 and December 31, 2015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77"/>
              <w:spacing w:after="0" w:line="157"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020" w:type="dxa"/>
            <w:vAlign w:val="bottom"/>
          </w:tcPr>
          <w:p>
            <w:pPr>
              <w:jc w:val="right"/>
              <w:ind w:right="378"/>
              <w:spacing w:after="0" w:line="157" w:lineRule="exact"/>
              <w:rPr>
                <w:sz w:val="20"/>
                <w:szCs w:val="20"/>
                <w:color w:val="auto"/>
              </w:rPr>
            </w:pPr>
            <w:r>
              <w:rPr>
                <w:rFonts w:ascii="Arial" w:cs="Arial" w:eastAsia="Arial" w:hAnsi="Arial"/>
                <w:sz w:val="14"/>
                <w:szCs w:val="14"/>
                <w:b w:val="1"/>
                <w:bCs w:val="1"/>
                <w:color w:val="auto"/>
              </w:rPr>
              <w:t>Level 2</w:t>
            </w:r>
          </w:p>
        </w:tc>
        <w:tc>
          <w:tcPr>
            <w:tcW w:w="1060" w:type="dxa"/>
            <w:vAlign w:val="bottom"/>
          </w:tcPr>
          <w:p>
            <w:pPr>
              <w:jc w:val="right"/>
              <w:ind w:right="59"/>
              <w:spacing w:after="0" w:line="157"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37"/>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8,620,870</w:t>
            </w:r>
          </w:p>
        </w:tc>
        <w:tc>
          <w:tcPr>
            <w:tcW w:w="106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8,620,870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39,709,080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6,027,323</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45,736,403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backed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19,041,190</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19,041,190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fixed maturities</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39,709,080</w:t>
            </w:r>
          </w:p>
        </w:tc>
        <w:tc>
          <w:tcPr>
            <w:tcW w:w="34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33,689,383</w:t>
            </w:r>
          </w:p>
        </w:tc>
        <w:tc>
          <w:tcPr>
            <w:tcW w:w="106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73,398,463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10,962,617</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10,962,617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investments</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50,671,697</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33,689,383</w:t>
            </w:r>
          </w:p>
        </w:tc>
        <w:tc>
          <w:tcPr>
            <w:tcW w:w="106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84,361,080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December 31, 2015</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77"/>
              <w:spacing w:after="0" w:line="157"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020" w:type="dxa"/>
            <w:vAlign w:val="bottom"/>
          </w:tcPr>
          <w:p>
            <w:pPr>
              <w:jc w:val="right"/>
              <w:ind w:right="378"/>
              <w:spacing w:after="0" w:line="157" w:lineRule="exact"/>
              <w:rPr>
                <w:sz w:val="20"/>
                <w:szCs w:val="20"/>
                <w:color w:val="auto"/>
              </w:rPr>
            </w:pPr>
            <w:r>
              <w:rPr>
                <w:rFonts w:ascii="Arial" w:cs="Arial" w:eastAsia="Arial" w:hAnsi="Arial"/>
                <w:sz w:val="14"/>
                <w:szCs w:val="14"/>
                <w:b w:val="1"/>
                <w:bCs w:val="1"/>
                <w:color w:val="auto"/>
              </w:rPr>
              <w:t>Level 2</w:t>
            </w:r>
          </w:p>
        </w:tc>
        <w:tc>
          <w:tcPr>
            <w:tcW w:w="1060" w:type="dxa"/>
            <w:vAlign w:val="bottom"/>
          </w:tcPr>
          <w:p>
            <w:pPr>
              <w:jc w:val="right"/>
              <w:ind w:right="59"/>
              <w:spacing w:after="0" w:line="157"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37"/>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12,555,098</w:t>
            </w:r>
          </w:p>
        </w:tc>
        <w:tc>
          <w:tcPr>
            <w:tcW w:w="106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12,555,098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37,964,006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6,992,462</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44,956,468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backed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4,990,498</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4,990,498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fixed maturities</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37,964,006</w:t>
            </w:r>
          </w:p>
        </w:tc>
        <w:tc>
          <w:tcPr>
            <w:tcW w:w="34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24,538,058</w:t>
            </w:r>
          </w:p>
        </w:tc>
        <w:tc>
          <w:tcPr>
            <w:tcW w:w="106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62,502,064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9,204,270</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9,204,270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investments</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47,168,276</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24,538,058</w:t>
            </w:r>
          </w:p>
        </w:tc>
        <w:tc>
          <w:tcPr>
            <w:tcW w:w="106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71,706,334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of Financial Instruments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following methods and assumptions in estimating its fair value disclosures for financial instruments: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Equity securities and fixed income securities available-for-sale: </w:t>
      </w:r>
      <w:r>
        <w:rPr>
          <w:rFonts w:ascii="Arial" w:cs="Arial" w:eastAsia="Arial" w:hAnsi="Arial"/>
          <w:sz w:val="17"/>
          <w:szCs w:val="17"/>
          <w:color w:val="auto"/>
        </w:rPr>
        <w:t>Fair value is based on quoted market prices from a recognized pricing service.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4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 xml:space="preserve">Premiums receivable and reinsurance receivables: </w:t>
      </w:r>
      <w:r>
        <w:rPr>
          <w:rFonts w:ascii="Arial" w:cs="Arial" w:eastAsia="Arial" w:hAnsi="Arial"/>
          <w:sz w:val="17"/>
          <w:szCs w:val="17"/>
          <w:color w:val="auto"/>
        </w:rPr>
        <w:t>The carrying values reported in the accompanying condensed consolidated balance sheets for these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 approximate their fair values due to the short-term nature of the assets.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Real estate: </w:t>
      </w:r>
      <w:r>
        <w:rPr>
          <w:rFonts w:ascii="Arial" w:cs="Arial" w:eastAsia="Arial" w:hAnsi="Arial"/>
          <w:sz w:val="17"/>
          <w:szCs w:val="17"/>
          <w:color w:val="auto"/>
        </w:rPr>
        <w:t>The fair value of the land and building included in property and equipment, which is used in the Company’s operations, approximates the carrying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fair value was based on an appraisal prepared using the sales comparison approach and income approach, and accordingly the real estate is a Level 3 asset under the fair value hierarchy.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as of June 30, 2016 and December 31, 2015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June 30, 2016</w:t>
            </w:r>
          </w:p>
        </w:tc>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Fixed-maturity securities held-to-maturity</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5,072,253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5,446,841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5,138,872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5,241,095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14,638,274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14,638,274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13,551,372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13,551,372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receivable</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11,250,184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11,250,184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10,621,655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10,621,655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Reinsurance receivables</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35,354,444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35,354,444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31,270,235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31,270,235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Real estate, net of accumulated depreciation</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1,683,647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1,925,000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1,710,897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1,925,000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Reinsurance balances payable</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3,905,776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3,905,776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1,688,922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1,688,922</w:t>
            </w:r>
          </w:p>
        </w:tc>
        <w:tc>
          <w:tcPr>
            <w:tcW w:w="0" w:type="dxa"/>
            <w:vAlign w:val="bottom"/>
          </w:tcPr>
          <w:p>
            <w:pPr>
              <w:spacing w:after="0"/>
              <w:rPr>
                <w:sz w:val="1"/>
                <w:szCs w:val="1"/>
                <w:color w:val="auto"/>
              </w:rPr>
            </w:pPr>
          </w:p>
        </w:tc>
      </w:tr>
      <w:tr>
        <w:trPr>
          <w:trHeight w:val="416"/>
        </w:trPr>
        <w:tc>
          <w:tcPr>
            <w:tcW w:w="5940" w:type="dxa"/>
            <w:vAlign w:val="bottom"/>
            <w:gridSpan w:val="3"/>
          </w:tcPr>
          <w:p>
            <w:pPr>
              <w:spacing w:after="0"/>
              <w:rPr>
                <w:sz w:val="20"/>
                <w:szCs w:val="20"/>
                <w:color w:val="auto"/>
              </w:rPr>
            </w:pPr>
            <w:r>
              <w:rPr>
                <w:rFonts w:ascii="Arial" w:cs="Arial" w:eastAsia="Arial" w:hAnsi="Arial"/>
                <w:sz w:val="17"/>
                <w:szCs w:val="17"/>
                <w:b w:val="1"/>
                <w:bCs w:val="1"/>
                <w:color w:val="auto"/>
              </w:rPr>
              <w:t>Note 6 – Property and Casualty Insurance Activity</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Premiums Earned</w:t>
            </w:r>
          </w:p>
        </w:tc>
        <w:tc>
          <w:tcPr>
            <w:tcW w:w="4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940" w:type="dxa"/>
            <w:vAlign w:val="bottom"/>
            <w:gridSpan w:val="3"/>
          </w:tcPr>
          <w:p>
            <w:pPr>
              <w:spacing w:after="0"/>
              <w:rPr>
                <w:sz w:val="20"/>
                <w:szCs w:val="20"/>
                <w:color w:val="auto"/>
              </w:rPr>
            </w:pPr>
            <w:r>
              <w:rPr>
                <w:rFonts w:ascii="Arial" w:cs="Arial" w:eastAsia="Arial" w:hAnsi="Arial"/>
                <w:sz w:val="17"/>
                <w:szCs w:val="17"/>
                <w:color w:val="auto"/>
              </w:rPr>
              <w:t>Premiums written, ceded and earned are as follows: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Direct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Assumed</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Ceded</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Six months ended June 30, 2016</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 written</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49,204,416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15,998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(17,605,857)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31,614,557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(2,573,545)</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3,537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498,001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(2,072,007)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46,630,871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19,535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99"/>
              </w:rPr>
              <w:t>(17,107,856)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29,542,550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Six months ended June 30, 2015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written</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42,655,494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21,870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w w:val="99"/>
              </w:rPr>
              <w:t>(18,667,737)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24,009,627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(3,654,318)</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2,377</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893,828</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(2,758,113)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39,001,176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24,247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9"/>
              </w:rPr>
              <w:t>(17,773,909)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21,251,514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June 30, 2016</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 written</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26,161,091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10,920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(9,219,329)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16,952,682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(2,447,117)</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(34)</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505,344</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(1,941,807)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23,713,974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10,886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(8,713,985)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15,010,875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Three months ended June 30, 2015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written</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23,166,065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13,959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w w:val="99"/>
              </w:rPr>
              <w:t>(10,048,331)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13,131,693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(3,181,987)</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(1,535)</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917,544</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19,984,078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12,424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(9,130,787)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10,865,715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June 30, 2016 and December 31, 2015 was approximately $1,789,000 and $1,199,000, respectively.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Balance at beginning of period</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39,876,500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39,912,683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reinsurance recoverables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99"/>
              </w:rPr>
              <w:t>(16,706,364)</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(18,249,526)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balance,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23,170,136</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21,663,157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Incurred related to:</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15,378,670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11,747,214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(107,979)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86,816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incurred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15,270,691</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11,834,030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Paid related to:</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Current year</w:t>
            </w:r>
          </w:p>
        </w:tc>
        <w:tc>
          <w:tcPr>
            <w:tcW w:w="320" w:type="dxa"/>
            <w:vAlign w:val="bottom"/>
          </w:tcPr>
          <w:p>
            <w:pPr>
              <w:spacing w:after="0"/>
              <w:rPr>
                <w:sz w:val="18"/>
                <w:szCs w:val="18"/>
                <w:color w:val="auto"/>
              </w:rPr>
            </w:pP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7,554,317</w:t>
            </w:r>
          </w:p>
        </w:tc>
        <w:tc>
          <w:tcPr>
            <w:tcW w:w="28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5,121,409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5,870,254</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5,597,256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 paid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13,424,571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10,718,665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balance at end of period</w:t>
            </w:r>
          </w:p>
        </w:tc>
        <w:tc>
          <w:tcPr>
            <w:tcW w:w="320" w:type="dxa"/>
            <w:vAlign w:val="bottom"/>
          </w:tcPr>
          <w:p>
            <w:pPr>
              <w:spacing w:after="0"/>
              <w:rPr>
                <w:sz w:val="18"/>
                <w:szCs w:val="18"/>
                <w:color w:val="auto"/>
              </w:rPr>
            </w:pP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25,016,256</w:t>
            </w:r>
          </w:p>
        </w:tc>
        <w:tc>
          <w:tcPr>
            <w:tcW w:w="28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22,778,522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Add reinsurance recoverables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19,318,968</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18,470,298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44,335,224</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41,248,820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Incurred losses and LAE are net of reinsurance recoveries under reinsurance contracts of $7,103,935 and $9,114,440 for the six months ended June 30, 2016 and 2015, respectively.</w:t>
      </w:r>
    </w:p>
    <w:p>
      <w:pPr>
        <w:spacing w:after="0" w:line="170"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Prior year incurred loss and LAE development is based upon estimates by line of business and accident year. Prior year loss and LAE development incurred during the six months ended June 30, 2016 and 2015 was $(107,979) favorable and $86,816 unfavorable, respectively. The Company’s management continually monitors claims activity to assess the appropriateness of carried case and incurred but not reported (“IBNR”) reserves, giving consideration to Company and industry trends.</w:t>
      </w:r>
    </w:p>
    <w:p>
      <w:pPr>
        <w:spacing w:after="0" w:line="1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monthly basis, the Company reviews by line of business existing reserves, new claims, changes to existing case reserves and paid losses with respect to the current and prior years. Several methods are used, varying by product line and accident year, in order to determine the required IBNR reserves. These methods include the following: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46" w:lineRule="exact"/>
        <w:rPr>
          <w:sz w:val="20"/>
          <w:szCs w:val="20"/>
          <w:color w:val="auto"/>
        </w:rPr>
      </w:pPr>
    </w:p>
    <w:p>
      <w:pPr>
        <w:ind w:left="640"/>
        <w:spacing w:after="0" w:line="281"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incurred loss emergence in order to estimate required reserves.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1" w:name="page22"/>
    <w:bookmarkEnd w:id="21"/>
    <w:p>
      <w:pPr>
        <w:jc w:val="both"/>
        <w:ind w:left="640"/>
        <w:spacing w:after="0" w:line="286"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w:t>
      </w:r>
      <w:r>
        <w:rPr>
          <w:rFonts w:ascii="Arial" w:cs="Arial" w:eastAsia="Arial" w:hAnsi="Arial"/>
          <w:sz w:val="16"/>
          <w:szCs w:val="16"/>
          <w:i w:val="1"/>
          <w:iCs w:val="1"/>
          <w:color w:val="auto"/>
        </w:rPr>
        <w:t xml:space="preserve"> </w:t>
      </w:r>
      <w:r>
        <w:rPr>
          <w:rFonts w:ascii="Arial" w:cs="Arial" w:eastAsia="Arial" w:hAnsi="Arial"/>
          <w:sz w:val="16"/>
          <w:szCs w:val="16"/>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69"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2013 and prior is limited although there remains the possibility of adverse development on reported claims (‘case development’ IBNR).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Auto Line of Business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would no longer offer renewals on its existing commercial auto policies beginning with those that expired on or after May 1, 2015. The Company had -0- and 390 commercial auto policies in force as of June 30, 2016 and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Company’s quota share reinsurance treaties are on a July 1 through June 30 fiscal year basis; therefore, for year to date fiscal periods after June 30, two separate treaties will be included in such periods.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7"/>
          <w:szCs w:val="17"/>
          <w:color w:val="auto"/>
        </w:rPr>
        <w:t>The Company’s quota share reinsurance treaty in effect for the six months ended June 30, 2016 for its personal lines business, which primarily consists of homeowners’ policies, was covered under the July 1, 2015/June 30, 2016 treaty year (“2015/2016 Treaty”). The Company’s quota share reinsurance treaty in effect for the six months ended June 30, 2015 was covered under the July 1, 2014/June 30, 2015 treaty year (“2014/2015 Treaty”). The Company entered into new annual treaties with different terms effective July 1, 2016. The Company’s quota share reinsurance treaty in effect as of July 1, 2016 will be covered under the July 1, 2016/June 30, 2017 treaty year (“2016/2017 Treaty”).</w:t>
      </w:r>
    </w:p>
    <w:p>
      <w:pPr>
        <w:spacing w:after="0" w:line="18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Company’s personal lines quota share treaty that covered the July 1, 2013/June 30, 2014 treaty year was a two year treaty that expired on June 30, 2015. Effective July 1, 2014, the Company exercised its contractual option to reduce the ceding percentage in the personal lines quota share treaty from 75% to 55%.</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2014/2015 Treaty, 2015/2016 Treaty and 2016/2017 Treaty provide for the following material terms: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6"/>
              </w:rPr>
              <w:t>Treaty Year</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center"/>
              <w:ind w:right="296"/>
              <w:spacing w:after="0"/>
              <w:rPr>
                <w:sz w:val="20"/>
                <w:szCs w:val="20"/>
                <w:color w:val="auto"/>
              </w:rPr>
            </w:pPr>
            <w:r>
              <w:rPr>
                <w:rFonts w:ascii="Arial" w:cs="Arial" w:eastAsia="Arial" w:hAnsi="Arial"/>
                <w:sz w:val="14"/>
                <w:szCs w:val="14"/>
                <w:b w:val="1"/>
                <w:bCs w:val="1"/>
                <w:color w:val="auto"/>
                <w:w w:val="94"/>
              </w:rPr>
              <w:t>July 1, 2016</w:t>
            </w:r>
          </w:p>
        </w:tc>
        <w:tc>
          <w:tcPr>
            <w:tcW w:w="240" w:type="dxa"/>
            <w:vAlign w:val="bottom"/>
          </w:tcPr>
          <w:p>
            <w:pPr>
              <w:spacing w:after="0"/>
              <w:rPr>
                <w:sz w:val="19"/>
                <w:szCs w:val="19"/>
                <w:color w:val="auto"/>
              </w:rPr>
            </w:pPr>
          </w:p>
        </w:tc>
        <w:tc>
          <w:tcPr>
            <w:tcW w:w="1360" w:type="dxa"/>
            <w:vAlign w:val="bottom"/>
          </w:tcPr>
          <w:p>
            <w:pPr>
              <w:jc w:val="center"/>
              <w:ind w:right="296"/>
              <w:spacing w:after="0"/>
              <w:rPr>
                <w:sz w:val="20"/>
                <w:szCs w:val="20"/>
                <w:color w:val="auto"/>
              </w:rPr>
            </w:pPr>
            <w:r>
              <w:rPr>
                <w:rFonts w:ascii="Arial" w:cs="Arial" w:eastAsia="Arial" w:hAnsi="Arial"/>
                <w:sz w:val="14"/>
                <w:szCs w:val="14"/>
                <w:b w:val="1"/>
                <w:bCs w:val="1"/>
                <w:color w:val="auto"/>
                <w:w w:val="94"/>
              </w:rPr>
              <w:t>July 1, 2015</w:t>
            </w:r>
          </w:p>
        </w:tc>
        <w:tc>
          <w:tcPr>
            <w:tcW w:w="240" w:type="dxa"/>
            <w:vAlign w:val="bottom"/>
          </w:tcPr>
          <w:p>
            <w:pPr>
              <w:spacing w:after="0"/>
              <w:rPr>
                <w:sz w:val="19"/>
                <w:szCs w:val="19"/>
                <w:color w:val="auto"/>
              </w:rPr>
            </w:pPr>
          </w:p>
        </w:tc>
        <w:tc>
          <w:tcPr>
            <w:tcW w:w="128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July 1, 2014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ind w:right="276"/>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5"/>
                <w:szCs w:val="15"/>
                <w:color w:val="auto"/>
              </w:rPr>
            </w:pPr>
          </w:p>
        </w:tc>
        <w:tc>
          <w:tcPr>
            <w:tcW w:w="1360" w:type="dxa"/>
            <w:vAlign w:val="bottom"/>
          </w:tcPr>
          <w:p>
            <w:pPr>
              <w:jc w:val="center"/>
              <w:ind w:right="316"/>
              <w:spacing w:after="0"/>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5"/>
                <w:szCs w:val="15"/>
                <w:color w:val="auto"/>
              </w:rPr>
            </w:pPr>
          </w:p>
        </w:tc>
        <w:tc>
          <w:tcPr>
            <w:tcW w:w="1280" w:type="dxa"/>
            <w:vAlign w:val="bottom"/>
          </w:tcPr>
          <w:p>
            <w:pPr>
              <w:jc w:val="center"/>
              <w:ind w:right="236"/>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5300" w:type="dxa"/>
            <w:vAlign w:val="bottom"/>
            <w:gridSpan w:val="6"/>
          </w:tcPr>
          <w:p>
            <w:pPr>
              <w:spacing w:after="0"/>
              <w:rPr>
                <w:sz w:val="20"/>
                <w:szCs w:val="20"/>
                <w:color w:val="auto"/>
              </w:rPr>
            </w:pPr>
            <w:r>
              <w:rPr>
                <w:rFonts w:ascii="Arial" w:cs="Arial" w:eastAsia="Arial" w:hAnsi="Arial"/>
                <w:sz w:val="14"/>
                <w:szCs w:val="14"/>
                <w:b w:val="1"/>
                <w:bCs w:val="1"/>
                <w:color w:val="auto"/>
              </w:rPr>
              <w:t>Line of Busines</w:t>
            </w:r>
          </w:p>
        </w:tc>
        <w:tc>
          <w:tcPr>
            <w:tcW w:w="1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2"/>
              </w:rPr>
              <w:t>June 30, 2017</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0"/>
              </w:rPr>
              <w:t>June 30, 2016</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40" w:type="dxa"/>
            <w:vAlign w:val="bottom"/>
            <w:tcBorders>
              <w:bottom w:val="single" w:sz="8" w:color="auto"/>
            </w:tcBorders>
          </w:tcPr>
          <w:p>
            <w:pPr>
              <w:spacing w:after="0" w:line="170" w:lineRule="exact"/>
              <w:rPr>
                <w:sz w:val="20"/>
                <w:szCs w:val="20"/>
                <w:color w:val="auto"/>
              </w:rPr>
            </w:pPr>
            <w:r>
              <w:rPr>
                <w:rFonts w:ascii="Arial" w:cs="Arial" w:eastAsia="Arial" w:hAnsi="Arial"/>
                <w:sz w:val="17"/>
                <w:szCs w:val="17"/>
                <w:color w:val="auto"/>
                <w:w w:val="87"/>
              </w:rPr>
              <w:t>Personal Lines:</w:t>
            </w:r>
          </w:p>
        </w:tc>
        <w:tc>
          <w:tcPr>
            <w:tcW w:w="4240" w:type="dxa"/>
            <w:vAlign w:val="bottom"/>
            <w:gridSpan w:val="4"/>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Quota share treaty: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Percent ceded</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Risk retained</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450,000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360,000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w w:val="93"/>
              </w:rPr>
              <w:t>Losses per occurrence subject to quota share reinsurance coverage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833,333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750,000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Excess of loss coverage above quota share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3,666,667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3,750,000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3,200,000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w w:val="95"/>
              </w:rPr>
              <w:t>in excess of</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w w:val="93"/>
              </w:rPr>
              <w:t>in excess of</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93"/>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833,333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750,000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4,050,000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3,640,000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76"/>
              <w:spacing w:after="0"/>
              <w:rPr>
                <w:sz w:val="20"/>
                <w:szCs w:val="20"/>
                <w:color w:val="auto"/>
              </w:rPr>
            </w:pPr>
            <w:r>
              <w:rPr>
                <w:rFonts w:ascii="Arial" w:cs="Arial" w:eastAsia="Arial" w:hAnsi="Arial"/>
                <w:sz w:val="17"/>
                <w:szCs w:val="17"/>
                <w:color w:val="auto"/>
                <w:w w:val="85"/>
              </w:rPr>
              <w:t>June 30,</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8"/>
              </w:rPr>
              <w:t>June 30,</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85"/>
              </w:rPr>
              <w:t>June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9"/>
              </w:rPr>
              <w:t>2017</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9"/>
              </w:rPr>
              <w:t>2016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9"/>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Quota share treaty: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Percent ceded - excess of $1,000,000 of coverage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4,900,000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2,900,000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2,900,000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w w:val="93"/>
              </w:rPr>
              <w:t>Losses per occurrence subject to quota share reinsurance coverage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center"/>
              <w:ind w:right="276"/>
              <w:spacing w:after="0"/>
              <w:rPr>
                <w:sz w:val="20"/>
                <w:szCs w:val="20"/>
                <w:color w:val="auto"/>
              </w:rPr>
            </w:pPr>
            <w:r>
              <w:rPr>
                <w:rFonts w:ascii="Arial" w:cs="Arial" w:eastAsia="Arial" w:hAnsi="Arial"/>
                <w:sz w:val="17"/>
                <w:szCs w:val="17"/>
                <w:color w:val="auto"/>
                <w:w w:val="85"/>
              </w:rPr>
              <w:t>June 30,</w:t>
            </w:r>
          </w:p>
        </w:tc>
        <w:tc>
          <w:tcPr>
            <w:tcW w:w="240" w:type="dxa"/>
            <w:vAlign w:val="bottom"/>
          </w:tcPr>
          <w:p>
            <w:pPr>
              <w:spacing w:after="0"/>
              <w:rPr>
                <w:sz w:val="17"/>
                <w:szCs w:val="17"/>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88"/>
              </w:rPr>
              <w:t>June 30,</w:t>
            </w:r>
          </w:p>
        </w:tc>
        <w:tc>
          <w:tcPr>
            <w:tcW w:w="240" w:type="dxa"/>
            <w:vAlign w:val="bottom"/>
          </w:tcPr>
          <w:p>
            <w:pPr>
              <w:spacing w:after="0"/>
              <w:rPr>
                <w:sz w:val="17"/>
                <w:szCs w:val="17"/>
                <w:color w:val="auto"/>
              </w:rPr>
            </w:pPr>
          </w:p>
        </w:tc>
        <w:tc>
          <w:tcPr>
            <w:tcW w:w="1280" w:type="dxa"/>
            <w:vAlign w:val="bottom"/>
          </w:tcPr>
          <w:p>
            <w:pPr>
              <w:jc w:val="center"/>
              <w:ind w:right="236"/>
              <w:spacing w:after="0"/>
              <w:rPr>
                <w:sz w:val="20"/>
                <w:szCs w:val="20"/>
                <w:color w:val="auto"/>
              </w:rPr>
            </w:pPr>
            <w:r>
              <w:rPr>
                <w:rFonts w:ascii="Arial" w:cs="Arial" w:eastAsia="Arial" w:hAnsi="Arial"/>
                <w:sz w:val="17"/>
                <w:szCs w:val="17"/>
                <w:color w:val="auto"/>
                <w:w w:val="85"/>
              </w:rPr>
              <w:t>June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Expiration date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89"/>
              </w:rPr>
              <w:t>2017</w:t>
            </w:r>
          </w:p>
        </w:tc>
        <w:tc>
          <w:tcPr>
            <w:tcW w:w="240" w:type="dxa"/>
            <w:vAlign w:val="bottom"/>
          </w:tcPr>
          <w:p>
            <w:pPr>
              <w:spacing w:after="0"/>
              <w:rPr>
                <w:sz w:val="18"/>
                <w:szCs w:val="18"/>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89"/>
              </w:rPr>
              <w:t>2016</w:t>
            </w:r>
          </w:p>
        </w:tc>
        <w:tc>
          <w:tcPr>
            <w:tcW w:w="240" w:type="dxa"/>
            <w:vAlign w:val="bottom"/>
          </w:tcPr>
          <w:p>
            <w:pPr>
              <w:spacing w:after="0"/>
              <w:rPr>
                <w:sz w:val="18"/>
                <w:szCs w:val="18"/>
                <w:color w:val="auto"/>
              </w:rPr>
            </w:pPr>
          </w:p>
        </w:tc>
        <w:tc>
          <w:tcPr>
            <w:tcW w:w="1280" w:type="dxa"/>
            <w:vAlign w:val="bottom"/>
          </w:tcPr>
          <w:p>
            <w:pPr>
              <w:jc w:val="center"/>
              <w:ind w:right="216"/>
              <w:spacing w:after="0"/>
              <w:rPr>
                <w:sz w:val="20"/>
                <w:szCs w:val="20"/>
                <w:color w:val="auto"/>
              </w:rPr>
            </w:pPr>
            <w:r>
              <w:rPr>
                <w:rFonts w:ascii="Arial" w:cs="Arial" w:eastAsia="Arial" w:hAnsi="Arial"/>
                <w:sz w:val="17"/>
                <w:szCs w:val="17"/>
                <w:color w:val="auto"/>
                <w:w w:val="89"/>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300" w:type="dxa"/>
            <w:vAlign w:val="bottom"/>
            <w:tcBorders>
              <w:bottom w:val="single" w:sz="8" w:color="auto"/>
            </w:tcBorders>
            <w:gridSpan w:val="3"/>
          </w:tcPr>
          <w:p>
            <w:pPr>
              <w:spacing w:after="0" w:line="170" w:lineRule="exact"/>
              <w:rPr>
                <w:sz w:val="20"/>
                <w:szCs w:val="20"/>
                <w:color w:val="auto"/>
              </w:rPr>
            </w:pPr>
            <w:r>
              <w:rPr>
                <w:rFonts w:ascii="Arial" w:cs="Arial" w:eastAsia="Arial" w:hAnsi="Arial"/>
                <w:sz w:val="17"/>
                <w:szCs w:val="17"/>
                <w:color w:val="auto"/>
                <w:w w:val="90"/>
              </w:rPr>
              <w:t>Commercial Lines:</w:t>
            </w:r>
          </w:p>
        </w:tc>
        <w:tc>
          <w:tcPr>
            <w:tcW w:w="398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General liability commercial policies, except for commercial auto</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Quota share treaty: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Percent ceded (terminated effective July 1, 2014)</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93"/>
              </w:rPr>
              <w:t>None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93"/>
              </w:rPr>
              <w:t>None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Risk retained</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425,000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w w:val="93"/>
              </w:rPr>
              <w:t>Losses per occurrence subject to quota share reinsurance coverage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93"/>
              </w:rPr>
              <w:t>None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93"/>
              </w:rPr>
              <w:t>None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Excess of loss coverage above quota share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4,075,000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3,600,000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in excess of</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in excess of</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425,000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4,075,000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3,600,000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7"/>
                <w:szCs w:val="17"/>
                <w:color w:val="auto"/>
              </w:rPr>
              <w:t>Commercial Umbrella</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Percent ceded - excess of $1,000,000 of coverage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Risk retained</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4,900,000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w w:val="93"/>
              </w:rPr>
              <w:t>Losses per occurrence subject to quota share reinsurance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76"/>
              <w:spacing w:after="0"/>
              <w:rPr>
                <w:sz w:val="20"/>
                <w:szCs w:val="20"/>
                <w:color w:val="auto"/>
              </w:rPr>
            </w:pPr>
            <w:r>
              <w:rPr>
                <w:rFonts w:ascii="Arial" w:cs="Arial" w:eastAsia="Arial" w:hAnsi="Arial"/>
                <w:sz w:val="17"/>
                <w:szCs w:val="17"/>
                <w:color w:val="auto"/>
                <w:w w:val="85"/>
              </w:rPr>
              <w:t>June 30,</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9"/>
              </w:rPr>
              <w:t>2017</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color w:val="auto"/>
                <w:w w:val="91"/>
              </w:rPr>
              <w:t>Commercial Auto:</w:t>
            </w:r>
          </w:p>
        </w:tc>
        <w:tc>
          <w:tcPr>
            <w:tcW w:w="4020" w:type="dxa"/>
            <w:vAlign w:val="bottom"/>
            <w:tcBorders>
              <w:bottom w:val="single" w:sz="8" w:color="CCEEFF"/>
            </w:tcBorders>
            <w:gridSpan w:val="3"/>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Risk retained</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300,000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Excess of loss coverage in excess of risk retained</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1,700,000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1,700,000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91"/>
              </w:rPr>
              <w:t>in excess of</w:t>
            </w:r>
          </w:p>
        </w:tc>
        <w:tc>
          <w:tcPr>
            <w:tcW w:w="240" w:type="dxa"/>
            <w:vAlign w:val="bottom"/>
          </w:tcPr>
          <w:p>
            <w:pPr>
              <w:spacing w:after="0"/>
              <w:rPr>
                <w:sz w:val="18"/>
                <w:szCs w:val="18"/>
                <w:color w:val="auto"/>
              </w:rPr>
            </w:pPr>
          </w:p>
        </w:tc>
        <w:tc>
          <w:tcPr>
            <w:tcW w:w="1280" w:type="dxa"/>
            <w:vAlign w:val="bottom"/>
          </w:tcPr>
          <w:p>
            <w:pPr>
              <w:jc w:val="center"/>
              <w:ind w:right="236"/>
              <w:spacing w:after="0"/>
              <w:rPr>
                <w:sz w:val="20"/>
                <w:szCs w:val="20"/>
                <w:color w:val="auto"/>
              </w:rPr>
            </w:pPr>
            <w:r>
              <w:rPr>
                <w:rFonts w:ascii="Arial" w:cs="Arial" w:eastAsia="Arial" w:hAnsi="Arial"/>
                <w:sz w:val="17"/>
                <w:szCs w:val="17"/>
                <w:color w:val="auto"/>
                <w:w w:val="89"/>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80" w:type="dxa"/>
            <w:vAlign w:val="bottom"/>
            <w:gridSpan w:val="5"/>
          </w:tcPr>
          <w:p>
            <w:pPr>
              <w:spacing w:after="0" w:line="170" w:lineRule="exact"/>
              <w:rPr>
                <w:sz w:val="20"/>
                <w:szCs w:val="20"/>
                <w:color w:val="auto"/>
              </w:rPr>
            </w:pPr>
            <w:r>
              <w:rPr>
                <w:rFonts w:ascii="Arial" w:cs="Arial" w:eastAsia="Arial" w:hAnsi="Arial"/>
                <w:sz w:val="17"/>
                <w:szCs w:val="17"/>
                <w:color w:val="auto"/>
              </w:rPr>
              <w:t>Catastrophe Reinsurance:</w:t>
            </w: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Initial loss subject to personal lines quota share treaty</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Risk retained per catastrophe occurrence (1)</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3,000,000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2,400,000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1,800,000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w w:val="99"/>
              </w:rPr>
              <w:t>Catastrophe loss coverage in excess of quota share coverage (2) (3)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247,000,000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176,000,000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137,000,000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Severe winter weather aggregate (3)</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276"/>
              <w:spacing w:after="0"/>
              <w:rPr>
                <w:sz w:val="20"/>
                <w:szCs w:val="20"/>
                <w:color w:val="auto"/>
              </w:rPr>
            </w:pPr>
            <w:r>
              <w:rPr>
                <w:rFonts w:ascii="Arial" w:cs="Arial" w:eastAsia="Arial" w:hAnsi="Arial"/>
                <w:sz w:val="17"/>
                <w:szCs w:val="17"/>
                <w:color w:val="auto"/>
                <w:w w:val="91"/>
              </w:rPr>
              <w:t>No</w:t>
            </w:r>
          </w:p>
        </w:tc>
        <w:tc>
          <w:tcPr>
            <w:tcW w:w="240" w:type="dxa"/>
            <w:vAlign w:val="bottom"/>
          </w:tcPr>
          <w:p>
            <w:pPr>
              <w:spacing w:after="0"/>
              <w:rPr>
                <w:sz w:val="18"/>
                <w:szCs w:val="18"/>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88"/>
              </w:rPr>
              <w:t>Yes</w:t>
            </w:r>
          </w:p>
        </w:tc>
        <w:tc>
          <w:tcPr>
            <w:tcW w:w="240" w:type="dxa"/>
            <w:vAlign w:val="bottom"/>
          </w:tcPr>
          <w:p>
            <w:pPr>
              <w:spacing w:after="0"/>
              <w:rPr>
                <w:sz w:val="18"/>
                <w:szCs w:val="18"/>
                <w:color w:val="auto"/>
              </w:rPr>
            </w:pPr>
          </w:p>
        </w:tc>
        <w:tc>
          <w:tcPr>
            <w:tcW w:w="1280" w:type="dxa"/>
            <w:vAlign w:val="bottom"/>
          </w:tcPr>
          <w:p>
            <w:pPr>
              <w:jc w:val="center"/>
              <w:ind w:right="236"/>
              <w:spacing w:after="0"/>
              <w:rPr>
                <w:sz w:val="20"/>
                <w:szCs w:val="20"/>
                <w:color w:val="auto"/>
              </w:rPr>
            </w:pPr>
            <w:r>
              <w:rPr>
                <w:rFonts w:ascii="Arial" w:cs="Arial" w:eastAsia="Arial" w:hAnsi="Arial"/>
                <w:sz w:val="17"/>
                <w:szCs w:val="17"/>
                <w:color w:val="auto"/>
                <w:w w:val="81"/>
              </w:rPr>
              <w:t>Yes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Reinstatement premium protection (4)</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76"/>
              <w:spacing w:after="0"/>
              <w:rPr>
                <w:sz w:val="20"/>
                <w:szCs w:val="20"/>
                <w:color w:val="auto"/>
              </w:rPr>
            </w:pPr>
            <w:r>
              <w:rPr>
                <w:rFonts w:ascii="Arial" w:cs="Arial" w:eastAsia="Arial" w:hAnsi="Arial"/>
                <w:sz w:val="17"/>
                <w:szCs w:val="17"/>
                <w:color w:val="auto"/>
                <w:w w:val="81"/>
              </w:rPr>
              <w:t>Yes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8"/>
              </w:rPr>
              <w:t>Yes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91"/>
              </w:rPr>
              <w:t>No</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rPr>
              <w:t>22</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24" w:name="page25"/>
    <w:bookmarkEnd w:id="24"/>
    <w:p>
      <w:pPr>
        <w:ind w:left="320" w:hanging="315"/>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20" w:lineRule="exact"/>
        <w:rPr>
          <w:rFonts w:ascii="Arial" w:cs="Arial" w:eastAsia="Arial" w:hAnsi="Arial"/>
          <w:sz w:val="17"/>
          <w:szCs w:val="17"/>
          <w:color w:val="auto"/>
        </w:rPr>
      </w:pPr>
    </w:p>
    <w:p>
      <w:pPr>
        <w:ind w:left="320" w:hanging="315"/>
        <w:spacing w:after="0" w:line="256"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From July 1, 2014 through June 30, 2016, catastrophe treaty also covered losses caused by severe winter weather during any consecutive 28 day period.</w:t>
      </w:r>
    </w:p>
    <w:p>
      <w:pPr>
        <w:spacing w:after="0" w:line="25" w:lineRule="exact"/>
        <w:rPr>
          <w:rFonts w:ascii="Arial" w:cs="Arial" w:eastAsia="Arial" w:hAnsi="Arial"/>
          <w:sz w:val="16"/>
          <w:szCs w:val="16"/>
          <w:color w:val="auto"/>
        </w:rPr>
      </w:pPr>
    </w:p>
    <w:p>
      <w:pPr>
        <w:ind w:left="320" w:hanging="315"/>
        <w:spacing w:after="0" w:line="273"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the Company is subject under the treaties that expired on June 30, 2016 and 2015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b w:val="1"/>
                <w:bCs w:val="1"/>
                <w:color w:val="auto"/>
                <w:w w:val="92"/>
              </w:rPr>
              <w:t>July 1, 2015 - June 30, 2016</w:t>
            </w:r>
          </w:p>
        </w:tc>
        <w:tc>
          <w:tcPr>
            <w:tcW w:w="1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w w:val="97"/>
              </w:rPr>
              <w:t>July 1, 2014 - June 30, 2015</w:t>
            </w: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Treaty</w:t>
            </w:r>
          </w:p>
        </w:tc>
        <w:tc>
          <w:tcPr>
            <w:tcW w:w="220" w:type="dxa"/>
            <w:vAlign w:val="bottom"/>
          </w:tcPr>
          <w:p>
            <w:pPr>
              <w:spacing w:after="0"/>
              <w:rPr>
                <w:sz w:val="16"/>
                <w:szCs w:val="16"/>
                <w:color w:val="auto"/>
              </w:rPr>
            </w:pPr>
          </w:p>
        </w:tc>
        <w:tc>
          <w:tcPr>
            <w:tcW w:w="29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Extent of Loss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Risk Retained</w:t>
            </w:r>
          </w:p>
        </w:tc>
        <w:tc>
          <w:tcPr>
            <w:tcW w:w="240" w:type="dxa"/>
            <w:vAlign w:val="bottom"/>
          </w:tcPr>
          <w:p>
            <w:pPr>
              <w:spacing w:after="0"/>
              <w:rPr>
                <w:sz w:val="16"/>
                <w:szCs w:val="16"/>
                <w:color w:val="auto"/>
              </w:rPr>
            </w:pPr>
          </w:p>
        </w:tc>
        <w:tc>
          <w:tcPr>
            <w:tcW w:w="29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Extent of 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Risk Retained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$750,000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$800,000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$750,000 - $4,500,000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None(1)</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$800,000 - $4,000,000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$4,500,000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$1,000,000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$1,000,000 - $3,000,000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None(1)</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$1,000,000 - $3,000,000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$3,000,000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$425,000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$400,000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$425,000 - $4,500,000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None(1)</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$400,000 - $4,000,000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$4,500,000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Auto</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$300,000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$300,000 - $2,000,000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None(1)</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$300,000 - $2,000,000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$2,000,000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$4,000,000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$4,000,000 - $180,000,000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$4,000,000 - $141,000,000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$180,000,000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$141,000,000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(1) Covered by excess of loss treaties.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(2) Catastrophe coverage is limited on an annual basis to two times the per occurrence amounts.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the Company is subject under the new treaties effective July 1, 2016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July 1, 2016 - June 30, 2017</w:t>
            </w: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Treaty</w:t>
            </w:r>
          </w:p>
        </w:tc>
        <w:tc>
          <w:tcPr>
            <w:tcW w:w="34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Extent of Loss</w:t>
            </w:r>
          </w:p>
        </w:tc>
        <w:tc>
          <w:tcPr>
            <w:tcW w:w="220" w:type="dxa"/>
            <w:vAlign w:val="bottom"/>
          </w:tcPr>
          <w:p>
            <w:pPr>
              <w:spacing w:after="0"/>
              <w:rPr>
                <w:sz w:val="16"/>
                <w:szCs w:val="16"/>
                <w:color w:val="auto"/>
              </w:rPr>
            </w:pPr>
          </w:p>
        </w:tc>
        <w:tc>
          <w:tcPr>
            <w:tcW w:w="2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$833,333</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$833,333 - $4,500,000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$500,000 - $4,500,000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w w:val="95"/>
              </w:rPr>
              <w:t>$5,000,000 - $252,000,000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$252,000,000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223"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223" w:lineRule="exact"/>
        <w:rPr>
          <w:rFonts w:ascii="Arial" w:cs="Arial" w:eastAsia="Arial" w:hAnsi="Arial"/>
          <w:sz w:val="17"/>
          <w:szCs w:val="17"/>
          <w:color w:val="auto"/>
        </w:rPr>
      </w:pPr>
    </w:p>
    <w:p>
      <w:pPr>
        <w:ind w:left="240" w:hanging="235"/>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The Company’s estimated ultimate treaty year loss ratios (“Loss Ratio(s)”) for treaties in effect for the three months and six months ended June 30, 2016 are attributable to contracts for the 2015/2016 Treaty. The Company’s Loss Ratios for treaties in effect for the three months and six months ended June 30, 2015 are attributable to contracts for the 2014/2015 Treaty.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Treaties in effect for the three months and six months ended June 30, 2016</w:t>
      </w:r>
    </w:p>
    <w:p>
      <w:pPr>
        <w:spacing w:after="0" w:line="223" w:lineRule="exact"/>
        <w:rPr>
          <w:sz w:val="20"/>
          <w:szCs w:val="20"/>
          <w:color w:val="auto"/>
        </w:rPr>
      </w:pPr>
    </w:p>
    <w:p>
      <w:pPr>
        <w:jc w:val="both"/>
        <w:ind w:left="640"/>
        <w:spacing w:after="0" w:line="306" w:lineRule="auto"/>
        <w:rPr>
          <w:sz w:val="20"/>
          <w:szCs w:val="20"/>
          <w:color w:val="auto"/>
        </w:rPr>
      </w:pPr>
      <w:r>
        <w:rPr>
          <w:rFonts w:ascii="Arial" w:cs="Arial" w:eastAsia="Arial" w:hAnsi="Arial"/>
          <w:sz w:val="15"/>
          <w:szCs w:val="15"/>
          <w:color w:val="auto"/>
        </w:rPr>
        <w:t>Under the 2015/2016 Treaty, the Company is receiving a higher upfront fixed provisional rate in exchange for a less favorable sliding scale contingent rate. Under this arrangement, the Company earns more provisional ceding commissions, while contingent ceding commissions are reduced due to the less favorable sliding scale rate. The Company’s Loss Ratio for the period July 1, 2015 through June 30, 2016, which is attributable to the 2015/2016 Treaty, was higher than the contractual Loss Ratio at which provisional ceding commissions are earned. Accordingly, for the three month and six month periods ended June 30, 2016, the Company’s contingent ceding commission earned was reduced as a result of the estimated Loss Ratio for the 2015/2016 Treaty.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Treaties in effect for the three months and six months ended June 30, 2015</w:t>
      </w:r>
    </w:p>
    <w:p>
      <w:pPr>
        <w:spacing w:after="0" w:line="223" w:lineRule="exact"/>
        <w:rPr>
          <w:sz w:val="20"/>
          <w:szCs w:val="20"/>
          <w:color w:val="auto"/>
        </w:rPr>
      </w:pPr>
    </w:p>
    <w:p>
      <w:pPr>
        <w:jc w:val="both"/>
        <w:ind w:left="640"/>
        <w:spacing w:after="0" w:line="311" w:lineRule="auto"/>
        <w:rPr>
          <w:sz w:val="20"/>
          <w:szCs w:val="20"/>
          <w:color w:val="auto"/>
        </w:rPr>
      </w:pPr>
      <w:r>
        <w:rPr>
          <w:rFonts w:ascii="Arial" w:cs="Arial" w:eastAsia="Arial" w:hAnsi="Arial"/>
          <w:sz w:val="15"/>
          <w:szCs w:val="15"/>
          <w:color w:val="auto"/>
        </w:rPr>
        <w:t>The Company’s Loss Ratio for the period July 1, 2014 through June 30, 2015, which is attributable to the 2014/2015 Treaty, was lower than the contractual Loss Ratio at which the provisional ceding commissions are earned. As a result of severe winter weather during the six months ended June 30, 2015, the Loss Ratio attributable to this treaty as of June 30, 2015 was greater than the Loss Ratio as of December 31, 2014. Accordingly, for the six months ended June 30, 2015, the Company’s contingent ceding commission earned was reduced as a result of the increase in the estimated Loss Ratio for the 2014/2015 Treaty.</w:t>
      </w:r>
    </w:p>
    <w:p>
      <w:pPr>
        <w:spacing w:after="0" w:line="152" w:lineRule="exact"/>
        <w:rPr>
          <w:sz w:val="20"/>
          <w:szCs w:val="20"/>
          <w:color w:val="auto"/>
        </w:rPr>
      </w:pPr>
    </w:p>
    <w:p>
      <w:pPr>
        <w:jc w:val="both"/>
        <w:spacing w:after="0" w:line="351" w:lineRule="auto"/>
        <w:rPr>
          <w:sz w:val="20"/>
          <w:szCs w:val="20"/>
          <w:color w:val="auto"/>
        </w:rPr>
      </w:pPr>
      <w:r>
        <w:rPr>
          <w:rFonts w:ascii="Arial" w:cs="Arial" w:eastAsia="Arial" w:hAnsi="Arial"/>
          <w:sz w:val="15"/>
          <w:szCs w:val="15"/>
          <w:color w:val="auto"/>
        </w:rPr>
        <w:t>In addition to the treaties that were in effect for the three months and six months ended June 30, 2016 and 2015, the Loss Ratios from prior years’ treaties are subject to change as loss reserves from those periods increase or decrease, resulting in an increase or decrease in the commission rate and contingent ceding commissions earned.</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Ceding commission revenue consists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60" w:type="dxa"/>
            <w:vAlign w:val="bottom"/>
            <w:gridSpan w:val="3"/>
          </w:tcPr>
          <w:p>
            <w:pPr>
              <w:jc w:val="right"/>
              <w:ind w:right="65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2"/>
              <w:spacing w:after="0"/>
              <w:rPr>
                <w:sz w:val="20"/>
                <w:szCs w:val="20"/>
                <w:color w:val="auto"/>
              </w:rPr>
            </w:pPr>
            <w:r>
              <w:rPr>
                <w:rFonts w:ascii="Arial" w:cs="Arial" w:eastAsia="Arial" w:hAnsi="Arial"/>
                <w:sz w:val="17"/>
                <w:szCs w:val="17"/>
                <w:color w:val="auto"/>
              </w:rPr>
              <w:t>3,222,851</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2,964,924</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02"/>
              <w:spacing w:after="0"/>
              <w:rPr>
                <w:sz w:val="20"/>
                <w:szCs w:val="20"/>
                <w:color w:val="auto"/>
              </w:rPr>
            </w:pPr>
            <w:r>
              <w:rPr>
                <w:rFonts w:ascii="Arial" w:cs="Arial" w:eastAsia="Arial" w:hAnsi="Arial"/>
                <w:sz w:val="17"/>
                <w:szCs w:val="17"/>
                <w:color w:val="auto"/>
              </w:rPr>
              <w:t>6,322,465</w:t>
            </w:r>
          </w:p>
        </w:tc>
        <w:tc>
          <w:tcPr>
            <w:tcW w:w="50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8"/>
              <w:spacing w:after="0"/>
              <w:rPr>
                <w:sz w:val="20"/>
                <w:szCs w:val="20"/>
                <w:color w:val="auto"/>
              </w:rPr>
            </w:pPr>
            <w:r>
              <w:rPr>
                <w:rFonts w:ascii="Arial" w:cs="Arial" w:eastAsia="Arial" w:hAnsi="Arial"/>
                <w:sz w:val="17"/>
                <w:szCs w:val="17"/>
                <w:color w:val="auto"/>
                <w:w w:val="87"/>
              </w:rPr>
              <w:t>5,879,953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(653,826)</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690,598</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(983,103)</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864,973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7"/>
                <w:szCs w:val="17"/>
                <w:color w:val="auto"/>
              </w:rPr>
              <w:t>2,569,025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3,655,522</w:t>
            </w: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color w:val="auto"/>
              </w:rPr>
              <w:t>5,339,362</w:t>
            </w:r>
          </w:p>
        </w:tc>
        <w:tc>
          <w:tcPr>
            <w:tcW w:w="5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w w:val="87"/>
              </w:rPr>
              <w:t>6,744,926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Provisional ceding commissions are settled monthly. Balances due from reinsurers for contingent ceding commissions on quota share treaties are settled annually based on the loss ratio of each treaty year that ends on June 30.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 Declared</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Dividends declared and paid on Common Stock were $952,128 and $732,190 for the six months ended June 30, 2016 and 2015, respectively. The Company’s Board of Directors approved a quarterly dividend on August 10, 2016 of $.0625 per share payable in cash on September 15, 2016 to stockholders of record as of August 31, 2016 (see Note 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auto"/>
        </w:rPr>
        <w:t>Stock Options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subject to stockholder approval on or before August 12, 2015, a maximum of 700,000 shares of Common Stock of the Company are authorized to be issued pursuant to the grant of incentive stock options, non-statutory stock options, stock appreciation rights, restricted stock and stock bonuses. The stockholders approved the 2014 Plan on August 11, 2015.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results of operations for the three months ended June 30, 2016 and 2015 include stock-based stock option compensation expense totaling approximately $34,000 and $39,000, respectively. The results of operations for the six months ended June 30, 2016 and 2015 include stock-based stock option compensation expense totaling approximately $66,000 and $78,000, respectively. Stock-based compensation expense related to stock options is net of estimated forfeitures of 17% for the three months and six months ended June 30, 2016 and 2015. Such amounts have been included in the condensed consolidated statements of income and comprehensive income within other operating expenses.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Stock-based compensation expense in 2016 and 2015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The weighted average estimated fair value of stock options granted during the six months ended June 30, 2016 was $1.87 per share. No options were granted during the six months June 30, 2015. The fair value of stock options at the grant date was estimated using the Black-Scholes option-pricing model. The following weighted average assumptions were used for grants during the following periods: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020" w:type="dxa"/>
            <w:vAlign w:val="bottom"/>
            <w:gridSpan w:val="3"/>
          </w:tcPr>
          <w:p>
            <w:pPr>
              <w:jc w:val="center"/>
              <w:ind w:left="1381"/>
              <w:spacing w:after="0"/>
              <w:rPr>
                <w:sz w:val="20"/>
                <w:szCs w:val="20"/>
                <w:color w:val="auto"/>
              </w:rPr>
            </w:pPr>
            <w:r>
              <w:rPr>
                <w:rFonts w:ascii="Arial" w:cs="Arial" w:eastAsia="Arial" w:hAnsi="Arial"/>
                <w:sz w:val="14"/>
                <w:szCs w:val="14"/>
                <w:b w:val="1"/>
                <w:bCs w:val="1"/>
                <w:color w:val="333333"/>
                <w:w w:val="89"/>
              </w:rPr>
              <w:t>Six months ended</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020" w:type="dxa"/>
            <w:vAlign w:val="bottom"/>
            <w:tcBorders>
              <w:bottom w:val="single" w:sz="8" w:color="auto"/>
            </w:tcBorders>
            <w:gridSpan w:val="3"/>
          </w:tcPr>
          <w:p>
            <w:pPr>
              <w:jc w:val="center"/>
              <w:ind w:left="1381"/>
              <w:spacing w:after="0"/>
              <w:rPr>
                <w:sz w:val="20"/>
                <w:szCs w:val="20"/>
                <w:color w:val="auto"/>
              </w:rPr>
            </w:pPr>
            <w:r>
              <w:rPr>
                <w:rFonts w:ascii="Arial" w:cs="Arial" w:eastAsia="Arial" w:hAnsi="Arial"/>
                <w:sz w:val="14"/>
                <w:szCs w:val="14"/>
                <w:b w:val="1"/>
                <w:bCs w:val="1"/>
                <w:color w:val="333333"/>
                <w:w w:val="92"/>
              </w:rPr>
              <w:t>June 30,</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8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58"/>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7"/>
                <w:szCs w:val="17"/>
                <w:color w:val="333333"/>
              </w:rPr>
              <w:t>Dividend Yield</w:t>
            </w:r>
          </w:p>
        </w:tc>
        <w:tc>
          <w:tcPr>
            <w:tcW w:w="2280" w:type="dxa"/>
            <w:vAlign w:val="bottom"/>
            <w:gridSpan w:val="2"/>
          </w:tcPr>
          <w:p>
            <w:pPr>
              <w:jc w:val="right"/>
              <w:ind w:right="100"/>
              <w:spacing w:after="0"/>
              <w:rPr>
                <w:sz w:val="20"/>
                <w:szCs w:val="20"/>
                <w:color w:val="auto"/>
              </w:rPr>
            </w:pPr>
            <w:r>
              <w:rPr>
                <w:rFonts w:ascii="Arial" w:cs="Arial" w:eastAsia="Arial" w:hAnsi="Arial"/>
                <w:sz w:val="17"/>
                <w:szCs w:val="17"/>
                <w:color w:val="333333"/>
              </w:rPr>
              <w:t>2.74% - 3.18%</w:t>
            </w:r>
          </w:p>
        </w:tc>
        <w:tc>
          <w:tcPr>
            <w:tcW w:w="740" w:type="dxa"/>
            <w:vAlign w:val="bottom"/>
          </w:tcPr>
          <w:p>
            <w:pPr>
              <w:spacing w:after="0"/>
              <w:rPr>
                <w:sz w:val="18"/>
                <w:szCs w:val="18"/>
                <w:color w:val="auto"/>
              </w:rPr>
            </w:pPr>
          </w:p>
        </w:tc>
        <w:tc>
          <w:tcPr>
            <w:tcW w:w="1460" w:type="dxa"/>
            <w:vAlign w:val="bottom"/>
          </w:tcPr>
          <w:p>
            <w:pPr>
              <w:jc w:val="center"/>
              <w:ind w:right="658"/>
              <w:spacing w:after="0"/>
              <w:rPr>
                <w:sz w:val="20"/>
                <w:szCs w:val="20"/>
                <w:color w:val="auto"/>
              </w:rPr>
            </w:pPr>
            <w:r>
              <w:rPr>
                <w:rFonts w:ascii="Arial" w:cs="Arial" w:eastAsia="Arial" w:hAnsi="Arial"/>
                <w:sz w:val="17"/>
                <w:szCs w:val="17"/>
                <w:color w:val="333333"/>
                <w:w w:val="84"/>
              </w:rPr>
              <w:t>na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333333"/>
              </w:rPr>
              <w:t>Volatility</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33333"/>
              </w:rPr>
              <w:t>31.61% - 31.81%</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right="658"/>
              <w:spacing w:after="0"/>
              <w:rPr>
                <w:sz w:val="20"/>
                <w:szCs w:val="20"/>
                <w:color w:val="auto"/>
              </w:rPr>
            </w:pPr>
            <w:r>
              <w:rPr>
                <w:rFonts w:ascii="Arial" w:cs="Arial" w:eastAsia="Arial" w:hAnsi="Arial"/>
                <w:sz w:val="17"/>
                <w:szCs w:val="17"/>
                <w:color w:val="333333"/>
                <w:w w:val="84"/>
              </w:rPr>
              <w:t>na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7"/>
                <w:szCs w:val="17"/>
                <w:color w:val="333333"/>
              </w:rPr>
              <w:t>Risk-Free Interest Rate</w:t>
            </w:r>
          </w:p>
        </w:tc>
        <w:tc>
          <w:tcPr>
            <w:tcW w:w="2280" w:type="dxa"/>
            <w:vAlign w:val="bottom"/>
            <w:gridSpan w:val="2"/>
          </w:tcPr>
          <w:p>
            <w:pPr>
              <w:jc w:val="right"/>
              <w:ind w:right="100"/>
              <w:spacing w:after="0"/>
              <w:rPr>
                <w:sz w:val="20"/>
                <w:szCs w:val="20"/>
                <w:color w:val="auto"/>
              </w:rPr>
            </w:pPr>
            <w:r>
              <w:rPr>
                <w:rFonts w:ascii="Arial" w:cs="Arial" w:eastAsia="Arial" w:hAnsi="Arial"/>
                <w:sz w:val="17"/>
                <w:szCs w:val="17"/>
                <w:color w:val="333333"/>
              </w:rPr>
              <w:t>1.01% - 1.11%</w:t>
            </w:r>
          </w:p>
        </w:tc>
        <w:tc>
          <w:tcPr>
            <w:tcW w:w="740" w:type="dxa"/>
            <w:vAlign w:val="bottom"/>
          </w:tcPr>
          <w:p>
            <w:pPr>
              <w:spacing w:after="0"/>
              <w:rPr>
                <w:sz w:val="18"/>
                <w:szCs w:val="18"/>
                <w:color w:val="auto"/>
              </w:rPr>
            </w:pPr>
          </w:p>
        </w:tc>
        <w:tc>
          <w:tcPr>
            <w:tcW w:w="1460" w:type="dxa"/>
            <w:vAlign w:val="bottom"/>
          </w:tcPr>
          <w:p>
            <w:pPr>
              <w:jc w:val="center"/>
              <w:ind w:right="658"/>
              <w:spacing w:after="0"/>
              <w:rPr>
                <w:sz w:val="20"/>
                <w:szCs w:val="20"/>
                <w:color w:val="auto"/>
              </w:rPr>
            </w:pPr>
            <w:r>
              <w:rPr>
                <w:rFonts w:ascii="Arial" w:cs="Arial" w:eastAsia="Arial" w:hAnsi="Arial"/>
                <w:sz w:val="17"/>
                <w:szCs w:val="17"/>
                <w:color w:val="333333"/>
                <w:w w:val="84"/>
              </w:rPr>
              <w:t>na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333333"/>
              </w:rPr>
              <w:t>Expected Life</w:t>
            </w:r>
          </w:p>
        </w:tc>
        <w:tc>
          <w:tcPr>
            <w:tcW w:w="3020" w:type="dxa"/>
            <w:vAlign w:val="bottom"/>
            <w:gridSpan w:val="3"/>
            <w:shd w:val="clear" w:color="auto" w:fill="CCEEFF"/>
          </w:tcPr>
          <w:p>
            <w:pPr>
              <w:ind w:left="1480"/>
              <w:spacing w:after="0"/>
              <w:rPr>
                <w:sz w:val="20"/>
                <w:szCs w:val="20"/>
                <w:color w:val="auto"/>
              </w:rPr>
            </w:pPr>
            <w:r>
              <w:rPr>
                <w:rFonts w:ascii="Arial" w:cs="Arial" w:eastAsia="Arial" w:hAnsi="Arial"/>
                <w:sz w:val="17"/>
                <w:szCs w:val="17"/>
                <w:color w:val="333333"/>
              </w:rPr>
              <w:t>3.25 years</w:t>
            </w:r>
          </w:p>
        </w:tc>
        <w:tc>
          <w:tcPr>
            <w:tcW w:w="1460" w:type="dxa"/>
            <w:vAlign w:val="bottom"/>
            <w:shd w:val="clear" w:color="auto" w:fill="CCEEFF"/>
          </w:tcPr>
          <w:p>
            <w:pPr>
              <w:jc w:val="center"/>
              <w:ind w:right="658"/>
              <w:spacing w:after="0"/>
              <w:rPr>
                <w:sz w:val="20"/>
                <w:szCs w:val="20"/>
                <w:color w:val="auto"/>
              </w:rPr>
            </w:pPr>
            <w:r>
              <w:rPr>
                <w:rFonts w:ascii="Arial" w:cs="Arial" w:eastAsia="Arial" w:hAnsi="Arial"/>
                <w:sz w:val="17"/>
                <w:szCs w:val="17"/>
                <w:color w:val="333333"/>
                <w:w w:val="84"/>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A summary of stock option activity under the Company’s 2014 Plan for the six months ended June 30, 2016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jc w:val="center"/>
              <w:ind w:right="23"/>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jc w:val="center"/>
              <w:ind w:right="23"/>
              <w:spacing w:after="0" w:line="157"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97"/>
              <w:spacing w:after="0" w:line="157"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jc w:val="center"/>
              <w:ind w:right="3"/>
              <w:spacing w:after="0" w:line="157"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vMerge w:val="restart"/>
          </w:tcPr>
          <w:p>
            <w:pPr>
              <w:ind w:left="2460"/>
              <w:spacing w:after="0"/>
              <w:rPr>
                <w:sz w:val="20"/>
                <w:szCs w:val="20"/>
                <w:color w:val="auto"/>
              </w:rPr>
            </w:pPr>
            <w:r>
              <w:rPr>
                <w:rFonts w:ascii="Arial" w:cs="Arial" w:eastAsia="Arial" w:hAnsi="Arial"/>
                <w:sz w:val="17"/>
                <w:szCs w:val="17"/>
                <w:color w:val="auto"/>
              </w:rPr>
              <w:t>Stock Options</w:t>
            </w:r>
          </w:p>
        </w:tc>
        <w:tc>
          <w:tcPr>
            <w:tcW w:w="138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Number of</w:t>
            </w:r>
          </w:p>
        </w:tc>
        <w:tc>
          <w:tcPr>
            <w:tcW w:w="146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9"/>
              </w:rPr>
              <w:t>Average Exercise</w:t>
            </w:r>
          </w:p>
        </w:tc>
        <w:tc>
          <w:tcPr>
            <w:tcW w:w="1280" w:type="dxa"/>
            <w:vAlign w:val="bottom"/>
          </w:tcPr>
          <w:p>
            <w:pPr>
              <w:jc w:val="center"/>
              <w:ind w:right="23"/>
              <w:spacing w:after="0" w:line="157"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3"/>
                <w:szCs w:val="13"/>
                <w:color w:val="auto"/>
              </w:rPr>
            </w:pPr>
          </w:p>
        </w:tc>
        <w:tc>
          <w:tcPr>
            <w:tcW w:w="114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vMerge w:val="continue"/>
          </w:tcPr>
          <w:p>
            <w:pPr>
              <w:spacing w:after="0"/>
              <w:rPr>
                <w:sz w:val="15"/>
                <w:szCs w:val="15"/>
                <w:color w:val="auto"/>
              </w:rPr>
            </w:pPr>
          </w:p>
        </w:tc>
        <w:tc>
          <w:tcPr>
            <w:tcW w:w="13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Shares</w:t>
            </w:r>
          </w:p>
        </w:tc>
        <w:tc>
          <w:tcPr>
            <w:tcW w:w="146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4"/>
                <w:szCs w:val="14"/>
                <w:b w:val="1"/>
                <w:bCs w:val="1"/>
                <w:color w:val="auto"/>
                <w:w w:val="93"/>
              </w:rPr>
              <w:t>Price per Share</w:t>
            </w:r>
          </w:p>
        </w:tc>
        <w:tc>
          <w:tcPr>
            <w:tcW w:w="12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Outstanding at January 1, 2016</w:t>
            </w:r>
          </w:p>
        </w:tc>
        <w:tc>
          <w:tcPr>
            <w:tcW w:w="1380" w:type="dxa"/>
            <w:vAlign w:val="bottom"/>
          </w:tcPr>
          <w:p>
            <w:pPr>
              <w:jc w:val="right"/>
              <w:ind w:right="58"/>
              <w:spacing w:after="0"/>
              <w:rPr>
                <w:sz w:val="20"/>
                <w:szCs w:val="20"/>
                <w:color w:val="auto"/>
              </w:rPr>
            </w:pPr>
            <w:r>
              <w:rPr>
                <w:rFonts w:ascii="Arial" w:cs="Arial" w:eastAsia="Arial" w:hAnsi="Arial"/>
                <w:sz w:val="17"/>
                <w:szCs w:val="17"/>
                <w:color w:val="auto"/>
              </w:rPr>
              <w:t>339,750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6.34</w:t>
            </w:r>
          </w:p>
        </w:tc>
        <w:tc>
          <w:tcPr>
            <w:tcW w:w="1280" w:type="dxa"/>
            <w:vAlign w:val="bottom"/>
          </w:tcPr>
          <w:p>
            <w:pPr>
              <w:jc w:val="right"/>
              <w:ind w:right="63"/>
              <w:spacing w:after="0"/>
              <w:rPr>
                <w:sz w:val="20"/>
                <w:szCs w:val="20"/>
                <w:color w:val="auto"/>
              </w:rPr>
            </w:pPr>
            <w:r>
              <w:rPr>
                <w:rFonts w:ascii="Arial" w:cs="Arial" w:eastAsia="Arial" w:hAnsi="Arial"/>
                <w:sz w:val="17"/>
                <w:szCs w:val="17"/>
                <w:color w:val="333333"/>
              </w:rPr>
              <w:t>3.36</w:t>
            </w:r>
          </w:p>
        </w:tc>
        <w:tc>
          <w:tcPr>
            <w:tcW w:w="220" w:type="dxa"/>
            <w:vAlign w:val="bottom"/>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Pr>
          <w:p>
            <w:pPr>
              <w:jc w:val="right"/>
              <w:ind w:right="58"/>
              <w:spacing w:after="0"/>
              <w:rPr>
                <w:sz w:val="20"/>
                <w:szCs w:val="20"/>
                <w:color w:val="auto"/>
              </w:rPr>
            </w:pPr>
            <w:r>
              <w:rPr>
                <w:rFonts w:ascii="Arial" w:cs="Arial" w:eastAsia="Arial" w:hAnsi="Arial"/>
                <w:sz w:val="17"/>
                <w:szCs w:val="17"/>
                <w:color w:val="333333"/>
              </w:rPr>
              <w:t>904,775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ind w:right="58"/>
              <w:spacing w:after="0"/>
              <w:rPr>
                <w:sz w:val="20"/>
                <w:szCs w:val="20"/>
                <w:color w:val="auto"/>
              </w:rPr>
            </w:pPr>
            <w:r>
              <w:rPr>
                <w:rFonts w:ascii="Arial" w:cs="Arial" w:eastAsia="Arial" w:hAnsi="Arial"/>
                <w:sz w:val="17"/>
                <w:szCs w:val="17"/>
                <w:color w:val="auto"/>
              </w:rPr>
              <w:t>40,000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8.33</w:t>
            </w:r>
          </w:p>
        </w:tc>
        <w:tc>
          <w:tcPr>
            <w:tcW w:w="1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20,950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333333"/>
              </w:rPr>
              <w:t>-</w:t>
            </w:r>
          </w:p>
        </w:tc>
        <w:tc>
          <w:tcPr>
            <w:tcW w:w="0" w:type="dxa"/>
            <w:vAlign w:val="bottom"/>
          </w:tcPr>
          <w:p>
            <w:pPr>
              <w:spacing w:after="0"/>
              <w:rPr>
                <w:sz w:val="1"/>
                <w:szCs w:val="1"/>
                <w:color w:val="auto"/>
              </w:rPr>
            </w:pPr>
          </w:p>
        </w:tc>
      </w:tr>
      <w:tr>
        <w:trPr>
          <w:trHeight w:val="215"/>
        </w:trPr>
        <w:tc>
          <w:tcPr>
            <w:tcW w:w="594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Pr>
          <w:p>
            <w:pPr>
              <w:jc w:val="right"/>
              <w:ind w:right="58"/>
              <w:spacing w:after="0"/>
              <w:rPr>
                <w:sz w:val="20"/>
                <w:szCs w:val="20"/>
                <w:color w:val="auto"/>
              </w:rPr>
            </w:pPr>
            <w:r>
              <w:rPr>
                <w:rFonts w:ascii="Arial" w:cs="Arial" w:eastAsia="Arial" w:hAnsi="Arial"/>
                <w:sz w:val="17"/>
                <w:szCs w:val="17"/>
                <w:color w:val="333333"/>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Outstanding at June 30, 2016</w:t>
            </w: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379,750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6.55</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7"/>
                <w:szCs w:val="17"/>
                <w:color w:val="333333"/>
              </w:rPr>
              <w:t>3.06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333333"/>
              </w:rPr>
              <w:t>878,813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Vested and Exercisable at June 30, 2016</w:t>
            </w: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201,625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6.32</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7"/>
                <w:szCs w:val="17"/>
                <w:color w:val="333333"/>
              </w:rPr>
              <w:t>2.91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333333"/>
              </w:rPr>
              <w:t>511,600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intrinsic value of options outstanding and options exercisable at June 30, 2016 is calculated as the difference between the exercise price of the underlying options and the market price of the Company’s Common Stock for the options that had exercise prices that were lower than the $8.85 closing price of the Company’s Common Stock on June 30, 2016. No options were exercised during the six months ended June 30, 2016.</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All of the 120,000 options exercised during the six months ended June 30, 2015 were Net Exercises.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As of June 30, 2016, the fair value of unamortized compensation cost related to unvested stock option awards was approximately $86,000. Unamortized compensation cost as of June 30, 2016 is expected to be recognized over a remaining weighted-average vesting period of 1.63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2016, there were 602,500 shares reserved for grants under the 2014 Plan.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Equity Compensation</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4, 2016, the Company granted a total of 6,000 shares of restricted Common Stock under the 2014 Plan to its three then non-employee directors. On March 29, 2016, the Company granted 1,500 shares of restricted Common Stock under the 2014 Plan to a newly elected non-employee director. One-third of the shares granted will vest on each of the three following anniversaries following the grant date. The fair value of the shares will be determined on each of the vesting dates. For the six months ended June 30, 2016, no stock-based compensation for these grants is included in the condensed consolidated statements of income and comprehensive income.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auto"/>
        </w:rPr>
        <w:t>Private Placement of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In April 2016, the Company sold 595,238 newly issued shares of its Common Stock to RenaissanceRe Ventures Ltd., a subsidiary of RenaissanceRe Holdings Ltd.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(NYSE:RNR) (“RenaissanceRe”), in a private placement. RenaissanceRe is a global provider of catastrophe and specialty reinsurance and insurance.</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new common shares were sold to RenaissanceRe at a price of $8.40 per share. The Company received net proceeds of approximately $4,814,000 from the private placement. In June 2016, the Company invested $3,000,000 of the proceeds in KICO as additional surplus to support its continued growth. The Company intends to use the remaining net proceeds of the offering for general corporate purposes.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Income Taxes</w:t>
      </w: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condensed consolidated financial statements taken as a whole for the respective periods.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a various rates depending on whether the temporary differences are subject to federal taxes, state taxes, or both. Significant components of the Company’s deferred tax assets and liabilities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Deferred tax asset:</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 carryovers (1)</w:t>
            </w:r>
          </w:p>
        </w:tc>
        <w:tc>
          <w:tcPr>
            <w:tcW w:w="4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131,626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150,492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7"/>
                <w:szCs w:val="17"/>
                <w:color w:val="auto"/>
              </w:rPr>
              <w:t>Claims reserve discount</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437,875</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405,709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w:t>
            </w: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2,736,011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2,555,012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7"/>
                <w:szCs w:val="17"/>
                <w:color w:val="auto"/>
              </w:rPr>
              <w:t>Deferred ceding commission revenue</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2,265,416</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2,187,923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7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120,371</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151,250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3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5,691,299</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5,450,386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Deferred tax liability:</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KICO (2)</w:t>
            </w: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1,169,000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1,169,000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7"/>
                <w:szCs w:val="17"/>
                <w:color w:val="auto"/>
              </w:rPr>
              <w:t>Deferred acquisition costs</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3,926,339</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3,684,004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Intangibles</w:t>
            </w: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516,800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597,657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359,547</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415,938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unrealized appreciation of securities - available for sale</w:t>
            </w:r>
          </w:p>
        </w:tc>
        <w:tc>
          <w:tcPr>
            <w:tcW w:w="37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944,220</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255,977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3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6,915,906</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6,122,576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Net deferred income tax liability</w:t>
            </w:r>
          </w:p>
        </w:tc>
        <w:tc>
          <w:tcPr>
            <w:tcW w:w="4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(1,224,607)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(672,190)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_____________________________</w:t>
            </w:r>
          </w:p>
        </w:tc>
        <w:tc>
          <w:tcPr>
            <w:tcW w:w="3760" w:type="dxa"/>
            <w:vAlign w:val="bottom"/>
            <w:vMerge w:val="restart"/>
          </w:tcPr>
          <w:p>
            <w:pPr>
              <w:jc w:val="right"/>
              <w:ind w:right="2795"/>
              <w:spacing w:after="0"/>
              <w:rPr>
                <w:sz w:val="20"/>
                <w:szCs w:val="20"/>
                <w:color w:val="auto"/>
              </w:rPr>
            </w:pPr>
            <w:r>
              <w:rPr>
                <w:rFonts w:ascii="Arial" w:cs="Arial" w:eastAsia="Arial" w:hAnsi="Arial"/>
                <w:sz w:val="17"/>
                <w:szCs w:val="17"/>
                <w:color w:val="auto"/>
              </w:rPr>
              <w:t>28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20" w:type="dxa"/>
            <w:vAlign w:val="bottom"/>
            <w:gridSpan w:val="2"/>
            <w:vMerge w:val="continue"/>
          </w:tcPr>
          <w:p>
            <w:pPr>
              <w:spacing w:after="0"/>
              <w:rPr>
                <w:sz w:val="17"/>
                <w:szCs w:val="17"/>
                <w:color w:val="auto"/>
              </w:rPr>
            </w:pPr>
          </w:p>
        </w:tc>
        <w:tc>
          <w:tcPr>
            <w:tcW w:w="3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3"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(1) The deferred tax assets from net operating loss carryovers (“NOL”)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58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333333"/>
              </w:rPr>
              <w:t>Type of NOL</w:t>
            </w:r>
          </w:p>
        </w:tc>
        <w:tc>
          <w:tcPr>
            <w:tcW w:w="2360" w:type="dxa"/>
            <w:vAlign w:val="bottom"/>
            <w:tcBorders>
              <w:bottom w:val="single" w:sz="8" w:color="auto"/>
            </w:tcBorders>
          </w:tcPr>
          <w:p>
            <w:pPr>
              <w:jc w:val="right"/>
              <w:ind w:right="1157"/>
              <w:spacing w:after="0"/>
              <w:rPr>
                <w:sz w:val="20"/>
                <w:szCs w:val="20"/>
                <w:color w:val="auto"/>
              </w:rPr>
            </w:pPr>
            <w:r>
              <w:rPr>
                <w:rFonts w:ascii="Arial" w:cs="Arial" w:eastAsia="Arial" w:hAnsi="Arial"/>
                <w:sz w:val="14"/>
                <w:szCs w:val="14"/>
                <w:b w:val="1"/>
                <w:bCs w:val="1"/>
                <w:color w:val="333333"/>
              </w:rPr>
              <w:t>2016</w:t>
            </w:r>
          </w:p>
        </w:tc>
        <w:tc>
          <w:tcPr>
            <w:tcW w:w="152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333333"/>
              </w:rPr>
              <w:t>2015</w:t>
            </w: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333333"/>
                <w:w w:val="96"/>
              </w:rPr>
              <w:t>Expiration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333333"/>
              </w:rPr>
              <w:t>State only (A)</w:t>
            </w:r>
          </w:p>
        </w:tc>
        <w:tc>
          <w:tcPr>
            <w:tcW w:w="23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333333"/>
              </w:rPr>
              <w:t>$585,892</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333333"/>
              </w:rPr>
              <w:t>$540,865</w:t>
            </w:r>
          </w:p>
        </w:tc>
        <w:tc>
          <w:tcPr>
            <w:tcW w:w="1780" w:type="dxa"/>
            <w:vAlign w:val="bottom"/>
            <w:shd w:val="clear" w:color="auto" w:fill="CCEEFF"/>
          </w:tcPr>
          <w:p>
            <w:pPr>
              <w:jc w:val="center"/>
              <w:ind w:right="79"/>
              <w:spacing w:after="0"/>
              <w:rPr>
                <w:sz w:val="20"/>
                <w:szCs w:val="20"/>
                <w:color w:val="auto"/>
              </w:rPr>
            </w:pPr>
            <w:r>
              <w:rPr>
                <w:rFonts w:ascii="Arial" w:cs="Arial" w:eastAsia="Arial" w:hAnsi="Arial"/>
                <w:sz w:val="17"/>
                <w:szCs w:val="17"/>
                <w:color w:val="333333"/>
                <w:w w:val="89"/>
              </w:rPr>
              <w:t>December 31, 2036</w:t>
            </w:r>
          </w:p>
        </w:tc>
        <w:tc>
          <w:tcPr>
            <w:tcW w:w="0" w:type="dxa"/>
            <w:vAlign w:val="bottom"/>
          </w:tcPr>
          <w:p>
            <w:pPr>
              <w:spacing w:after="0"/>
              <w:rPr>
                <w:sz w:val="1"/>
                <w:szCs w:val="1"/>
                <w:color w:val="auto"/>
              </w:rPr>
            </w:pPr>
          </w:p>
        </w:tc>
      </w:tr>
      <w:tr>
        <w:trPr>
          <w:trHeight w:val="209"/>
        </w:trPr>
        <w:tc>
          <w:tcPr>
            <w:tcW w:w="5600" w:type="dxa"/>
            <w:vAlign w:val="bottom"/>
            <w:gridSpan w:val="2"/>
          </w:tcPr>
          <w:p>
            <w:pPr>
              <w:spacing w:after="0"/>
              <w:rPr>
                <w:sz w:val="20"/>
                <w:szCs w:val="20"/>
                <w:color w:val="auto"/>
              </w:rPr>
            </w:pPr>
            <w:r>
              <w:rPr>
                <w:rFonts w:ascii="Arial" w:cs="Arial" w:eastAsia="Arial" w:hAnsi="Arial"/>
                <w:sz w:val="17"/>
                <w:szCs w:val="17"/>
                <w:color w:val="333333"/>
              </w:rPr>
              <w:t>Valuation allowance</w:t>
            </w:r>
          </w:p>
        </w:tc>
        <w:tc>
          <w:tcPr>
            <w:tcW w:w="2360" w:type="dxa"/>
            <w:vAlign w:val="bottom"/>
          </w:tcPr>
          <w:p>
            <w:pPr>
              <w:jc w:val="right"/>
              <w:ind w:right="317"/>
              <w:spacing w:after="0"/>
              <w:rPr>
                <w:sz w:val="20"/>
                <w:szCs w:val="20"/>
                <w:color w:val="auto"/>
              </w:rPr>
            </w:pPr>
            <w:r>
              <w:rPr>
                <w:rFonts w:ascii="Arial" w:cs="Arial" w:eastAsia="Arial" w:hAnsi="Arial"/>
                <w:sz w:val="17"/>
                <w:szCs w:val="17"/>
                <w:color w:val="333333"/>
              </w:rPr>
              <w:t>(464,466)</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333333"/>
              </w:rPr>
              <w:t>(403,973)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333333"/>
              </w:rPr>
              <w:t>State only, net of valuation allowance</w:t>
            </w:r>
          </w:p>
        </w:tc>
        <w:tc>
          <w:tcPr>
            <w:tcW w:w="236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333333"/>
              </w:rPr>
              <w:t>121,426</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333333"/>
              </w:rPr>
              <w:t>136,892</w:t>
            </w: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gridSpan w:val="2"/>
          </w:tcPr>
          <w:p>
            <w:pPr>
              <w:spacing w:after="0"/>
              <w:rPr>
                <w:sz w:val="20"/>
                <w:szCs w:val="20"/>
                <w:color w:val="auto"/>
              </w:rPr>
            </w:pPr>
            <w:r>
              <w:rPr>
                <w:rFonts w:ascii="Arial" w:cs="Arial" w:eastAsia="Arial" w:hAnsi="Arial"/>
                <w:sz w:val="17"/>
                <w:szCs w:val="17"/>
                <w:color w:val="333333"/>
              </w:rPr>
              <w:t>Amount subject to Annual Limitation, federal only (B)</w:t>
            </w:r>
          </w:p>
        </w:tc>
        <w:tc>
          <w:tcPr>
            <w:tcW w:w="2360" w:type="dxa"/>
            <w:vAlign w:val="bottom"/>
          </w:tcPr>
          <w:p>
            <w:pPr>
              <w:jc w:val="right"/>
              <w:ind w:right="317"/>
              <w:spacing w:after="0"/>
              <w:rPr>
                <w:sz w:val="20"/>
                <w:szCs w:val="20"/>
                <w:color w:val="auto"/>
              </w:rPr>
            </w:pPr>
            <w:r>
              <w:rPr>
                <w:rFonts w:ascii="Arial" w:cs="Arial" w:eastAsia="Arial" w:hAnsi="Arial"/>
                <w:sz w:val="17"/>
                <w:szCs w:val="17"/>
                <w:color w:val="333333"/>
              </w:rPr>
              <w:t>10,200</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333333"/>
              </w:rPr>
              <w:t>13,600</w:t>
            </w:r>
          </w:p>
        </w:tc>
        <w:tc>
          <w:tcPr>
            <w:tcW w:w="1780" w:type="dxa"/>
            <w:vAlign w:val="bottom"/>
          </w:tcPr>
          <w:p>
            <w:pPr>
              <w:jc w:val="center"/>
              <w:ind w:right="79"/>
              <w:spacing w:after="0"/>
              <w:rPr>
                <w:sz w:val="20"/>
                <w:szCs w:val="20"/>
                <w:color w:val="auto"/>
              </w:rPr>
            </w:pPr>
            <w:r>
              <w:rPr>
                <w:rFonts w:ascii="Arial" w:cs="Arial" w:eastAsia="Arial" w:hAnsi="Arial"/>
                <w:sz w:val="17"/>
                <w:szCs w:val="17"/>
                <w:color w:val="333333"/>
                <w:w w:val="89"/>
              </w:rPr>
              <w:t>December 31, 2019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333333"/>
              </w:rPr>
              <w:t>Total deferred tax asset from net operating loss carryovers</w:t>
            </w:r>
          </w:p>
        </w:tc>
        <w:tc>
          <w:tcPr>
            <w:tcW w:w="2360" w:type="dxa"/>
            <w:vAlign w:val="bottom"/>
            <w:shd w:val="clear" w:color="auto" w:fill="CCEEFF"/>
          </w:tcPr>
          <w:p>
            <w:pPr>
              <w:jc w:val="right"/>
              <w:ind w:right="317"/>
              <w:spacing w:after="0" w:line="189" w:lineRule="exact"/>
              <w:rPr>
                <w:sz w:val="20"/>
                <w:szCs w:val="20"/>
                <w:color w:val="auto"/>
              </w:rPr>
            </w:pPr>
            <w:r>
              <w:rPr>
                <w:rFonts w:ascii="Arial" w:cs="Arial" w:eastAsia="Arial" w:hAnsi="Arial"/>
                <w:sz w:val="17"/>
                <w:szCs w:val="17"/>
                <w:color w:val="333333"/>
              </w:rPr>
              <w:t>$131,626</w:t>
            </w:r>
          </w:p>
        </w:tc>
        <w:tc>
          <w:tcPr>
            <w:tcW w:w="1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333333"/>
              </w:rPr>
              <w:t>$150,492</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
        <w:spacing w:after="0" w:line="263"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Kingstone generates operating losses for state purposes and has prior year NOLs available. The state NOL as of June 30, 2016 and December 31, 2015 was approximately $9,014,000 and $8,321,000,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2036.</w:t>
      </w:r>
    </w:p>
    <w:p>
      <w:pPr>
        <w:spacing w:after="0" w:line="184" w:lineRule="exact"/>
        <w:rPr>
          <w:rFonts w:ascii="Arial" w:cs="Arial" w:eastAsia="Arial" w:hAnsi="Arial"/>
          <w:sz w:val="17"/>
          <w:szCs w:val="17"/>
          <w:color w:val="auto"/>
        </w:rPr>
      </w:pPr>
    </w:p>
    <w:p>
      <w:pPr>
        <w:jc w:val="both"/>
        <w:ind w:firstLine="5"/>
        <w:spacing w:after="0" w:line="269" w:lineRule="auto"/>
        <w:tabs>
          <w:tab w:leader="none" w:pos="27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an NOL of $30,000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 Deferred tax liability – investment in KICO</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2016 and 2015. If any had been recognized these would have been reported in income tax expense.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The tax returns for years ended December 31, 2012 through 2015 are subject to examination, generally for three years after filing.</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Earnings Per Common Share</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the three months ended June 30, 2016 and 2015, the inclusion of 29,794 and 77,500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 The computation of diluted earnings per common share excludes outstanding options in periods where the exercise of such options would be anti-dilutive. For the six months ended June 30, 2016 and 2015, the inclusion of 17,060 and 77,500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weighted average number of common shares used in the calculation of basic and diluted earnings per common share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960" w:type="dxa"/>
            <w:vAlign w:val="bottom"/>
            <w:gridSpan w:val="2"/>
          </w:tcPr>
          <w:p>
            <w:pPr>
              <w:jc w:val="right"/>
              <w:ind w:right="878"/>
              <w:spacing w:after="0"/>
              <w:rPr>
                <w:sz w:val="20"/>
                <w:szCs w:val="20"/>
                <w:color w:val="auto"/>
              </w:rPr>
            </w:pPr>
            <w:r>
              <w:rPr>
                <w:rFonts w:ascii="Arial" w:cs="Arial" w:eastAsia="Arial" w:hAnsi="Arial"/>
                <w:sz w:val="14"/>
                <w:szCs w:val="14"/>
                <w:b w:val="1"/>
                <w:bCs w:val="1"/>
                <w:color w:val="333333"/>
              </w:rPr>
              <w:t>Three months ended</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333333"/>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7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333333"/>
              </w:rPr>
              <w:t>June 30,</w:t>
            </w:r>
          </w:p>
        </w:tc>
        <w:tc>
          <w:tcPr>
            <w:tcW w:w="1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333333"/>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7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2016</w:t>
            </w:r>
          </w:p>
        </w:tc>
        <w:tc>
          <w:tcPr>
            <w:tcW w:w="11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2015</w:t>
            </w:r>
          </w:p>
        </w:tc>
        <w:tc>
          <w:tcPr>
            <w:tcW w:w="1700" w:type="dxa"/>
            <w:vAlign w:val="bottom"/>
            <w:tcBorders>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Weighted average number of shares outstanding</w:t>
            </w:r>
          </w:p>
        </w:tc>
        <w:tc>
          <w:tcPr>
            <w:tcW w:w="1780" w:type="dxa"/>
            <w:vAlign w:val="bottom"/>
          </w:tcPr>
          <w:p>
            <w:pPr>
              <w:jc w:val="right"/>
              <w:ind w:right="462"/>
              <w:spacing w:after="0"/>
              <w:rPr>
                <w:sz w:val="20"/>
                <w:szCs w:val="20"/>
                <w:color w:val="auto"/>
              </w:rPr>
            </w:pPr>
            <w:r>
              <w:rPr>
                <w:rFonts w:ascii="Arial" w:cs="Arial" w:eastAsia="Arial" w:hAnsi="Arial"/>
                <w:sz w:val="17"/>
                <w:szCs w:val="17"/>
                <w:color w:val="333333"/>
              </w:rPr>
              <w:t>7,794,347</w:t>
            </w:r>
          </w:p>
        </w:tc>
        <w:tc>
          <w:tcPr>
            <w:tcW w:w="1180" w:type="dxa"/>
            <w:vAlign w:val="bottom"/>
          </w:tcPr>
          <w:p>
            <w:pPr>
              <w:jc w:val="right"/>
              <w:ind w:right="258"/>
              <w:spacing w:after="0"/>
              <w:rPr>
                <w:sz w:val="20"/>
                <w:szCs w:val="20"/>
                <w:color w:val="auto"/>
              </w:rPr>
            </w:pPr>
            <w:r>
              <w:rPr>
                <w:rFonts w:ascii="Arial" w:cs="Arial" w:eastAsia="Arial" w:hAnsi="Arial"/>
                <w:sz w:val="17"/>
                <w:szCs w:val="17"/>
                <w:color w:val="333333"/>
              </w:rPr>
              <w:t>7,337,817</w:t>
            </w:r>
          </w:p>
        </w:tc>
        <w:tc>
          <w:tcPr>
            <w:tcW w:w="1700" w:type="dxa"/>
            <w:vAlign w:val="bottom"/>
          </w:tcPr>
          <w:p>
            <w:pPr>
              <w:jc w:val="right"/>
              <w:ind w:right="602"/>
              <w:spacing w:after="0"/>
              <w:rPr>
                <w:sz w:val="20"/>
                <w:szCs w:val="20"/>
                <w:color w:val="auto"/>
              </w:rPr>
            </w:pPr>
            <w:r>
              <w:rPr>
                <w:rFonts w:ascii="Arial" w:cs="Arial" w:eastAsia="Arial" w:hAnsi="Arial"/>
                <w:sz w:val="17"/>
                <w:szCs w:val="17"/>
                <w:color w:val="333333"/>
              </w:rPr>
              <w:t>7,558,366</w:t>
            </w:r>
          </w:p>
        </w:tc>
        <w:tc>
          <w:tcPr>
            <w:tcW w:w="820" w:type="dxa"/>
            <w:vAlign w:val="bottom"/>
          </w:tcPr>
          <w:p>
            <w:pPr>
              <w:jc w:val="right"/>
              <w:ind w:right="58"/>
              <w:spacing w:after="0"/>
              <w:rPr>
                <w:sz w:val="20"/>
                <w:szCs w:val="20"/>
                <w:color w:val="auto"/>
              </w:rPr>
            </w:pPr>
            <w:r>
              <w:rPr>
                <w:rFonts w:ascii="Arial" w:cs="Arial" w:eastAsia="Arial" w:hAnsi="Arial"/>
                <w:sz w:val="17"/>
                <w:szCs w:val="17"/>
                <w:color w:val="333333"/>
                <w:w w:val="87"/>
              </w:rPr>
              <w:t>7,328,098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333333"/>
              </w:rPr>
              <w:t>Effect of dilutive securities, common share equivalents</w:t>
            </w:r>
          </w:p>
        </w:tc>
        <w:tc>
          <w:tcPr>
            <w:tcW w:w="178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7"/>
                <w:szCs w:val="17"/>
                <w:color w:val="333333"/>
              </w:rPr>
              <w:t>58,937</w:t>
            </w:r>
          </w:p>
        </w:tc>
        <w:tc>
          <w:tcPr>
            <w:tcW w:w="118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7"/>
                <w:szCs w:val="17"/>
                <w:color w:val="333333"/>
              </w:rPr>
              <w:t>25,171</w:t>
            </w:r>
          </w:p>
        </w:tc>
        <w:tc>
          <w:tcPr>
            <w:tcW w:w="170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7"/>
                <w:szCs w:val="17"/>
                <w:color w:val="333333"/>
              </w:rPr>
              <w:t>48,865</w:t>
            </w:r>
          </w:p>
        </w:tc>
        <w:tc>
          <w:tcPr>
            <w:tcW w:w="8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333333"/>
              </w:rPr>
              <w:t>27,810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333333"/>
              </w:rPr>
              <w:t>Weighted average number of shares outstanding,</w:t>
            </w:r>
          </w:p>
        </w:tc>
        <w:tc>
          <w:tcPr>
            <w:tcW w:w="1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333333"/>
              </w:rPr>
              <w:t>used for computing diluted earnings per share</w:t>
            </w:r>
          </w:p>
        </w:tc>
        <w:tc>
          <w:tcPr>
            <w:tcW w:w="1780" w:type="dxa"/>
            <w:vAlign w:val="bottom"/>
            <w:tcBorders>
              <w:bottom w:val="single" w:sz="8" w:color="auto"/>
            </w:tcBorders>
          </w:tcPr>
          <w:p>
            <w:pPr>
              <w:jc w:val="right"/>
              <w:ind w:right="462"/>
              <w:spacing w:after="0"/>
              <w:rPr>
                <w:sz w:val="20"/>
                <w:szCs w:val="20"/>
                <w:color w:val="auto"/>
              </w:rPr>
            </w:pPr>
            <w:r>
              <w:rPr>
                <w:rFonts w:ascii="Arial" w:cs="Arial" w:eastAsia="Arial" w:hAnsi="Arial"/>
                <w:sz w:val="17"/>
                <w:szCs w:val="17"/>
                <w:color w:val="333333"/>
              </w:rPr>
              <w:t>7,853,284</w:t>
            </w:r>
          </w:p>
        </w:tc>
        <w:tc>
          <w:tcPr>
            <w:tcW w:w="1180" w:type="dxa"/>
            <w:vAlign w:val="bottom"/>
            <w:tcBorders>
              <w:bottom w:val="single" w:sz="8" w:color="auto"/>
            </w:tcBorders>
          </w:tcPr>
          <w:p>
            <w:pPr>
              <w:jc w:val="right"/>
              <w:ind w:right="258"/>
              <w:spacing w:after="0"/>
              <w:rPr>
                <w:sz w:val="20"/>
                <w:szCs w:val="20"/>
                <w:color w:val="auto"/>
              </w:rPr>
            </w:pPr>
            <w:r>
              <w:rPr>
                <w:rFonts w:ascii="Arial" w:cs="Arial" w:eastAsia="Arial" w:hAnsi="Arial"/>
                <w:sz w:val="17"/>
                <w:szCs w:val="17"/>
                <w:color w:val="333333"/>
              </w:rPr>
              <w:t>7,362,988</w:t>
            </w:r>
          </w:p>
        </w:tc>
        <w:tc>
          <w:tcPr>
            <w:tcW w:w="1700" w:type="dxa"/>
            <w:vAlign w:val="bottom"/>
            <w:tcBorders>
              <w:bottom w:val="single" w:sz="8" w:color="auto"/>
            </w:tcBorders>
          </w:tcPr>
          <w:p>
            <w:pPr>
              <w:jc w:val="right"/>
              <w:ind w:right="602"/>
              <w:spacing w:after="0"/>
              <w:rPr>
                <w:sz w:val="20"/>
                <w:szCs w:val="20"/>
                <w:color w:val="auto"/>
              </w:rPr>
            </w:pPr>
            <w:r>
              <w:rPr>
                <w:rFonts w:ascii="Arial" w:cs="Arial" w:eastAsia="Arial" w:hAnsi="Arial"/>
                <w:sz w:val="17"/>
                <w:szCs w:val="17"/>
                <w:color w:val="333333"/>
              </w:rPr>
              <w:t>7,607,231</w:t>
            </w: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333333"/>
                <w:w w:val="87"/>
              </w:rPr>
              <w:t>7,355,908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auto"/>
        </w:rPr>
        <w:t>Office Lease</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June 2016, the Company entered into a lease modification agreement for its office facility for KICO located in Valley Stream, NY under a non-cancelable operating lease dated March 27, 2015. The original lease had a term of seven years and six months. The lease modification increased the space occupied by KICO and extended the lease term to seven years and six months to be measured from the additional premises commencement date. The additional premises commencement date is expected to occur during the quarter ended September 30, 2016, and additional rent commencement will begin six months thereafter. The original lease commencement date was July 1, 2015 and rent commencement began January 1, 2016.</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the base rental costs, occupancy lease agreements generally provide for rent escalations resulting from increased assessments from real estate taxes and other charges. Rent expense under the lease will be recognized on a straight-line basis over the lease term. At June 30, 2016, cumulative rent expense exceeded cumulative rent payments by $54,128. This difference is recorded as deferred rent and is included in accounts payable, accrued expenses and other liabilities in the accompanying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2016, aggregate future minimum rental commitments under the Company’s modified lease agreement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For the Year</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7"/>
        </w:trPr>
        <w:tc>
          <w:tcPr>
            <w:tcW w:w="100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Ending</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7"/>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98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2016 (six months)</w:t>
            </w:r>
          </w:p>
        </w:tc>
        <w:tc>
          <w:tcPr>
            <w:tcW w:w="3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50,375</w:t>
            </w: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2017</w:t>
            </w:r>
          </w:p>
        </w:tc>
        <w:tc>
          <w:tcPr>
            <w:tcW w:w="3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146,008</w:t>
            </w: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164,117</w:t>
            </w: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2019</w:t>
            </w:r>
          </w:p>
        </w:tc>
        <w:tc>
          <w:tcPr>
            <w:tcW w:w="3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169,861</w:t>
            </w: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175,806</w:t>
            </w:r>
          </w:p>
        </w:tc>
      </w:tr>
      <w:tr>
        <w:trPr>
          <w:trHeight w:val="215"/>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614,351</w:t>
            </w:r>
          </w:p>
        </w:tc>
      </w:tr>
      <w:tr>
        <w:trPr>
          <w:trHeight w:val="249"/>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1,320,518</w:t>
            </w: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Rent expense for the three months and six months ended June 30, 2016 amounted to $26,126 and $52,252, respectively, and is included in the condensed consolidated statements of income and comprehensive income within other underwriting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Premium Finance Placement Fees</w:t>
      </w:r>
    </w:p>
    <w:p>
      <w:pPr>
        <w:spacing w:after="0" w:line="2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wholly owned subsidiary, Payments Inc. (“Payments”), is licensed as a premium finance agency in the state of New York. Prior to February 1, 2008, Payments provided premium financing in connection with the obtaining of insurance policies. Effective February 1, 2008, Payments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“Agreement”). In connection with such purchases, Payments was entitled to receive a fee generally equal to a percentage of the amount financed.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3" w:name="page34"/>
    <w:bookmarkEnd w:id="33"/>
    <w:p>
      <w:pPr>
        <w:jc w:val="both"/>
        <w:spacing w:after="0" w:line="283" w:lineRule="auto"/>
        <w:rPr>
          <w:sz w:val="20"/>
          <w:szCs w:val="20"/>
          <w:color w:val="auto"/>
        </w:rPr>
      </w:pPr>
      <w:r>
        <w:rPr>
          <w:rFonts w:ascii="Arial" w:cs="Arial" w:eastAsia="Arial" w:hAnsi="Arial"/>
          <w:sz w:val="16"/>
          <w:szCs w:val="16"/>
          <w:color w:val="auto"/>
        </w:rPr>
        <w:t>In July 2014, the Purchaser terminated the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the Company’s producers. On March 26, 2015, the Company and the Purchaser agreed to amend the Termination Period to end as of March 31, 2015. The Company received a one-time payment of $350,000 in exchange for the fees that the Company would have received during the Termination Period. The Company’s premium financing business consisted of the placement fees that Payments earned from placing contracts.</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Placement fee revenue included in other income and the related direct expenses included in other operating expenses in the condensed consolidated statements of net income and comprehensive income are as follows (unaudited):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4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740" w:type="dxa"/>
            <w:vAlign w:val="bottom"/>
            <w:gridSpan w:val="4"/>
          </w:tcPr>
          <w:p>
            <w:pPr>
              <w:jc w:val="right"/>
              <w:ind w:right="478"/>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Placement fee revenue</w:t>
            </w:r>
          </w:p>
        </w:tc>
        <w:tc>
          <w:tcPr>
            <w:tcW w:w="980" w:type="dxa"/>
            <w:vAlign w:val="bottom"/>
          </w:tcPr>
          <w:p>
            <w:pPr>
              <w:jc w:val="right"/>
              <w:ind w:right="682"/>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662"/>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8"/>
              <w:spacing w:after="0"/>
              <w:rPr>
                <w:sz w:val="20"/>
                <w:szCs w:val="20"/>
                <w:color w:val="auto"/>
              </w:rPr>
            </w:pPr>
            <w:r>
              <w:rPr>
                <w:rFonts w:ascii="Arial" w:cs="Arial" w:eastAsia="Arial" w:hAnsi="Arial"/>
                <w:sz w:val="17"/>
                <w:szCs w:val="17"/>
                <w:color w:val="auto"/>
              </w:rPr>
              <w:t>54,343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Early termination fee</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Direct expenses</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(12,989)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before taxes from placement fees</w:t>
            </w:r>
          </w:p>
        </w:tc>
        <w:tc>
          <w:tcPr>
            <w:tcW w:w="9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391,354</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Subsequent Events</w:t>
      </w:r>
    </w:p>
    <w:p>
      <w:pPr>
        <w:spacing w:after="0" w:line="22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evaluated events that occurred subsequent to June 30, 2016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August 10, 2016, the Company’s Board of Directors approved a quarterly dividend of $.0625 per share payable in cash on September 15, 2016 to stockholders of record as of August 31,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entered into new annual reinsurance treaties with different terms effective July 1, 2016. See Note 6, Property and Casualty Insurance Activity – Reinsurance.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7"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We offer property and casualty insurance products to individuals and small businesses in New York State through our wholly owned subsidiary, Kingstone Insurance Company (“KICO”). KICO’s insureds are located primarily in downstate New York, consisting of New York City, Long Island and Westchester County. We are also licensed in the States of New Jersey, Connecticut, Pennsylvania, Rhode Island and Texas.</w:t>
      </w:r>
    </w:p>
    <w:p>
      <w:pPr>
        <w:spacing w:after="0" w:line="180" w:lineRule="exact"/>
        <w:rPr>
          <w:sz w:val="20"/>
          <w:szCs w:val="20"/>
          <w:color w:val="auto"/>
        </w:rPr>
      </w:pPr>
    </w:p>
    <w:p>
      <w:pPr>
        <w:jc w:val="both"/>
        <w:ind w:firstLine="628"/>
        <w:spacing w:after="0" w:line="306"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156"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for losses, various loss adjustment expenses (“LAE”) are incurred such as insurance adjusters’ fees and litigation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52"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operating expenses include our corporate expenses as a holding company. These expenses include legal and auditing fees, executive employment costs, and other costs directly associated with being a public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Lines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product lines include the following:</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3-4 family dwelling package, cooperative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condominium, renters, equipment breakdown and service line endorsements, and personal umbrella policies.</w:t>
      </w:r>
    </w:p>
    <w:p>
      <w:pPr>
        <w:spacing w:after="0" w:line="170" w:lineRule="exact"/>
        <w:rPr>
          <w:sz w:val="20"/>
          <w:szCs w:val="20"/>
          <w:color w:val="auto"/>
        </w:rPr>
      </w:pPr>
    </w:p>
    <w:p>
      <w:pPr>
        <w:jc w:val="both"/>
        <w:ind w:firstLine="683"/>
        <w:spacing w:after="0" w:line="26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We offer business owners policies, which consist primarily of small business retail, service, and office risks without a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We also write artisan’s liability policies for small independent contractors with seven or fewer employees. In addition, we write special multi-peril policies for larger and more specialized business owners’ risks, including those with limited residential exposures.</w:t>
      </w:r>
    </w:p>
    <w:p>
      <w:pPr>
        <w:spacing w:after="0" w:line="180"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b w:val="1"/>
          <w:bCs w:val="1"/>
          <w:i w:val="1"/>
          <w:iCs w:val="1"/>
          <w:color w:val="auto"/>
        </w:rPr>
        <w:t xml:space="preserve">Commercial automobile: </w:t>
      </w:r>
      <w:r>
        <w:rPr>
          <w:rFonts w:ascii="Arial" w:cs="Arial" w:eastAsia="Arial" w:hAnsi="Arial"/>
          <w:sz w:val="17"/>
          <w:szCs w:val="17"/>
          <w:color w:val="auto"/>
        </w:rPr>
        <w:t>Until recently we provided liability and physical damage coverage for light vehicles owned by small contractors and artisans.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However, due to the poor performance of this line, effective October 1, 2014, we decided to no longer accept new commercial auto policies. In February 2015, we decided to no longer offer renewals to our existing commercial auto policies beginning with those that expired on or after May 1, 2015. As of April 30, 2016 we have no commercial auto policies in force and claims related to this product line will be run-off over time.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5" w:name="page36"/>
    <w:bookmarkEnd w:id="35"/>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physical damage portion of insurance for such vehicles, with no liability coverage included.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also have a small participation in mandatory state joint underwriting associations.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 ratio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net losses and loss adjustment expenses (“LAE”) incurred to net premiums earned.</w:t>
      </w:r>
    </w:p>
    <w:p>
      <w:pPr>
        <w:spacing w:after="0" w:line="170"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80"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180"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 excludes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7"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condensed consolidated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36" w:name="page37"/>
    <w:bookmarkEnd w:id="36"/>
    <w:p>
      <w:pPr>
        <w:jc w:val="both"/>
        <w:ind w:firstLine="314"/>
        <w:spacing w:after="0" w:line="286"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2016 Compared to Six Months Ended June 30, 2015</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75"/>
              <w:spacing w:after="0" w:line="157"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02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40" w:type="dxa"/>
            <w:vAlign w:val="bottom"/>
          </w:tcPr>
          <w:p>
            <w:pPr>
              <w:jc w:val="right"/>
              <w:ind w:right="355"/>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355"/>
              <w:spacing w:after="0" w:line="157"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Direct written premiums</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49,204</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42,656</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6,548</w:t>
            </w:r>
          </w:p>
        </w:tc>
        <w:tc>
          <w:tcPr>
            <w:tcW w:w="1360" w:type="dxa"/>
            <w:vAlign w:val="bottom"/>
          </w:tcPr>
          <w:p>
            <w:pPr>
              <w:jc w:val="right"/>
              <w:spacing w:after="0"/>
              <w:rPr>
                <w:sz w:val="20"/>
                <w:szCs w:val="20"/>
                <w:color w:val="auto"/>
              </w:rPr>
            </w:pPr>
            <w:r>
              <w:rPr>
                <w:rFonts w:ascii="Arial" w:cs="Arial" w:eastAsia="Arial" w:hAnsi="Arial"/>
                <w:sz w:val="17"/>
                <w:szCs w:val="17"/>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Assumed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16</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22</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49,220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42,678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6,542</w:t>
            </w:r>
          </w:p>
        </w:tc>
        <w:tc>
          <w:tcPr>
            <w:tcW w:w="1360" w:type="dxa"/>
            <w:vAlign w:val="bottom"/>
          </w:tcPr>
          <w:p>
            <w:pPr>
              <w:jc w:val="right"/>
              <w:spacing w:after="0"/>
              <w:rPr>
                <w:sz w:val="20"/>
                <w:szCs w:val="20"/>
                <w:color w:val="auto"/>
              </w:rPr>
            </w:pPr>
            <w:r>
              <w:rPr>
                <w:rFonts w:ascii="Arial" w:cs="Arial" w:eastAsia="Arial" w:hAnsi="Arial"/>
                <w:sz w:val="17"/>
                <w:szCs w:val="17"/>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Ceded written premiums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 to quota share treaties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12,381</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16,012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(3,631)</w:t>
            </w:r>
          </w:p>
        </w:tc>
        <w:tc>
          <w:tcPr>
            <w:tcW w:w="1360" w:type="dxa"/>
            <w:vAlign w:val="bottom"/>
          </w:tcPr>
          <w:p>
            <w:pPr>
              <w:jc w:val="right"/>
              <w:spacing w:after="0"/>
              <w:rPr>
                <w:sz w:val="20"/>
                <w:szCs w:val="20"/>
                <w:color w:val="auto"/>
              </w:rPr>
            </w:pPr>
            <w:r>
              <w:rPr>
                <w:rFonts w:ascii="Arial" w:cs="Arial" w:eastAsia="Arial" w:hAnsi="Arial"/>
                <w:sz w:val="17"/>
                <w:szCs w:val="17"/>
                <w:color w:val="auto"/>
              </w:rPr>
              <w:t>(22.7)%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Ceded to excess of loss treaties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649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577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72</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 to catastrophe treaties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4,575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2,079</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2,496</w:t>
            </w:r>
          </w:p>
        </w:tc>
        <w:tc>
          <w:tcPr>
            <w:tcW w:w="1360" w:type="dxa"/>
            <w:vAlign w:val="bottom"/>
          </w:tcPr>
          <w:p>
            <w:pPr>
              <w:jc w:val="right"/>
              <w:spacing w:after="0"/>
              <w:rPr>
                <w:sz w:val="20"/>
                <w:szCs w:val="20"/>
                <w:color w:val="auto"/>
              </w:rPr>
            </w:pPr>
            <w:r>
              <w:rPr>
                <w:rFonts w:ascii="Arial" w:cs="Arial" w:eastAsia="Arial" w:hAnsi="Arial"/>
                <w:sz w:val="17"/>
                <w:szCs w:val="17"/>
                <w:color w:val="auto"/>
              </w:rPr>
              <w:t>120.1%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ceded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17,605</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18,668</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written premiums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31,615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24,010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7,605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Change in net unearned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(2,072)</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(2,758)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686</w:t>
            </w:r>
          </w:p>
        </w:tc>
        <w:tc>
          <w:tcPr>
            <w:tcW w:w="1360" w:type="dxa"/>
            <w:vAlign w:val="bottom"/>
          </w:tcPr>
          <w:p>
            <w:pPr>
              <w:jc w:val="right"/>
              <w:spacing w:after="0"/>
              <w:rPr>
                <w:sz w:val="20"/>
                <w:szCs w:val="20"/>
                <w:color w:val="auto"/>
              </w:rPr>
            </w:pPr>
            <w:r>
              <w:rPr>
                <w:rFonts w:ascii="Arial" w:cs="Arial" w:eastAsia="Arial" w:hAnsi="Arial"/>
                <w:sz w:val="17"/>
                <w:szCs w:val="17"/>
                <w:color w:val="auto"/>
              </w:rPr>
              <w:t>(24.9)%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29,543</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21,252</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8,291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Ceding commission revenue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Excluding the effect of catastrophes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5,339</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8,026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(2,687)</w:t>
            </w:r>
          </w:p>
        </w:tc>
        <w:tc>
          <w:tcPr>
            <w:tcW w:w="1360" w:type="dxa"/>
            <w:vAlign w:val="bottom"/>
          </w:tcPr>
          <w:p>
            <w:pPr>
              <w:jc w:val="right"/>
              <w:spacing w:after="0"/>
              <w:rPr>
                <w:sz w:val="20"/>
                <w:szCs w:val="20"/>
                <w:color w:val="auto"/>
              </w:rPr>
            </w:pPr>
            <w:r>
              <w:rPr>
                <w:rFonts w:ascii="Arial" w:cs="Arial" w:eastAsia="Arial" w:hAnsi="Arial"/>
                <w:sz w:val="17"/>
                <w:szCs w:val="17"/>
                <w:color w:val="auto"/>
              </w:rPr>
              <w:t>(33.5)%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Effect of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(1,281)</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1,281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5,339</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6,745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(1,406)</w:t>
            </w:r>
          </w:p>
        </w:tc>
        <w:tc>
          <w:tcPr>
            <w:tcW w:w="1360" w:type="dxa"/>
            <w:vAlign w:val="bottom"/>
          </w:tcPr>
          <w:p>
            <w:pPr>
              <w:jc w:val="right"/>
              <w:spacing w:after="0"/>
              <w:rPr>
                <w:sz w:val="20"/>
                <w:szCs w:val="20"/>
                <w:color w:val="auto"/>
              </w:rPr>
            </w:pPr>
            <w:r>
              <w:rPr>
                <w:rFonts w:ascii="Arial" w:cs="Arial" w:eastAsia="Arial" w:hAnsi="Arial"/>
                <w:sz w:val="17"/>
                <w:szCs w:val="17"/>
                <w:color w:val="auto"/>
              </w:rPr>
              <w:t>(20.8)%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1,577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1,200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377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realized gain (loss) on investments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364</w:t>
            </w:r>
          </w:p>
        </w:tc>
        <w:tc>
          <w:tcPr>
            <w:tcW w:w="36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(65)</w:t>
            </w:r>
          </w:p>
        </w:tc>
        <w:tc>
          <w:tcPr>
            <w:tcW w:w="3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429</w:t>
            </w:r>
          </w:p>
        </w:tc>
        <w:tc>
          <w:tcPr>
            <w:tcW w:w="1360" w:type="dxa"/>
            <w:vAlign w:val="bottom"/>
          </w:tcPr>
          <w:p>
            <w:pPr>
              <w:jc w:val="right"/>
              <w:spacing w:after="0"/>
              <w:rPr>
                <w:sz w:val="20"/>
                <w:szCs w:val="20"/>
                <w:color w:val="auto"/>
              </w:rPr>
            </w:pPr>
            <w:r>
              <w:rPr>
                <w:rFonts w:ascii="Arial" w:cs="Arial" w:eastAsia="Arial" w:hAnsi="Arial"/>
                <w:sz w:val="17"/>
                <w:szCs w:val="17"/>
                <w:color w:val="auto"/>
              </w:rPr>
              <w:t>(660.0)%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533</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1,024</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37,356</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30,156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7,200</w:t>
            </w:r>
          </w:p>
        </w:tc>
        <w:tc>
          <w:tcPr>
            <w:tcW w:w="1360" w:type="dxa"/>
            <w:vAlign w:val="bottom"/>
          </w:tcPr>
          <w:p>
            <w:pPr>
              <w:jc w:val="right"/>
              <w:spacing w:after="0"/>
              <w:rPr>
                <w:sz w:val="20"/>
                <w:szCs w:val="20"/>
                <w:color w:val="auto"/>
              </w:rPr>
            </w:pPr>
            <w:r>
              <w:rPr>
                <w:rFonts w:ascii="Arial" w:cs="Arial" w:eastAsia="Arial" w:hAnsi="Arial"/>
                <w:sz w:val="17"/>
                <w:szCs w:val="17"/>
                <w:color w:val="auto"/>
              </w:rPr>
              <w:t>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Direct and assumed:</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20,037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16,477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3,560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2,337</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4,472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(2,135)</w:t>
            </w:r>
          </w:p>
        </w:tc>
        <w:tc>
          <w:tcPr>
            <w:tcW w:w="1360" w:type="dxa"/>
            <w:vAlign w:val="bottom"/>
          </w:tcPr>
          <w:p>
            <w:pPr>
              <w:jc w:val="right"/>
              <w:spacing w:after="0"/>
              <w:rPr>
                <w:sz w:val="20"/>
                <w:szCs w:val="20"/>
                <w:color w:val="auto"/>
              </w:rPr>
            </w:pPr>
            <w:r>
              <w:rPr>
                <w:rFonts w:ascii="Arial" w:cs="Arial" w:eastAsia="Arial" w:hAnsi="Arial"/>
                <w:sz w:val="17"/>
                <w:szCs w:val="17"/>
                <w:color w:val="auto"/>
              </w:rPr>
              <w:t>(47.7)%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direct and assumed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22,374</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20,949</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Ceded loss and loss adjustment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6,169</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6,655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(486)</w:t>
            </w:r>
          </w:p>
        </w:tc>
        <w:tc>
          <w:tcPr>
            <w:tcW w:w="1360" w:type="dxa"/>
            <w:vAlign w:val="bottom"/>
          </w:tcPr>
          <w:p>
            <w:pPr>
              <w:jc w:val="right"/>
              <w:spacing w:after="0"/>
              <w:rPr>
                <w:sz w:val="20"/>
                <w:szCs w:val="20"/>
                <w:color w:val="auto"/>
              </w:rPr>
            </w:pPr>
            <w:r>
              <w:rPr>
                <w:rFonts w:ascii="Arial" w:cs="Arial" w:eastAsia="Arial" w:hAnsi="Arial"/>
                <w:sz w:val="17"/>
                <w:szCs w:val="17"/>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935</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2,460</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ceded loss and loss adjustment expenses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7,104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9,115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w:t>
            </w:r>
          </w:p>
        </w:tc>
        <w:tc>
          <w:tcPr>
            <w:tcW w:w="1360" w:type="dxa"/>
            <w:vAlign w:val="bottom"/>
          </w:tcPr>
          <w:p>
            <w:pPr>
              <w:jc w:val="right"/>
              <w:spacing w:after="0"/>
              <w:rPr>
                <w:sz w:val="20"/>
                <w:szCs w:val="20"/>
                <w:color w:val="auto"/>
              </w:rPr>
            </w:pPr>
            <w:r>
              <w:rPr>
                <w:rFonts w:ascii="Arial" w:cs="Arial" w:eastAsia="Arial" w:hAnsi="Arial"/>
                <w:sz w:val="17"/>
                <w:szCs w:val="17"/>
                <w:color w:val="auto"/>
              </w:rPr>
              <w:t>(22.1)%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13,868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9,822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4,046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1,402</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2,012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w:t>
            </w:r>
          </w:p>
        </w:tc>
        <w:tc>
          <w:tcPr>
            <w:tcW w:w="1360" w:type="dxa"/>
            <w:vAlign w:val="bottom"/>
          </w:tcPr>
          <w:p>
            <w:pPr>
              <w:jc w:val="right"/>
              <w:spacing w:after="0"/>
              <w:rPr>
                <w:sz w:val="20"/>
                <w:szCs w:val="20"/>
                <w:color w:val="auto"/>
              </w:rPr>
            </w:pPr>
            <w:r>
              <w:rPr>
                <w:rFonts w:ascii="Arial" w:cs="Arial" w:eastAsia="Arial" w:hAnsi="Arial"/>
                <w:sz w:val="17"/>
                <w:szCs w:val="17"/>
                <w:color w:val="auto"/>
              </w:rPr>
              <w:t>(30.3)%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15,270</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11,834</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3,436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Commission expense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8,796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7,012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1,784</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Other underwriting expenses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6,943</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5,961</w:t>
            </w:r>
          </w:p>
        </w:tc>
        <w:tc>
          <w:tcPr>
            <w:tcW w:w="3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982</w:t>
            </w:r>
          </w:p>
        </w:tc>
        <w:tc>
          <w:tcPr>
            <w:tcW w:w="1360" w:type="dxa"/>
            <w:vAlign w:val="bottom"/>
          </w:tcPr>
          <w:p>
            <w:pPr>
              <w:jc w:val="right"/>
              <w:spacing w:after="0"/>
              <w:rPr>
                <w:sz w:val="20"/>
                <w:szCs w:val="20"/>
                <w:color w:val="auto"/>
              </w:rPr>
            </w:pPr>
            <w:r>
              <w:rPr>
                <w:rFonts w:ascii="Arial" w:cs="Arial" w:eastAsia="Arial" w:hAnsi="Arial"/>
                <w:sz w:val="17"/>
                <w:szCs w:val="17"/>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operating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762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706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573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482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91</w:t>
            </w:r>
          </w:p>
        </w:tc>
        <w:tc>
          <w:tcPr>
            <w:tcW w:w="1360" w:type="dxa"/>
            <w:vAlign w:val="bottom"/>
          </w:tcPr>
          <w:p>
            <w:pPr>
              <w:jc w:val="right"/>
              <w:spacing w:after="0"/>
              <w:rPr>
                <w:sz w:val="20"/>
                <w:szCs w:val="20"/>
                <w:color w:val="auto"/>
              </w:rPr>
            </w:pPr>
            <w:r>
              <w:rPr>
                <w:rFonts w:ascii="Arial" w:cs="Arial" w:eastAsia="Arial" w:hAnsi="Arial"/>
                <w:sz w:val="17"/>
                <w:szCs w:val="17"/>
                <w:color w:val="auto"/>
              </w:rPr>
              <w:t>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32,344</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25,996</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6,349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from operations before taxes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5,012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4,160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852</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Provision for income tax</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1,629</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1,398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231</w:t>
            </w:r>
          </w:p>
        </w:tc>
        <w:tc>
          <w:tcPr>
            <w:tcW w:w="1360" w:type="dxa"/>
            <w:vAlign w:val="bottom"/>
          </w:tcPr>
          <w:p>
            <w:pPr>
              <w:jc w:val="right"/>
              <w:spacing w:after="0"/>
              <w:rPr>
                <w:sz w:val="20"/>
                <w:szCs w:val="20"/>
                <w:color w:val="auto"/>
              </w:rPr>
            </w:pPr>
            <w:r>
              <w:rPr>
                <w:rFonts w:ascii="Arial" w:cs="Arial" w:eastAsia="Arial" w:hAnsi="Arial"/>
                <w:sz w:val="17"/>
                <w:szCs w:val="17"/>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3,383</w:t>
            </w: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2,762</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621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60" w:firstLine="5"/>
        <w:spacing w:after="0" w:line="311" w:lineRule="auto"/>
        <w:tabs>
          <w:tab w:leader="none" w:pos="241"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 the six months ended June 30, 2016 and 2015,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702" w:right="1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80"/>
              <w:spacing w:after="0" w:line="144" w:lineRule="exact"/>
              <w:rPr>
                <w:sz w:val="20"/>
                <w:szCs w:val="20"/>
                <w:color w:val="auto"/>
              </w:rPr>
            </w:pPr>
            <w:r>
              <w:rPr>
                <w:rFonts w:ascii="Arial" w:cs="Arial" w:eastAsia="Arial" w:hAnsi="Arial"/>
                <w:sz w:val="14"/>
                <w:szCs w:val="14"/>
                <w:b w:val="1"/>
                <w:bCs w:val="1"/>
                <w:color w:val="auto"/>
                <w:w w:val="96"/>
              </w:rPr>
              <w:t>Percentage Point</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2015</w:t>
            </w:r>
          </w:p>
        </w:tc>
        <w:tc>
          <w:tcPr>
            <w:tcW w:w="128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7"/>
                <w:szCs w:val="17"/>
                <w:b w:val="1"/>
                <w:bCs w:val="1"/>
                <w:color w:val="auto"/>
              </w:rPr>
              <w:t>Key ratios:</w:t>
            </w: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loss ratio</w:t>
            </w:r>
          </w:p>
        </w:tc>
        <w:tc>
          <w:tcPr>
            <w:tcW w:w="7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99"/>
              </w:rPr>
              <w:t>51.7%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99"/>
              </w:rPr>
              <w:t>33.4%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6.2</w:t>
            </w:r>
          </w:p>
        </w:tc>
        <w:tc>
          <w:tcPr>
            <w:tcW w:w="1360" w:type="dxa"/>
            <w:vAlign w:val="bottom"/>
          </w:tcPr>
          <w:p>
            <w:pPr>
              <w:jc w:val="right"/>
              <w:spacing w:after="0"/>
              <w:rPr>
                <w:sz w:val="20"/>
                <w:szCs w:val="20"/>
                <w:color w:val="auto"/>
              </w:rPr>
            </w:pPr>
            <w:r>
              <w:rPr>
                <w:rFonts w:ascii="Arial" w:cs="Arial" w:eastAsia="Arial" w:hAnsi="Arial"/>
                <w:sz w:val="17"/>
                <w:szCs w:val="17"/>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combined ratio</w:t>
            </w:r>
          </w:p>
        </w:tc>
        <w:tc>
          <w:tcPr>
            <w:tcW w:w="8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99"/>
              </w:rPr>
              <w:t>85.1%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223"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Direct written premiums during the six months ended June 30, 2016 (“2016”) were $49,204,000 compared to $42,656,000 during the six months ended June 30, 2015 (“2015”). The increase of $6,548,000, or 15.4%, was primarily due to an increase in policies in-force during 2016 as compared to 2015. We wrote more new policies as a result of continued demand for our products in the markets that we serve. Policies in-force increased by 16.4% as of June 30, 2016 compared to June 30, 2015.</w:t>
      </w:r>
    </w:p>
    <w:p>
      <w:pPr>
        <w:spacing w:after="0" w:line="183"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Our growth rate in direct written premiums was dampened somewhat due to the: (1) slowing of growth in our livery physical damage line of business, and (2) suspension, effective October 1, 2014, of the writing of new policies in our commercial auto line of business due to a history of poor underwriting results. In February 2015, we made the decision to no longer offer renewals on our existing commercial auto policies beginning with those that expired on or after May 1, 2015. Our direct written premiums in our continuing lines of business grew by 16.9% in 2016 compared to 2015. Policies-in-force in our continuing lines of business increased by 17.3% as of June 30, 2016 compared to June 30, 2015.</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223" w:lineRule="exact"/>
        <w:rPr>
          <w:sz w:val="20"/>
          <w:szCs w:val="20"/>
          <w:color w:val="auto"/>
        </w:rPr>
      </w:pPr>
    </w:p>
    <w:p>
      <w:pPr>
        <w:jc w:val="both"/>
        <w:ind w:right="60" w:firstLine="628"/>
        <w:spacing w:after="0" w:line="269" w:lineRule="auto"/>
        <w:rPr>
          <w:sz w:val="20"/>
          <w:szCs w:val="20"/>
          <w:color w:val="auto"/>
        </w:rPr>
      </w:pPr>
      <w:r>
        <w:rPr>
          <w:rFonts w:ascii="Arial" w:cs="Arial" w:eastAsia="Arial" w:hAnsi="Arial"/>
          <w:sz w:val="17"/>
          <w:szCs w:val="17"/>
          <w:color w:val="auto"/>
        </w:rPr>
        <w:t>The following table details the quota share reinsurance ceding rates in effect during 2016 and 2015. For purposes of the discussion herein, the change in quota share ceding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720" w:type="dxa"/>
            <w:vAlign w:val="bottom"/>
          </w:tcPr>
          <w:p>
            <w:pPr>
              <w:jc w:val="center"/>
              <w:ind w:right="2205"/>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jc w:val="center"/>
              <w:ind w:right="220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2016</w:t>
            </w:r>
          </w:p>
        </w:tc>
        <w:tc>
          <w:tcPr>
            <w:tcW w:w="3720" w:type="dxa"/>
            <w:vAlign w:val="bottom"/>
            <w:tcBorders>
              <w:bottom w:val="single" w:sz="8" w:color="auto"/>
            </w:tcBorders>
          </w:tcPr>
          <w:p>
            <w:pPr>
              <w:jc w:val="right"/>
              <w:ind w:right="122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80" w:type="dxa"/>
            <w:vAlign w:val="bottom"/>
          </w:tcPr>
          <w:p>
            <w:pPr>
              <w:ind w:left="780"/>
              <w:spacing w:after="0"/>
              <w:rPr>
                <w:sz w:val="20"/>
                <w:szCs w:val="20"/>
                <w:color w:val="auto"/>
              </w:rPr>
            </w:pPr>
            <w:r>
              <w:rPr>
                <w:rFonts w:ascii="Arial" w:cs="Arial" w:eastAsia="Arial" w:hAnsi="Arial"/>
                <w:sz w:val="14"/>
                <w:szCs w:val="14"/>
                <w:b w:val="1"/>
                <w:bCs w:val="1"/>
                <w:color w:val="auto"/>
              </w:rPr>
              <w:t>("2015/2016 Treaty")</w:t>
            </w:r>
          </w:p>
        </w:tc>
        <w:tc>
          <w:tcPr>
            <w:tcW w:w="3720" w:type="dxa"/>
            <w:vAlign w:val="bottom"/>
          </w:tcPr>
          <w:p>
            <w:pPr>
              <w:ind w:left="1620"/>
              <w:spacing w:after="0"/>
              <w:rPr>
                <w:sz w:val="20"/>
                <w:szCs w:val="20"/>
                <w:color w:val="auto"/>
              </w:rPr>
            </w:pPr>
            <w:r>
              <w:rPr>
                <w:rFonts w:ascii="Arial" w:cs="Arial" w:eastAsia="Arial" w:hAnsi="Arial"/>
                <w:sz w:val="14"/>
                <w:szCs w:val="14"/>
                <w:b w:val="1"/>
                <w:bCs w:val="1"/>
                <w:color w:val="auto"/>
              </w:rPr>
              <w:t>("2014/2015 Treaty")</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b w:val="1"/>
                <w:bCs w:val="1"/>
                <w:color w:val="auto"/>
              </w:rPr>
              <w:t>Quota share reinsurance rates</w:t>
            </w:r>
          </w:p>
        </w:tc>
        <w:tc>
          <w:tcPr>
            <w:tcW w:w="22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Personal lines</w:t>
            </w:r>
          </w:p>
        </w:tc>
        <w:tc>
          <w:tcPr>
            <w:tcW w:w="2280" w:type="dxa"/>
            <w:vAlign w:val="bottom"/>
            <w:shd w:val="clear" w:color="auto" w:fill="CCEEFF"/>
          </w:tcPr>
          <w:p>
            <w:pPr>
              <w:jc w:val="right"/>
              <w:ind w:right="604"/>
              <w:spacing w:after="0"/>
              <w:rPr>
                <w:sz w:val="20"/>
                <w:szCs w:val="20"/>
                <w:color w:val="auto"/>
              </w:rPr>
            </w:pPr>
            <w:r>
              <w:rPr>
                <w:rFonts w:ascii="Arial" w:cs="Arial" w:eastAsia="Arial" w:hAnsi="Arial"/>
                <w:sz w:val="17"/>
                <w:szCs w:val="17"/>
                <w:color w:val="auto"/>
              </w:rPr>
              <w:t>40%</w:t>
            </w:r>
          </w:p>
        </w:tc>
        <w:tc>
          <w:tcPr>
            <w:tcW w:w="3720" w:type="dxa"/>
            <w:vAlign w:val="bottom"/>
            <w:shd w:val="clear" w:color="auto" w:fill="CCEEFF"/>
          </w:tcPr>
          <w:p>
            <w:pPr>
              <w:jc w:val="right"/>
              <w:ind w:right="1225"/>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“Reinsurance” below for changes to our personal lines quota share treaty effective July 1, 2016.</w:t>
      </w:r>
    </w:p>
    <w:p>
      <w:pPr>
        <w:spacing w:after="0" w:line="223"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Net written premiums increased $7,605,000, or 31.7%, to $31,615,000 in 2016 from $24,010,000 in 2015.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754" w:right="179" w:bottom="1440" w:gutter="0" w:footer="0" w:header="0"/>
        </w:sectPr>
      </w:pPr>
    </w:p>
    <w:bookmarkStart w:id="39" w:name="page40"/>
    <w:bookmarkEnd w:id="39"/>
    <w:p>
      <w:pPr>
        <w:jc w:val="both"/>
        <w:ind w:firstLine="628"/>
        <w:spacing w:after="0" w:line="286" w:lineRule="auto"/>
        <w:rPr>
          <w:sz w:val="20"/>
          <w:szCs w:val="20"/>
          <w:color w:val="auto"/>
        </w:rPr>
      </w:pPr>
      <w:r>
        <w:rPr>
          <w:rFonts w:ascii="Arial" w:cs="Arial" w:eastAsia="Arial" w:hAnsi="Arial"/>
          <w:sz w:val="16"/>
          <w:szCs w:val="16"/>
          <w:color w:val="auto"/>
        </w:rPr>
        <w:t>Effective July 1, 2015, we decreased the quota share ceding rate in our personal lines quota share treaty from 55% to 40%. The Cut-off of this treaty on July 1, 2015 resulted in a $5,866,000 return of unearned premiums from our reinsurers that were previously ceded under the expiring personal lines quota share treaty. The 2015/2016 Treaty is on a “net” of catastrophe reinsurance basis, as opposed to the “gross” arrangement that existed in prior years. Under a “net” arrangement, all catastrophe reinsurance coverage is now purchased directly by us, which increases our ceded premium for that component.</w:t>
      </w:r>
    </w:p>
    <w:p>
      <w:pPr>
        <w:spacing w:after="0" w:line="169"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paid based on all of our direct written premiums subject to the quota share, compared to catastrophe premiums being paid only on the amount of written premiums that we retained under the expired “gross” basis. As a result of the increase in our personal lines business and the change to a “net” basis for our personal lines quota share treaty, ceded catastrophe premiums increased by $2,496,000, or 120.1%, to $4,575,000 in 2016 from $2,079,000 in 2015.</w:t>
      </w:r>
    </w:p>
    <w:p>
      <w:pPr>
        <w:spacing w:after="0" w:line="186"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An increase in written premiums will also increase the premiums ceded under our excess of loss treaties, which incrementally reduces our net written premiums. In 2016, our ceded excess of loss reinsurance premiums increased by $72,000 over the ceded premiums for 2015.</w:t>
      </w:r>
    </w:p>
    <w:p>
      <w:pPr>
        <w:spacing w:after="0" w:line="170" w:lineRule="exact"/>
        <w:rPr>
          <w:sz w:val="20"/>
          <w:szCs w:val="20"/>
          <w:color w:val="auto"/>
        </w:rPr>
      </w:pPr>
    </w:p>
    <w:p>
      <w:pPr>
        <w:jc w:val="both"/>
        <w:ind w:firstLine="628"/>
        <w:spacing w:after="0" w:line="283" w:lineRule="auto"/>
        <w:rPr>
          <w:sz w:val="20"/>
          <w:szCs w:val="20"/>
          <w:color w:val="auto"/>
        </w:rPr>
      </w:pPr>
      <w:r>
        <w:rPr>
          <w:rFonts w:ascii="Arial" w:cs="Arial" w:eastAsia="Arial" w:hAnsi="Arial"/>
          <w:sz w:val="16"/>
          <w:szCs w:val="16"/>
          <w:color w:val="auto"/>
        </w:rPr>
        <w:t>Net premiums earned increased $8,291,000, or 39.0%, to $29,543,000 in 2016 from $21,252,000 in 2015. The increase was primarily due to us retaining more earned premiums as result of the reduction of the quota share percentage in our personal lines quota share treaty. The decreases in our quota share ceding percentages from the July 1, 2015 and 2014 Cut-offs gave us a return of premiums previously ceded, which increases our net premiums earned during the twelve month periods after the Cut-offs. In addition, as premiums written earn ratably over a twelve month period, net premiums earned in 2016 increased due to the higher net written premiums generated for the twelve months ended June 30, 2016 compared to the twelve months ended June 30, 2015.</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2016 and 2015. This table should be referred to in conjunction with the discussion for ceding commission revenue that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720" w:type="dxa"/>
            <w:vAlign w:val="bottom"/>
          </w:tcPr>
          <w:p>
            <w:pPr>
              <w:jc w:val="center"/>
              <w:ind w:right="2205"/>
              <w:spacing w:after="0"/>
              <w:rPr>
                <w:sz w:val="20"/>
                <w:szCs w:val="20"/>
                <w:color w:val="auto"/>
              </w:rPr>
            </w:pPr>
            <w:r>
              <w:rPr>
                <w:rFonts w:ascii="Arial" w:cs="Arial" w:eastAsia="Arial" w:hAnsi="Arial"/>
                <w:sz w:val="14"/>
                <w:szCs w:val="14"/>
                <w:b w:val="1"/>
                <w:bCs w:val="1"/>
                <w:color w:val="auto"/>
                <w:w w:val="89"/>
              </w:rPr>
              <w:t>Six months ended</w:t>
            </w:r>
          </w:p>
        </w:tc>
      </w:tr>
      <w:tr>
        <w:trPr>
          <w:trHeight w:val="177"/>
        </w:trPr>
        <w:tc>
          <w:tcPr>
            <w:tcW w:w="542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jc w:val="center"/>
              <w:ind w:right="2205"/>
              <w:spacing w:after="0"/>
              <w:rPr>
                <w:sz w:val="20"/>
                <w:szCs w:val="20"/>
                <w:color w:val="auto"/>
              </w:rPr>
            </w:pPr>
            <w:r>
              <w:rPr>
                <w:rFonts w:ascii="Arial" w:cs="Arial" w:eastAsia="Arial" w:hAnsi="Arial"/>
                <w:sz w:val="14"/>
                <w:szCs w:val="14"/>
                <w:b w:val="1"/>
                <w:bCs w:val="1"/>
                <w:color w:val="auto"/>
                <w:w w:val="92"/>
              </w:rPr>
              <w:t>June 30, 2016</w:t>
            </w:r>
          </w:p>
        </w:tc>
      </w:tr>
      <w:tr>
        <w:trPr>
          <w:trHeight w:val="189"/>
        </w:trPr>
        <w:tc>
          <w:tcPr>
            <w:tcW w:w="5420" w:type="dxa"/>
            <w:vAlign w:val="bottom"/>
          </w:tcPr>
          <w:p>
            <w:pPr>
              <w:spacing w:after="0"/>
              <w:rPr>
                <w:sz w:val="16"/>
                <w:szCs w:val="16"/>
                <w:color w:val="auto"/>
              </w:rPr>
            </w:pPr>
          </w:p>
        </w:tc>
        <w:tc>
          <w:tcPr>
            <w:tcW w:w="2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2016</w:t>
            </w:r>
          </w:p>
        </w:tc>
        <w:tc>
          <w:tcPr>
            <w:tcW w:w="3720" w:type="dxa"/>
            <w:vAlign w:val="bottom"/>
            <w:tcBorders>
              <w:bottom w:val="single" w:sz="8" w:color="auto"/>
            </w:tcBorders>
          </w:tcPr>
          <w:p>
            <w:pPr>
              <w:jc w:val="right"/>
              <w:ind w:right="1225"/>
              <w:spacing w:after="0"/>
              <w:rPr>
                <w:sz w:val="20"/>
                <w:szCs w:val="20"/>
                <w:color w:val="auto"/>
              </w:rPr>
            </w:pPr>
            <w:r>
              <w:rPr>
                <w:rFonts w:ascii="Arial" w:cs="Arial" w:eastAsia="Arial" w:hAnsi="Arial"/>
                <w:sz w:val="14"/>
                <w:szCs w:val="14"/>
                <w:b w:val="1"/>
                <w:bCs w:val="1"/>
                <w:color w:val="auto"/>
              </w:rPr>
              <w:t>2015</w:t>
            </w:r>
          </w:p>
        </w:tc>
      </w:tr>
      <w:tr>
        <w:trPr>
          <w:trHeight w:val="209"/>
        </w:trPr>
        <w:tc>
          <w:tcPr>
            <w:tcW w:w="5420" w:type="dxa"/>
            <w:vAlign w:val="bottom"/>
          </w:tcPr>
          <w:p>
            <w:pPr>
              <w:spacing w:after="0"/>
              <w:rPr>
                <w:sz w:val="18"/>
                <w:szCs w:val="18"/>
                <w:color w:val="auto"/>
              </w:rPr>
            </w:pPr>
          </w:p>
        </w:tc>
        <w:tc>
          <w:tcPr>
            <w:tcW w:w="2280" w:type="dxa"/>
            <w:vAlign w:val="bottom"/>
          </w:tcPr>
          <w:p>
            <w:pPr>
              <w:jc w:val="right"/>
              <w:ind w:right="102"/>
              <w:spacing w:after="0"/>
              <w:rPr>
                <w:sz w:val="20"/>
                <w:szCs w:val="20"/>
                <w:color w:val="auto"/>
              </w:rPr>
            </w:pPr>
            <w:r>
              <w:rPr>
                <w:rFonts w:ascii="Arial" w:cs="Arial" w:eastAsia="Arial" w:hAnsi="Arial"/>
                <w:sz w:val="14"/>
                <w:szCs w:val="14"/>
                <w:b w:val="1"/>
                <w:bCs w:val="1"/>
                <w:color w:val="auto"/>
              </w:rPr>
              <w:t>("2015/2016 Treaty")</w:t>
            </w:r>
          </w:p>
        </w:tc>
        <w:tc>
          <w:tcPr>
            <w:tcW w:w="3720" w:type="dxa"/>
            <w:vAlign w:val="bottom"/>
          </w:tcPr>
          <w:p>
            <w:pPr>
              <w:ind w:left="1620"/>
              <w:spacing w:after="0"/>
              <w:rPr>
                <w:sz w:val="20"/>
                <w:szCs w:val="20"/>
                <w:color w:val="auto"/>
              </w:rPr>
            </w:pPr>
            <w:r>
              <w:rPr>
                <w:rFonts w:ascii="Arial" w:cs="Arial" w:eastAsia="Arial" w:hAnsi="Arial"/>
                <w:sz w:val="14"/>
                <w:szCs w:val="14"/>
                <w:b w:val="1"/>
                <w:bCs w:val="1"/>
                <w:color w:val="auto"/>
              </w:rPr>
              <w:t>("2014/2015 Treaty")</w:t>
            </w:r>
          </w:p>
        </w:tc>
      </w:tr>
      <w:tr>
        <w:trPr>
          <w:trHeight w:val="209"/>
        </w:trPr>
        <w:tc>
          <w:tcPr>
            <w:tcW w:w="54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209"/>
        </w:trPr>
        <w:tc>
          <w:tcPr>
            <w:tcW w:w="5420" w:type="dxa"/>
            <w:vAlign w:val="bottom"/>
          </w:tcPr>
          <w:p>
            <w:pPr>
              <w:ind w:left="4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228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9"/>
        </w:trPr>
        <w:tc>
          <w:tcPr>
            <w:tcW w:w="5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Personal lines</w:t>
            </w:r>
          </w:p>
        </w:tc>
        <w:tc>
          <w:tcPr>
            <w:tcW w:w="2280" w:type="dxa"/>
            <w:vAlign w:val="bottom"/>
            <w:shd w:val="clear" w:color="auto" w:fill="CCEEFF"/>
          </w:tcPr>
          <w:p>
            <w:pPr>
              <w:jc w:val="right"/>
              <w:ind w:right="602"/>
              <w:spacing w:after="0"/>
              <w:rPr>
                <w:sz w:val="20"/>
                <w:szCs w:val="20"/>
                <w:color w:val="auto"/>
              </w:rPr>
            </w:pPr>
            <w:r>
              <w:rPr>
                <w:rFonts w:ascii="Arial" w:cs="Arial" w:eastAsia="Arial" w:hAnsi="Arial"/>
                <w:sz w:val="17"/>
                <w:szCs w:val="17"/>
                <w:color w:val="auto"/>
              </w:rPr>
              <w:t>55%</w:t>
            </w:r>
          </w:p>
        </w:tc>
        <w:tc>
          <w:tcPr>
            <w:tcW w:w="3720" w:type="dxa"/>
            <w:vAlign w:val="bottom"/>
            <w:shd w:val="clear" w:color="auto" w:fill="CCEEFF"/>
          </w:tcPr>
          <w:p>
            <w:pPr>
              <w:jc w:val="right"/>
              <w:ind w:right="1225"/>
              <w:spacing w:after="0"/>
              <w:rPr>
                <w:sz w:val="20"/>
                <w:szCs w:val="20"/>
                <w:color w:val="auto"/>
              </w:rPr>
            </w:pPr>
            <w:r>
              <w:rPr>
                <w:rFonts w:ascii="Arial" w:cs="Arial" w:eastAsia="Arial" w:hAnsi="Arial"/>
                <w:sz w:val="17"/>
                <w:szCs w:val="17"/>
                <w:color w:val="auto"/>
              </w:rPr>
              <w:t>40%</w:t>
            </w:r>
          </w:p>
        </w:tc>
      </w:tr>
      <w:tr>
        <w:trPr>
          <w:trHeight w:val="574"/>
        </w:trPr>
        <w:tc>
          <w:tcPr>
            <w:tcW w:w="54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822"/>
              <w:spacing w:after="0"/>
              <w:rPr>
                <w:sz w:val="20"/>
                <w:szCs w:val="20"/>
                <w:color w:val="auto"/>
              </w:rPr>
            </w:pPr>
            <w:r>
              <w:rPr>
                <w:rFonts w:ascii="Arial" w:cs="Arial" w:eastAsia="Arial" w:hAnsi="Arial"/>
                <w:sz w:val="17"/>
                <w:szCs w:val="17"/>
                <w:color w:val="auto"/>
              </w:rPr>
              <w:t>38</w:t>
            </w: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97" w:right="239" w:bottom="1440" w:gutter="0" w:footer="0" w:header="0"/>
        </w:sectPr>
      </w:pPr>
    </w:p>
    <w:bookmarkStart w:id="40" w:name="page41"/>
    <w:bookmarkEnd w:id="40"/>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77"/>
              <w:spacing w:after="0" w:line="157"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02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40" w:type="dxa"/>
            <w:vAlign w:val="bottom"/>
          </w:tcPr>
          <w:p>
            <w:pPr>
              <w:jc w:val="right"/>
              <w:ind w:right="357"/>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357"/>
              <w:spacing w:after="0" w:line="157"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6,322</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5,880</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442</w:t>
            </w:r>
          </w:p>
        </w:tc>
        <w:tc>
          <w:tcPr>
            <w:tcW w:w="1360" w:type="dxa"/>
            <w:vAlign w:val="bottom"/>
          </w:tcPr>
          <w:p>
            <w:pPr>
              <w:jc w:val="right"/>
              <w:spacing w:after="0"/>
              <w:rPr>
                <w:sz w:val="20"/>
                <w:szCs w:val="20"/>
                <w:color w:val="auto"/>
              </w:rPr>
            </w:pPr>
            <w:r>
              <w:rPr>
                <w:rFonts w:ascii="Arial" w:cs="Arial" w:eastAsia="Arial" w:hAnsi="Arial"/>
                <w:sz w:val="17"/>
                <w:szCs w:val="17"/>
                <w:color w:val="auto"/>
              </w:rPr>
              <w:t>7.5%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Contingent ceding commissions earned excluding</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the effect of catastrophes</w:t>
            </w:r>
          </w:p>
        </w:tc>
        <w:tc>
          <w:tcPr>
            <w:tcW w:w="38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(983)</w:t>
            </w:r>
          </w:p>
        </w:tc>
        <w:tc>
          <w:tcPr>
            <w:tcW w:w="3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7"/>
                <w:szCs w:val="17"/>
                <w:color w:val="auto"/>
              </w:rPr>
              <w:t>2,146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(3,129)</w:t>
            </w:r>
          </w:p>
        </w:tc>
        <w:tc>
          <w:tcPr>
            <w:tcW w:w="1360" w:type="dxa"/>
            <w:vAlign w:val="bottom"/>
          </w:tcPr>
          <w:p>
            <w:pPr>
              <w:jc w:val="right"/>
              <w:spacing w:after="0"/>
              <w:rPr>
                <w:sz w:val="20"/>
                <w:szCs w:val="20"/>
                <w:color w:val="auto"/>
              </w:rPr>
            </w:pPr>
            <w:r>
              <w:rPr>
                <w:rFonts w:ascii="Arial" w:cs="Arial" w:eastAsia="Arial" w:hAnsi="Arial"/>
                <w:sz w:val="17"/>
                <w:szCs w:val="17"/>
                <w:color w:val="auto"/>
              </w:rPr>
              <w:t>(145.8)%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Effect of catastrophes on ceding commissions earned</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(1,281)</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1,281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(983)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865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(1,848)</w:t>
            </w:r>
          </w:p>
        </w:tc>
        <w:tc>
          <w:tcPr>
            <w:tcW w:w="1360" w:type="dxa"/>
            <w:vAlign w:val="bottom"/>
          </w:tcPr>
          <w:p>
            <w:pPr>
              <w:jc w:val="right"/>
              <w:spacing w:after="0"/>
              <w:rPr>
                <w:sz w:val="20"/>
                <w:szCs w:val="20"/>
                <w:color w:val="auto"/>
              </w:rPr>
            </w:pPr>
            <w:r>
              <w:rPr>
                <w:rFonts w:ascii="Arial" w:cs="Arial" w:eastAsia="Arial" w:hAnsi="Arial"/>
                <w:sz w:val="17"/>
                <w:szCs w:val="17"/>
                <w:color w:val="auto"/>
              </w:rPr>
              <w:t>(213.6)%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5,339</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6,745</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w:t>
            </w:r>
          </w:p>
        </w:tc>
        <w:tc>
          <w:tcPr>
            <w:tcW w:w="1360" w:type="dxa"/>
            <w:vAlign w:val="bottom"/>
          </w:tcPr>
          <w:p>
            <w:pPr>
              <w:jc w:val="right"/>
              <w:spacing w:after="0"/>
              <w:rPr>
                <w:sz w:val="20"/>
                <w:szCs w:val="20"/>
                <w:color w:val="auto"/>
              </w:rPr>
            </w:pPr>
            <w:r>
              <w:rPr>
                <w:rFonts w:ascii="Arial" w:cs="Arial" w:eastAsia="Arial" w:hAnsi="Arial"/>
                <w:sz w:val="17"/>
                <w:szCs w:val="17"/>
                <w:color w:val="auto"/>
              </w:rPr>
              <w:t>(20.8)%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60" w:firstLine="628"/>
        <w:spacing w:after="0" w:line="281" w:lineRule="auto"/>
        <w:rPr>
          <w:sz w:val="20"/>
          <w:szCs w:val="20"/>
          <w:color w:val="auto"/>
        </w:rPr>
      </w:pPr>
      <w:r>
        <w:rPr>
          <w:rFonts w:ascii="Arial" w:cs="Arial" w:eastAsia="Arial" w:hAnsi="Arial"/>
          <w:sz w:val="17"/>
          <w:szCs w:val="17"/>
          <w:color w:val="auto"/>
        </w:rPr>
        <w:t>Ceding commission revenue was $5,339,000 in 2016 compared to $6,745,000 in 2015. The decrease of $1,406,000, or 20.8%, was due to a decrease in contingent ceding commissions earned, partially offset by an increase in provisional ceding commissions earned.</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223" w:lineRule="exact"/>
        <w:rPr>
          <w:sz w:val="20"/>
          <w:szCs w:val="20"/>
          <w:color w:val="auto"/>
        </w:rPr>
      </w:pPr>
    </w:p>
    <w:p>
      <w:pPr>
        <w:jc w:val="both"/>
        <w:ind w:right="60" w:firstLine="628"/>
        <w:spacing w:after="0" w:line="294" w:lineRule="auto"/>
        <w:rPr>
          <w:sz w:val="20"/>
          <w:szCs w:val="20"/>
          <w:color w:val="auto"/>
        </w:rPr>
      </w:pPr>
      <w:r>
        <w:rPr>
          <w:rFonts w:ascii="Arial" w:cs="Arial" w:eastAsia="Arial" w:hAnsi="Arial"/>
          <w:sz w:val="15"/>
          <w:szCs w:val="15"/>
          <w:color w:val="auto"/>
        </w:rPr>
        <w:t>We receive a provisional ceding commission based on ceded written premiums. Under the terms of the 2015/2016 Treaty, the provisional ceding commission rate increased to 55% from 40% under the 2014/2015 Treaty. The $442,000 increase in provisional ceding commissions earned is due to: (1) an increase in personal lines direct written premiums subject to the quota share and (2) an increase in the provisional ceding commission rates under the 2015/2016 Treaty, partially offset by</w:t>
      </w:r>
    </w:p>
    <w:p>
      <w:pPr>
        <w:ind w:right="60" w:firstLine="5"/>
        <w:spacing w:after="0" w:line="273" w:lineRule="auto"/>
        <w:tabs>
          <w:tab w:leader="none" w:pos="249"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decrease in the amount of premiums subject to provisional ceding commissions due to the reduction in quota share rates and (2) a decrease in the percentage of ceded premiums subject to quota share under the “net” 2015/2016 Treaty compared to the “gross” 2014/2015 Treaty.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223" w:lineRule="exact"/>
        <w:rPr>
          <w:sz w:val="20"/>
          <w:szCs w:val="20"/>
          <w:color w:val="auto"/>
        </w:rPr>
      </w:pPr>
    </w:p>
    <w:p>
      <w:pPr>
        <w:jc w:val="both"/>
        <w:ind w:right="60" w:firstLine="628"/>
        <w:spacing w:after="0" w:line="311" w:lineRule="auto"/>
        <w:rPr>
          <w:sz w:val="20"/>
          <w:szCs w:val="20"/>
          <w:color w:val="auto"/>
        </w:rPr>
      </w:pPr>
      <w:r>
        <w:rPr>
          <w:rFonts w:ascii="Arial" w:cs="Arial" w:eastAsia="Arial" w:hAnsi="Arial"/>
          <w:sz w:val="15"/>
          <w:szCs w:val="15"/>
          <w:color w:val="auto"/>
        </w:rPr>
        <w:t>As a result of the increase in the provisional ceding commission rate to 55% under the 2015/2016 Treaty from 40% under the 2014/2015 Treaty, we do not have an opportunity to earn as much contingent ceding commissions. Under the “net” treaty in effect as of July 1, 2015, catastrophe losses in excess of the first $4,000,000 will fall outside of the quota share treaty and such losses will not have an impact on contingent ceding commissions, as was the case under previous “gross” treaties. The new structure eliminates the adverse impact that catastrophe losses above $4,000,000 would have on contingent ceding commissions.</w:t>
      </w:r>
    </w:p>
    <w:p>
      <w:pPr>
        <w:spacing w:after="0" w:line="152"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treaty detailed in the table above that was in effect during 2016 are subject to change based on losses incurred from claims with accident dates beginning July 1, 2015. The amount of contingent ceding commissions we are eligible to receive under our prior years’ quota share treaties is subject to change based on losses incurred related to claims with accident dates before July 1, 2015 under those treaties.</w:t>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497" w:right="179" w:bottom="1440" w:gutter="0" w:footer="0" w:header="0"/>
        </w:sectPr>
      </w:pPr>
    </w:p>
    <w:bookmarkStart w:id="41" w:name="page42"/>
    <w:bookmarkEnd w:id="41"/>
    <w:p>
      <w:pPr>
        <w:jc w:val="both"/>
        <w:ind w:firstLine="628"/>
        <w:spacing w:after="0" w:line="261" w:lineRule="auto"/>
        <w:rPr>
          <w:sz w:val="20"/>
          <w:szCs w:val="20"/>
          <w:color w:val="auto"/>
        </w:rPr>
      </w:pPr>
      <w:r>
        <w:rPr>
          <w:rFonts w:ascii="Arial" w:cs="Arial" w:eastAsia="Arial" w:hAnsi="Arial"/>
          <w:sz w:val="17"/>
          <w:szCs w:val="17"/>
          <w:color w:val="auto"/>
        </w:rPr>
        <w:t>Our expired personal lines reinsurance quota share treaty covered the period from July 1, 2013 to June 30, 2015 (“2013/2015 Treaty”). The computation to arrive at contingent ceding commission revenue under the 2013/2015 Treaty included catastrophe losses and LAE incurred from severe winter weather during 2015 (see discussion of “Net Loss and LAE” below). Such losses increased our ceded loss ratio in our 2013/2015 Treaty, which reduced our contingent ceding commission revenue in accordance with the sliding scale discussed above in 2015 by $1,281,000. Catastrophe losses for 2016 have no impact on our contingent ceding commission revenue since the ultimate loss ratio used to determine these commissions was not affected by the 2016 severe winter weather. See “Reinsurance” below for changes to our personal lines quota share treaty effective July 1, 2016.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Investment Income</w:t>
      </w:r>
    </w:p>
    <w:p>
      <w:pPr>
        <w:spacing w:after="0" w:line="223"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Net investment income was $1,577,000 in 2016 compared to $1,200,000 in 2015. The increase of $377,000, or 31.4%, was due to an increase in average invested assets in 2016. The increase in cash and invested assets resulted primarily from increased operating cash flows for the period after June 30, 2015. The increase in operating cash flows is due in part from the reduction in quota share rates on July 1, 2015. The reduction in quota share rates results in a decline in ceded premiums, which leads to more cash flow and more invested funds. The pre-tax equivalent investment yield on estimated annual income, excluding cash, was 4.04% and 4.85% as of June 30, 2016 and 2015, respectively. The decrease in the pre-tax equivalent investment yield is due to a shift toward shorter duration investments, which inherently have a lower yield. A reduction in interest rates resulted in an increase to unrealized gains on our portfolio, which in turn reduced the pre-tax equivalent investment yield.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223"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Other income was $533,000 in 2016 compared to $1,024,000 in 2015. The decrease of $491,000, or 47.9%, was primarily due to: (1) the $350,000 we received in 2015 as early settlement of the termination agreement that generated placement fees in our premium finance business (see Note 11 to the Condensed Consolidated Financial Statements), and (2) $154,000 we earned in 2015 in connection with the settlement of a liability, partially offset by an increase in installment and finance fees earned in our insurance underwriting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$15,270,000 in 2016 compared to $11,834,000 in 2015. The net loss ratio was 51.7% in 2016 compared to 55.7% in 2015, a decrease of 4.0 percentage points.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2" w:name="page43"/>
    <w:bookmarkEnd w:id="42"/>
    <w:p>
      <w:pPr>
        <w:ind w:left="640"/>
        <w:spacing w:after="0"/>
        <w:rPr>
          <w:sz w:val="20"/>
          <w:szCs w:val="20"/>
          <w:color w:val="auto"/>
        </w:rPr>
      </w:pPr>
      <w:r>
        <w:rPr>
          <w:rFonts w:ascii="Arial" w:cs="Arial" w:eastAsia="Arial" w:hAnsi="Arial"/>
          <w:sz w:val="17"/>
          <w:szCs w:val="17"/>
          <w:color w:val="auto"/>
        </w:rPr>
        <w:t>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280035</wp:posOffset>
            </wp:positionV>
            <wp:extent cx="4634865" cy="4310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34865" cy="431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28"/>
        <w:spacing w:after="0" w:line="278" w:lineRule="auto"/>
        <w:rPr>
          <w:sz w:val="20"/>
          <w:szCs w:val="20"/>
          <w:color w:val="auto"/>
        </w:rPr>
      </w:pPr>
      <w:r>
        <w:rPr>
          <w:rFonts w:ascii="Arial" w:cs="Arial" w:eastAsia="Arial" w:hAnsi="Arial"/>
          <w:sz w:val="16"/>
          <w:szCs w:val="16"/>
          <w:color w:val="auto"/>
        </w:rPr>
        <w:t>During 2016, the net loss ratio decreased compared to 2015 due to a combination of several factors. First, there was a reduction in the impact of severe winter weather, defined as the losses incurred above those expected in an average winter. In 2016 we recorded 4.8 points of impact from severe winter weather, compared to 9.5 points in 2015, or a decrease of 4.7 points. In addition, we recorded 0.4 points of favorable prior year loss development in 2016 compared to 0.3 points of adverse (unfavorable) prior year development in 2015, or an improvement of 0.7 points year-over-year. These two items more than offset a small increase in the core loss ratio excluding the impact of severe winter weather and prior year development, which increased from 45.9% in 2015 to 47.3% in 2016. The increase in the core net loss ratio was driven by higher average claims severity for our personal lines business. This was caused by an increase in larger fire claims in the first quarter of 2016 compared to the first quarter of 2015. However, the adverse impact on 2016 from larger fire claims has moderated in the second quarter. Year-to-date claim frequency for personal lines has showed continued improvement in 2016 compared to the same timeframe for 2015. See table below under “Additional Financial Information” summarizing net loss ratios by line of business.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Commercial Auto Line of Business</w:t>
      </w:r>
    </w:p>
    <w:p>
      <w:pPr>
        <w:spacing w:after="0" w:line="223"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June 30, 2016, we had no commercial auto policies in force, compared to 390 policies in force as of June 30, 2015.</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3" w:name="page44"/>
    <w:bookmarkEnd w:id="43"/>
    <w:p>
      <w:pPr>
        <w:jc w:val="both"/>
        <w:ind w:firstLine="628"/>
        <w:spacing w:after="0" w:line="281" w:lineRule="auto"/>
        <w:rPr>
          <w:sz w:val="20"/>
          <w:szCs w:val="20"/>
          <w:color w:val="auto"/>
        </w:rPr>
      </w:pPr>
      <w:r>
        <w:rPr>
          <w:rFonts w:ascii="Arial" w:cs="Arial" w:eastAsia="Arial" w:hAnsi="Arial"/>
          <w:sz w:val="17"/>
          <w:szCs w:val="17"/>
          <w:color w:val="auto"/>
        </w:rPr>
        <w:t>The decision to exit this line of business has significantly reduced the adverse impact that associated commercial auto liability claims will have on our overall results. The following table displays the impact that this decision has had on our loss and LAE reserves over time: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Commercial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1"/>
              </w:rPr>
              <w:t>Auto as 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840" w:type="dxa"/>
            <w:vAlign w:val="bottom"/>
            <w:gridSpan w:val="2"/>
          </w:tcPr>
          <w:p>
            <w:pPr>
              <w:ind w:left="1620"/>
              <w:spacing w:after="0" w:line="157" w:lineRule="exact"/>
              <w:rPr>
                <w:sz w:val="20"/>
                <w:szCs w:val="20"/>
                <w:color w:val="auto"/>
              </w:rPr>
            </w:pPr>
            <w:r>
              <w:rPr>
                <w:rFonts w:ascii="Arial" w:cs="Arial" w:eastAsia="Arial" w:hAnsi="Arial"/>
                <w:sz w:val="14"/>
                <w:szCs w:val="14"/>
                <w:b w:val="1"/>
                <w:bCs w:val="1"/>
                <w:color w:val="auto"/>
              </w:rPr>
              <w:t>Commercial Auto</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20" w:type="dxa"/>
            <w:vAlign w:val="bottom"/>
          </w:tcPr>
          <w:p>
            <w:pPr>
              <w:jc w:val="right"/>
              <w:ind w:right="159"/>
              <w:spacing w:after="0" w:line="157" w:lineRule="exact"/>
              <w:rPr>
                <w:sz w:val="20"/>
                <w:szCs w:val="20"/>
                <w:color w:val="auto"/>
              </w:rPr>
            </w:pPr>
            <w:r>
              <w:rPr>
                <w:rFonts w:ascii="Arial" w:cs="Arial" w:eastAsia="Arial" w:hAnsi="Arial"/>
                <w:sz w:val="14"/>
                <w:szCs w:val="14"/>
                <w:b w:val="1"/>
                <w:bCs w:val="1"/>
                <w:color w:val="auto"/>
                <w:w w:val="92"/>
              </w:rPr>
              <w:t>Loss and LAE</w:t>
            </w:r>
          </w:p>
        </w:tc>
        <w:tc>
          <w:tcPr>
            <w:tcW w:w="240" w:type="dxa"/>
            <w:vAlign w:val="bottom"/>
          </w:tcPr>
          <w:p>
            <w:pPr>
              <w:spacing w:after="0"/>
              <w:rPr>
                <w:sz w:val="13"/>
                <w:szCs w:val="13"/>
                <w:color w:val="auto"/>
              </w:rPr>
            </w:pPr>
          </w:p>
        </w:tc>
        <w:tc>
          <w:tcPr>
            <w:tcW w:w="1180" w:type="dxa"/>
            <w:vAlign w:val="bottom"/>
          </w:tcPr>
          <w:p>
            <w:pPr>
              <w:jc w:val="right"/>
              <w:ind w:right="199"/>
              <w:spacing w:after="0" w:line="157" w:lineRule="exact"/>
              <w:rPr>
                <w:sz w:val="20"/>
                <w:szCs w:val="20"/>
                <w:color w:val="auto"/>
              </w:rPr>
            </w:pPr>
            <w:r>
              <w:rPr>
                <w:rFonts w:ascii="Arial" w:cs="Arial" w:eastAsia="Arial" w:hAnsi="Arial"/>
                <w:sz w:val="14"/>
                <w:szCs w:val="14"/>
                <w:b w:val="1"/>
                <w:bCs w:val="1"/>
                <w:color w:val="auto"/>
                <w:w w:val="89"/>
              </w:rPr>
              <w:t>Total Loss and</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1"/>
              </w:rPr>
              <w:t>Total Loss and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jc w:val="center"/>
              <w:ind w:left="1377"/>
              <w:spacing w:after="0"/>
              <w:rPr>
                <w:sz w:val="20"/>
                <w:szCs w:val="20"/>
                <w:color w:val="auto"/>
              </w:rPr>
            </w:pPr>
            <w:r>
              <w:rPr>
                <w:rFonts w:ascii="Arial" w:cs="Arial" w:eastAsia="Arial" w:hAnsi="Arial"/>
                <w:sz w:val="14"/>
                <w:szCs w:val="14"/>
                <w:b w:val="1"/>
                <w:bCs w:val="1"/>
                <w:color w:val="auto"/>
                <w:w w:val="91"/>
              </w:rPr>
              <w:t>As of</w:t>
            </w:r>
          </w:p>
        </w:tc>
        <w:tc>
          <w:tcPr>
            <w:tcW w:w="1720" w:type="dxa"/>
            <w:vAlign w:val="bottom"/>
          </w:tcPr>
          <w:p>
            <w:pPr>
              <w:spacing w:after="0"/>
              <w:rPr>
                <w:sz w:val="15"/>
                <w:szCs w:val="15"/>
                <w:color w:val="auto"/>
              </w:rPr>
            </w:pPr>
          </w:p>
        </w:tc>
        <w:tc>
          <w:tcPr>
            <w:tcW w:w="1120" w:type="dxa"/>
            <w:vAlign w:val="bottom"/>
          </w:tcPr>
          <w:p>
            <w:pPr>
              <w:jc w:val="right"/>
              <w:ind w:right="319"/>
              <w:spacing w:after="0"/>
              <w:rPr>
                <w:sz w:val="20"/>
                <w:szCs w:val="20"/>
                <w:color w:val="auto"/>
              </w:rPr>
            </w:pPr>
            <w:r>
              <w:rPr>
                <w:rFonts w:ascii="Arial" w:cs="Arial" w:eastAsia="Arial" w:hAnsi="Arial"/>
                <w:sz w:val="14"/>
                <w:szCs w:val="14"/>
                <w:b w:val="1"/>
                <w:bCs w:val="1"/>
                <w:color w:val="auto"/>
              </w:rPr>
              <w:t>Reserves</w:t>
            </w:r>
          </w:p>
        </w:tc>
        <w:tc>
          <w:tcPr>
            <w:tcW w:w="240" w:type="dxa"/>
            <w:vAlign w:val="bottom"/>
          </w:tcPr>
          <w:p>
            <w:pPr>
              <w:spacing w:after="0"/>
              <w:rPr>
                <w:sz w:val="15"/>
                <w:szCs w:val="15"/>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w w:val="93"/>
              </w:rPr>
              <w:t>LAE Reserves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LAE Reserves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auto"/>
            </w:tcBorders>
          </w:tcPr>
          <w:p>
            <w:pPr>
              <w:jc w:val="center"/>
              <w:ind w:left="1377"/>
              <w:spacing w:after="0"/>
              <w:rPr>
                <w:sz w:val="20"/>
                <w:szCs w:val="20"/>
                <w:color w:val="auto"/>
              </w:rPr>
            </w:pPr>
            <w:r>
              <w:rPr>
                <w:rFonts w:ascii="Arial" w:cs="Arial" w:eastAsia="Arial" w:hAnsi="Arial"/>
                <w:sz w:val="17"/>
                <w:szCs w:val="17"/>
                <w:color w:val="auto"/>
                <w:w w:val="88"/>
              </w:rPr>
              <w:t>($ in thousands)</w:t>
            </w:r>
          </w:p>
        </w:tc>
        <w:tc>
          <w:tcPr>
            <w:tcW w:w="17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2013</w:t>
            </w:r>
          </w:p>
        </w:tc>
        <w:tc>
          <w:tcPr>
            <w:tcW w:w="1720" w:type="dxa"/>
            <w:vAlign w:val="bottom"/>
            <w:shd w:val="clear" w:color="auto" w:fill="CCEEFF"/>
          </w:tcPr>
          <w:p>
            <w:pPr>
              <w:ind w:left="162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9,185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34,503</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December 31, 2014</w:t>
            </w:r>
          </w:p>
        </w:tc>
        <w:tc>
          <w:tcPr>
            <w:tcW w:w="1720" w:type="dxa"/>
            <w:vAlign w:val="bottom"/>
          </w:tcPr>
          <w:p>
            <w:pPr>
              <w:ind w:left="162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8,126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39,613</w:t>
            </w:r>
          </w:p>
        </w:tc>
        <w:tc>
          <w:tcPr>
            <w:tcW w:w="1320" w:type="dxa"/>
            <w:vAlign w:val="bottom"/>
          </w:tcPr>
          <w:p>
            <w:pPr>
              <w:jc w:val="right"/>
              <w:spacing w:after="0"/>
              <w:rPr>
                <w:sz w:val="20"/>
                <w:szCs w:val="20"/>
                <w:color w:val="auto"/>
              </w:rPr>
            </w:pPr>
            <w:r>
              <w:rPr>
                <w:rFonts w:ascii="Arial" w:cs="Arial" w:eastAsia="Arial" w:hAnsi="Arial"/>
                <w:sz w:val="17"/>
                <w:szCs w:val="17"/>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1720" w:type="dxa"/>
            <w:vAlign w:val="bottom"/>
            <w:shd w:val="clear" w:color="auto" w:fill="CCEEFF"/>
          </w:tcPr>
          <w:p>
            <w:pPr>
              <w:ind w:left="162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4,971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39,877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June 30, 2016</w:t>
            </w:r>
          </w:p>
        </w:tc>
        <w:tc>
          <w:tcPr>
            <w:tcW w:w="1720" w:type="dxa"/>
            <w:vAlign w:val="bottom"/>
          </w:tcPr>
          <w:p>
            <w:pPr>
              <w:ind w:left="162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2,955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44,335</w:t>
            </w:r>
          </w:p>
        </w:tc>
        <w:tc>
          <w:tcPr>
            <w:tcW w:w="1320" w:type="dxa"/>
            <w:vAlign w:val="bottom"/>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Commercial auto liability loss and LAE reserves account for a rapidly decreasing percentage of our total loss and LAE reserves, and as of June 30, 2016 comprise 6.7% of our total loss and LAE reserves. This line of business was historically subject to a high level of uncertainty and volatility in claim emergence and loss development. The exit from this line therefore significantly decreases the uncertainty surrounding our overall reserve levels and reduces the associated volatility in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23"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Commission expense was $8,796,000 in 2016 or 18.9 % of direct earned premiums. Commission expense was $7,012,000 in 2015 or 18.0% of direct earned premiums. The increase of $1,784,000 is due to the increase in direct written premiums in 2016 as compared to 2015 and an increase in bonus commissions as a result of the decrease in net loss ratio in 2016 as compared to 2015. The increase in the percentage of commission expense to direct earned premiums to 18.9% in 2016 from 18.0% in 2015 is due the additional bonus commission described above and a change in the mix of business to lines of business with higher commission rates.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223" w:lineRule="exact"/>
        <w:rPr>
          <w:sz w:val="20"/>
          <w:szCs w:val="20"/>
          <w:color w:val="auto"/>
        </w:rPr>
      </w:pPr>
    </w:p>
    <w:p>
      <w:pPr>
        <w:jc w:val="both"/>
        <w:ind w:firstLine="628"/>
        <w:spacing w:after="0" w:line="298" w:lineRule="auto"/>
        <w:rPr>
          <w:sz w:val="20"/>
          <w:szCs w:val="20"/>
          <w:color w:val="auto"/>
        </w:rPr>
      </w:pPr>
      <w:r>
        <w:rPr>
          <w:rFonts w:ascii="Arial" w:cs="Arial" w:eastAsia="Arial" w:hAnsi="Arial"/>
          <w:sz w:val="15"/>
          <w:szCs w:val="15"/>
          <w:color w:val="auto"/>
        </w:rPr>
        <w:t>Other underwriting expenses were $6,943,000 in 2016 compared to $5,961,000 in 2015. The increase of $982,000, or 16.5%, in other underwriting expenses was primarily due to expenses directly and indirectly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$3,234,000 in 2016 compared to $2,678,000 in 2015. The increase of $556,000, or 20.8%, was due to hiring of additional staff to service our current level of business and anticipated growth in volume. We have also hired staff to begin the process of developing business in the states in which we recently obtained licensing. In addition, there were annual rate increases in both salaries and the cost of employee benefits. Other underwriting expenses as a percentage of direct written premiums increased to 14.1% in 2016 from 14.0% in 2015. Other underwriting expenses as a percentage of direct earned premiums decreased to 14.9% in 2016 from 15.3% in 2015. Salaries and employment costs, which account for 46.6% of other underwriting expenses in 2016, and 44.9% of other underwriting expenses in 2015, were 6.9% of direct earned premiums in both 2016 and 2015.</w:t>
      </w:r>
    </w:p>
    <w:p>
      <w:pPr>
        <w:spacing w:after="0" w:line="165"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net underwriting expense ratio in 2016 was 33.4% compared with 27.2% in 2015. The following table shows the individual components of our net underwriting expense ratio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6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91"/>
              </w:rPr>
              <w:t>Six months ended</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6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380" w:type="dxa"/>
            <w:vAlign w:val="bottom"/>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517"/>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6"/>
                <w:szCs w:val="16"/>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Point Change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Ceding commission revenue - provisional</w:t>
            </w:r>
          </w:p>
        </w:tc>
        <w:tc>
          <w:tcPr>
            <w:tcW w:w="1380" w:type="dxa"/>
            <w:vAlign w:val="bottom"/>
          </w:tcPr>
          <w:p>
            <w:pPr>
              <w:jc w:val="right"/>
              <w:ind w:right="239"/>
              <w:spacing w:after="0"/>
              <w:rPr>
                <w:sz w:val="20"/>
                <w:szCs w:val="20"/>
                <w:color w:val="auto"/>
              </w:rPr>
            </w:pPr>
            <w:r>
              <w:rPr>
                <w:rFonts w:ascii="Arial" w:cs="Arial" w:eastAsia="Arial" w:hAnsi="Arial"/>
                <w:sz w:val="17"/>
                <w:szCs w:val="17"/>
                <w:color w:val="auto"/>
              </w:rPr>
              <w:t>(21.4)%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237"/>
              <w:spacing w:after="0"/>
              <w:rPr>
                <w:sz w:val="20"/>
                <w:szCs w:val="20"/>
                <w:color w:val="auto"/>
              </w:rPr>
            </w:pPr>
            <w:r>
              <w:rPr>
                <w:rFonts w:ascii="Arial" w:cs="Arial" w:eastAsia="Arial" w:hAnsi="Arial"/>
                <w:sz w:val="17"/>
                <w:szCs w:val="17"/>
                <w:color w:val="auto"/>
                <w:w w:val="97"/>
              </w:rPr>
              <w:t>(27.7)%</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Ceding commission revenue - contingent</w:t>
            </w:r>
          </w:p>
        </w:tc>
        <w:tc>
          <w:tcPr>
            <w:tcW w:w="138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(4.1)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Other income</w:t>
            </w:r>
          </w:p>
        </w:tc>
        <w:tc>
          <w:tcPr>
            <w:tcW w:w="1380" w:type="dxa"/>
            <w:vAlign w:val="bottom"/>
          </w:tcPr>
          <w:p>
            <w:pPr>
              <w:jc w:val="right"/>
              <w:ind w:right="379"/>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77"/>
              <w:spacing w:after="0"/>
              <w:rPr>
                <w:sz w:val="20"/>
                <w:szCs w:val="20"/>
                <w:color w:val="auto"/>
              </w:rPr>
            </w:pPr>
            <w:r>
              <w:rPr>
                <w:rFonts w:ascii="Arial" w:cs="Arial" w:eastAsia="Arial" w:hAnsi="Arial"/>
                <w:sz w:val="17"/>
                <w:szCs w:val="17"/>
                <w:color w:val="auto"/>
              </w:rPr>
              <w:t>(2.1)</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Acquistion costs and other underwriting expenses: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1380" w:type="dxa"/>
            <w:vAlign w:val="bottom"/>
          </w:tcPr>
          <w:p>
            <w:pPr>
              <w:jc w:val="right"/>
              <w:ind w:right="379"/>
              <w:spacing w:after="0"/>
              <w:rPr>
                <w:sz w:val="20"/>
                <w:szCs w:val="20"/>
                <w:color w:val="auto"/>
              </w:rPr>
            </w:pPr>
            <w:r>
              <w:rPr>
                <w:rFonts w:ascii="Arial" w:cs="Arial" w:eastAsia="Arial" w:hAnsi="Arial"/>
                <w:sz w:val="17"/>
                <w:szCs w:val="17"/>
                <w:color w:val="auto"/>
              </w:rPr>
              <w:t>29.8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77"/>
              <w:spacing w:after="0"/>
              <w:rPr>
                <w:sz w:val="20"/>
                <w:szCs w:val="20"/>
                <w:color w:val="auto"/>
              </w:rPr>
            </w:pPr>
            <w:r>
              <w:rPr>
                <w:rFonts w:ascii="Arial" w:cs="Arial" w:eastAsia="Arial" w:hAnsi="Arial"/>
                <w:sz w:val="17"/>
                <w:szCs w:val="17"/>
                <w:color w:val="auto"/>
              </w:rPr>
              <w:t>33.1</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13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7"/>
                <w:szCs w:val="17"/>
                <w:color w:val="auto"/>
              </w:rPr>
              <w:t>23.5</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color w:val="auto"/>
              </w:rPr>
              <w:t>28.0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gridSpan w:val="2"/>
          </w:tcPr>
          <w:p>
            <w:pPr>
              <w:spacing w:after="0" w:line="189" w:lineRule="exact"/>
              <w:rPr>
                <w:sz w:val="20"/>
                <w:szCs w:val="20"/>
                <w:color w:val="auto"/>
              </w:rPr>
            </w:pPr>
            <w:r>
              <w:rPr>
                <w:rFonts w:ascii="Arial" w:cs="Arial" w:eastAsia="Arial" w:hAnsi="Arial"/>
                <w:sz w:val="17"/>
                <w:szCs w:val="17"/>
                <w:color w:val="auto"/>
              </w:rPr>
              <w:t>Net underwriting expense ratio</w:t>
            </w:r>
          </w:p>
        </w:tc>
        <w:tc>
          <w:tcPr>
            <w:tcW w:w="1380" w:type="dxa"/>
            <w:vAlign w:val="bottom"/>
            <w:tcBorders>
              <w:bottom w:val="single" w:sz="8" w:color="auto"/>
            </w:tcBorders>
          </w:tcPr>
          <w:p>
            <w:pPr>
              <w:jc w:val="right"/>
              <w:ind w:right="239"/>
              <w:spacing w:after="0" w:line="189" w:lineRule="exact"/>
              <w:rPr>
                <w:sz w:val="20"/>
                <w:szCs w:val="20"/>
                <w:color w:val="auto"/>
              </w:rPr>
            </w:pPr>
            <w:r>
              <w:rPr>
                <w:rFonts w:ascii="Arial" w:cs="Arial" w:eastAsia="Arial" w:hAnsi="Arial"/>
                <w:sz w:val="17"/>
                <w:szCs w:val="17"/>
                <w:color w:val="auto"/>
              </w:rPr>
              <w:t>33.4%</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7"/>
              <w:spacing w:after="0" w:line="189" w:lineRule="exact"/>
              <w:rPr>
                <w:sz w:val="20"/>
                <w:szCs w:val="20"/>
                <w:color w:val="auto"/>
              </w:rPr>
            </w:pPr>
            <w:r>
              <w:rPr>
                <w:rFonts w:ascii="Arial" w:cs="Arial" w:eastAsia="Arial" w:hAnsi="Arial"/>
                <w:sz w:val="17"/>
                <w:szCs w:val="17"/>
                <w:color w:val="auto"/>
              </w:rPr>
              <w:t>27.2%</w:t>
            </w:r>
          </w:p>
        </w:tc>
        <w:tc>
          <w:tcPr>
            <w:tcW w:w="160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807"/>
        <w:spacing w:after="0" w:line="269" w:lineRule="auto"/>
        <w:rPr>
          <w:sz w:val="20"/>
          <w:szCs w:val="20"/>
          <w:color w:val="auto"/>
        </w:rPr>
      </w:pPr>
      <w:r>
        <w:rPr>
          <w:rFonts w:ascii="Arial" w:cs="Arial" w:eastAsia="Arial" w:hAnsi="Arial"/>
          <w:sz w:val="17"/>
          <w:szCs w:val="17"/>
          <w:color w:val="auto"/>
        </w:rPr>
        <w:t>The increase of 6.2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2015.</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operating expenses, related to the expenses of our holding company, were $762,000 in 2016 compared to $706,000 in 2015. The increase in 2016 of $56,000, or 7.9%, was primarily due to an increase in executive bonus compensation.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Depreciation and Amortization</w:t>
      </w:r>
    </w:p>
    <w:p>
      <w:pPr>
        <w:spacing w:after="0" w:line="223"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Depreciation and amortization was $573,000 in 2016 compared to $482,000 in 2015. The increase of $91,000, or 18.9%, in depreciation and amortization was primarily due to depreciation on newly purchased assets used to upgrade our systems infrastructure and the Kingston, New York home office building from which we operate.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223"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Income tax expense in 2016 was $1,629,000, which resulted in an effective tax rate of 32.5%. Income tax expense in 2015 was $1,398,000, which resulted in an effective tax rate of 33.6%. Income before taxes was $5,012,000 in 2016 compared to $4,160,000 in 2015. The decrease in the effective tax rate by 1.1 percentage points in 2016 is a result of the increase in benefits from various permanent differences.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223"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Net income was $3,383,000 in 2016 compared to $2,762,000 in 2015. The increase in net income of $621,000, or 22.5%, was due to the circumstances described above that caused the increase in our net premiums earned, net investment income, and a decrease in our net loss ratio, partially offset by a decrease in ceding commission revenue, other income, and increases in other underwriting expenses related to premium growth and other operating expenses.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June 30, 2016 Compared to Three Months Ended June 30, 2015</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w w:val="96"/>
              </w:rPr>
              <w:t>Three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75"/>
              <w:spacing w:after="0" w:line="157"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060" w:type="dxa"/>
            <w:vAlign w:val="bottom"/>
          </w:tcPr>
          <w:p>
            <w:pPr>
              <w:jc w:val="right"/>
              <w:ind w:right="496"/>
              <w:spacing w:after="0" w:line="157"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40" w:type="dxa"/>
            <w:vAlign w:val="bottom"/>
          </w:tcPr>
          <w:p>
            <w:pPr>
              <w:jc w:val="right"/>
              <w:ind w:right="355"/>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355"/>
              <w:spacing w:after="0" w:line="157"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Direct written premiums</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26,161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23,166</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2,995</w:t>
            </w:r>
          </w:p>
        </w:tc>
        <w:tc>
          <w:tcPr>
            <w:tcW w:w="1360" w:type="dxa"/>
            <w:vAlign w:val="bottom"/>
          </w:tcPr>
          <w:p>
            <w:pPr>
              <w:jc w:val="right"/>
              <w:spacing w:after="0"/>
              <w:rPr>
                <w:sz w:val="20"/>
                <w:szCs w:val="20"/>
                <w:color w:val="auto"/>
              </w:rPr>
            </w:pPr>
            <w:r>
              <w:rPr>
                <w:rFonts w:ascii="Arial" w:cs="Arial" w:eastAsia="Arial" w:hAnsi="Arial"/>
                <w:sz w:val="17"/>
                <w:szCs w:val="17"/>
                <w:color w:val="auto"/>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Assumed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14</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26,172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23,180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2,992</w:t>
            </w:r>
          </w:p>
        </w:tc>
        <w:tc>
          <w:tcPr>
            <w:tcW w:w="1360" w:type="dxa"/>
            <w:vAlign w:val="bottom"/>
          </w:tcPr>
          <w:p>
            <w:pPr>
              <w:jc w:val="right"/>
              <w:spacing w:after="0"/>
              <w:rPr>
                <w:sz w:val="20"/>
                <w:szCs w:val="20"/>
                <w:color w:val="auto"/>
              </w:rPr>
            </w:pPr>
            <w:r>
              <w:rPr>
                <w:rFonts w:ascii="Arial" w:cs="Arial" w:eastAsia="Arial" w:hAnsi="Arial"/>
                <w:sz w:val="17"/>
                <w:szCs w:val="17"/>
                <w:color w:val="auto"/>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Ceded written premiums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 to quota share treaties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6,558</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8,684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(2,126)</w:t>
            </w:r>
          </w:p>
        </w:tc>
        <w:tc>
          <w:tcPr>
            <w:tcW w:w="1360" w:type="dxa"/>
            <w:vAlign w:val="bottom"/>
          </w:tcPr>
          <w:p>
            <w:pPr>
              <w:jc w:val="right"/>
              <w:spacing w:after="0"/>
              <w:rPr>
                <w:sz w:val="20"/>
                <w:szCs w:val="20"/>
                <w:color w:val="auto"/>
              </w:rPr>
            </w:pPr>
            <w:r>
              <w:rPr>
                <w:rFonts w:ascii="Arial" w:cs="Arial" w:eastAsia="Arial" w:hAnsi="Arial"/>
                <w:sz w:val="17"/>
                <w:szCs w:val="17"/>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Ceded to excess of loss treaties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330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270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 to catastrophe treaties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2,331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1,094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1,237</w:t>
            </w:r>
          </w:p>
        </w:tc>
        <w:tc>
          <w:tcPr>
            <w:tcW w:w="1360" w:type="dxa"/>
            <w:vAlign w:val="bottom"/>
          </w:tcPr>
          <w:p>
            <w:pPr>
              <w:jc w:val="right"/>
              <w:spacing w:after="0"/>
              <w:rPr>
                <w:sz w:val="20"/>
                <w:szCs w:val="20"/>
                <w:color w:val="auto"/>
              </w:rPr>
            </w:pPr>
            <w:r>
              <w:rPr>
                <w:rFonts w:ascii="Arial" w:cs="Arial" w:eastAsia="Arial" w:hAnsi="Arial"/>
                <w:sz w:val="17"/>
                <w:szCs w:val="17"/>
                <w:color w:val="auto"/>
              </w:rPr>
              <w:t>113.1%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ceded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9,219</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10,048</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written premiums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16,953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13,132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3,821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Change in net unearned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(1,942)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(2,266)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324</w:t>
            </w:r>
          </w:p>
        </w:tc>
        <w:tc>
          <w:tcPr>
            <w:tcW w:w="1360" w:type="dxa"/>
            <w:vAlign w:val="bottom"/>
          </w:tcPr>
          <w:p>
            <w:pPr>
              <w:jc w:val="right"/>
              <w:spacing w:after="0"/>
              <w:rPr>
                <w:sz w:val="20"/>
                <w:szCs w:val="20"/>
                <w:color w:val="auto"/>
              </w:rPr>
            </w:pPr>
            <w:r>
              <w:rPr>
                <w:rFonts w:ascii="Arial" w:cs="Arial" w:eastAsia="Arial" w:hAnsi="Arial"/>
                <w:sz w:val="17"/>
                <w:szCs w:val="17"/>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15,011</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10,866</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4,145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Ceding commission revenue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Excluding the effect of catastrophes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2,569</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3,821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(1,252)</w:t>
            </w:r>
          </w:p>
        </w:tc>
        <w:tc>
          <w:tcPr>
            <w:tcW w:w="1360" w:type="dxa"/>
            <w:vAlign w:val="bottom"/>
          </w:tcPr>
          <w:p>
            <w:pPr>
              <w:jc w:val="right"/>
              <w:spacing w:after="0"/>
              <w:rPr>
                <w:sz w:val="20"/>
                <w:szCs w:val="20"/>
                <w:color w:val="auto"/>
              </w:rPr>
            </w:pPr>
            <w:r>
              <w:rPr>
                <w:rFonts w:ascii="Arial" w:cs="Arial" w:eastAsia="Arial" w:hAnsi="Arial"/>
                <w:sz w:val="17"/>
                <w:szCs w:val="17"/>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Effect of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(166)</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166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2,569</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3,655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(1,086)</w:t>
            </w:r>
          </w:p>
        </w:tc>
        <w:tc>
          <w:tcPr>
            <w:tcW w:w="1360" w:type="dxa"/>
            <w:vAlign w:val="bottom"/>
          </w:tcPr>
          <w:p>
            <w:pPr>
              <w:jc w:val="right"/>
              <w:spacing w:after="0"/>
              <w:rPr>
                <w:sz w:val="20"/>
                <w:szCs w:val="20"/>
                <w:color w:val="auto"/>
              </w:rPr>
            </w:pPr>
            <w:r>
              <w:rPr>
                <w:rFonts w:ascii="Arial" w:cs="Arial" w:eastAsia="Arial" w:hAnsi="Arial"/>
                <w:sz w:val="17"/>
                <w:szCs w:val="17"/>
                <w:color w:val="auto"/>
              </w:rPr>
              <w:t>(29.7)%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764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626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realized gain (loss) on investments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283</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281</w:t>
            </w:r>
          </w:p>
        </w:tc>
        <w:tc>
          <w:tcPr>
            <w:tcW w:w="1360" w:type="dxa"/>
            <w:vAlign w:val="bottom"/>
          </w:tcPr>
          <w:p>
            <w:pPr>
              <w:jc w:val="right"/>
              <w:spacing w:after="0"/>
              <w:rPr>
                <w:sz w:val="20"/>
                <w:szCs w:val="20"/>
                <w:color w:val="auto"/>
              </w:rPr>
            </w:pPr>
            <w:r>
              <w:rPr>
                <w:rFonts w:ascii="Arial" w:cs="Arial" w:eastAsia="Arial" w:hAnsi="Arial"/>
                <w:sz w:val="17"/>
                <w:szCs w:val="17"/>
                <w:color w:val="auto"/>
              </w:rPr>
              <w:t>14,050.0%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285</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393</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18,912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15,542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3,370</w:t>
            </w:r>
          </w:p>
        </w:tc>
        <w:tc>
          <w:tcPr>
            <w:tcW w:w="1360" w:type="dxa"/>
            <w:vAlign w:val="bottom"/>
          </w:tcPr>
          <w:p>
            <w:pPr>
              <w:jc w:val="right"/>
              <w:spacing w:after="0"/>
              <w:rPr>
                <w:sz w:val="20"/>
                <w:szCs w:val="20"/>
                <w:color w:val="auto"/>
              </w:rPr>
            </w:pPr>
            <w:r>
              <w:rPr>
                <w:rFonts w:ascii="Arial" w:cs="Arial" w:eastAsia="Arial" w:hAnsi="Arial"/>
                <w:sz w:val="17"/>
                <w:szCs w:val="17"/>
                <w:color w:val="auto"/>
              </w:rPr>
              <w:t>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Direct and assumed:</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8,577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8,051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526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387</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w:t>
            </w:r>
          </w:p>
        </w:tc>
        <w:tc>
          <w:tcPr>
            <w:tcW w:w="1360" w:type="dxa"/>
            <w:vAlign w:val="bottom"/>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direct and assumed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8,577</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8,438</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Ceded loss and loss adjustment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2,790</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3,454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(664)</w:t>
            </w:r>
          </w:p>
        </w:tc>
        <w:tc>
          <w:tcPr>
            <w:tcW w:w="1360" w:type="dxa"/>
            <w:vAlign w:val="bottom"/>
          </w:tcPr>
          <w:p>
            <w:pPr>
              <w:jc w:val="right"/>
              <w:spacing w:after="0"/>
              <w:rPr>
                <w:sz w:val="20"/>
                <w:szCs w:val="20"/>
                <w:color w:val="auto"/>
              </w:rPr>
            </w:pPr>
            <w:r>
              <w:rPr>
                <w:rFonts w:ascii="Arial" w:cs="Arial" w:eastAsia="Arial" w:hAnsi="Arial"/>
                <w:sz w:val="17"/>
                <w:szCs w:val="17"/>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213</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ceded loss and loss adjustment expenses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2,790</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3,667</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w:t>
            </w:r>
          </w:p>
        </w:tc>
        <w:tc>
          <w:tcPr>
            <w:tcW w:w="1360" w:type="dxa"/>
            <w:vAlign w:val="bottom"/>
          </w:tcPr>
          <w:p>
            <w:pPr>
              <w:jc w:val="right"/>
              <w:spacing w:after="0"/>
              <w:rPr>
                <w:sz w:val="20"/>
                <w:szCs w:val="20"/>
                <w:color w:val="auto"/>
              </w:rPr>
            </w:pPr>
            <w:r>
              <w:rPr>
                <w:rFonts w:ascii="Arial" w:cs="Arial" w:eastAsia="Arial" w:hAnsi="Arial"/>
                <w:sz w:val="17"/>
                <w:szCs w:val="17"/>
                <w:color w:val="auto"/>
              </w:rPr>
              <w:t>(23.9)%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5,787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4,597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1,190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174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360" w:type="dxa"/>
            <w:vAlign w:val="bottom"/>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5,787</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4,771</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Commission expense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4,526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3,600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926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Other underwriting expenses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3,596</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2,962</w:t>
            </w:r>
          </w:p>
        </w:tc>
        <w:tc>
          <w:tcPr>
            <w:tcW w:w="3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634</w:t>
            </w:r>
          </w:p>
        </w:tc>
        <w:tc>
          <w:tcPr>
            <w:tcW w:w="1360" w:type="dxa"/>
            <w:vAlign w:val="bottom"/>
          </w:tcPr>
          <w:p>
            <w:pPr>
              <w:jc w:val="right"/>
              <w:spacing w:after="0"/>
              <w:rPr>
                <w:sz w:val="20"/>
                <w:szCs w:val="20"/>
                <w:color w:val="auto"/>
              </w:rPr>
            </w:pPr>
            <w:r>
              <w:rPr>
                <w:rFonts w:ascii="Arial" w:cs="Arial" w:eastAsia="Arial" w:hAnsi="Arial"/>
                <w:sz w:val="17"/>
                <w:szCs w:val="17"/>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operating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433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378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289</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246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43</w:t>
            </w:r>
          </w:p>
        </w:tc>
        <w:tc>
          <w:tcPr>
            <w:tcW w:w="1360" w:type="dxa"/>
            <w:vAlign w:val="bottom"/>
          </w:tcPr>
          <w:p>
            <w:pPr>
              <w:jc w:val="right"/>
              <w:spacing w:after="0"/>
              <w:rPr>
                <w:sz w:val="20"/>
                <w:szCs w:val="20"/>
                <w:color w:val="auto"/>
              </w:rPr>
            </w:pPr>
            <w:r>
              <w:rPr>
                <w:rFonts w:ascii="Arial" w:cs="Arial" w:eastAsia="Arial" w:hAnsi="Arial"/>
                <w:sz w:val="17"/>
                <w:szCs w:val="17"/>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14,631</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11,957</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2,674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from operations before taxes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4,281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3,585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696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Provision for income tax</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1,439</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1,206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233</w:t>
            </w:r>
          </w:p>
        </w:tc>
        <w:tc>
          <w:tcPr>
            <w:tcW w:w="1360" w:type="dxa"/>
            <w:vAlign w:val="bottom"/>
          </w:tcPr>
          <w:p>
            <w:pPr>
              <w:jc w:val="right"/>
              <w:spacing w:after="0"/>
              <w:rPr>
                <w:sz w:val="20"/>
                <w:szCs w:val="20"/>
                <w:color w:val="auto"/>
              </w:rPr>
            </w:pPr>
            <w:r>
              <w:rPr>
                <w:rFonts w:ascii="Arial" w:cs="Arial" w:eastAsia="Arial" w:hAnsi="Arial"/>
                <w:sz w:val="17"/>
                <w:szCs w:val="17"/>
                <w:color w:val="auto"/>
              </w:rPr>
              <w:t>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2,842</w:t>
            </w: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2,379</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463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60" w:firstLine="5"/>
        <w:spacing w:after="0" w:line="311" w:lineRule="auto"/>
        <w:tabs>
          <w:tab w:leader="none" w:pos="2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 the three months ended June 30, 2015,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492" w:right="1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jc w:val="right"/>
              <w:ind w:right="80"/>
              <w:spacing w:after="0" w:line="144" w:lineRule="exact"/>
              <w:rPr>
                <w:sz w:val="20"/>
                <w:szCs w:val="20"/>
                <w:color w:val="auto"/>
              </w:rPr>
            </w:pPr>
            <w:r>
              <w:rPr>
                <w:rFonts w:ascii="Arial" w:cs="Arial" w:eastAsia="Arial" w:hAnsi="Arial"/>
                <w:sz w:val="14"/>
                <w:szCs w:val="14"/>
                <w:b w:val="1"/>
                <w:bCs w:val="1"/>
                <w:color w:val="auto"/>
                <w:w w:val="96"/>
              </w:rPr>
              <w:t>Percentage Point</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5"/>
                <w:szCs w:val="15"/>
                <w:color w:val="auto"/>
              </w:rPr>
            </w:pPr>
          </w:p>
        </w:tc>
        <w:tc>
          <w:tcPr>
            <w:tcW w:w="1240" w:type="dxa"/>
            <w:vAlign w:val="bottom"/>
          </w:tcPr>
          <w:p>
            <w:pPr>
              <w:jc w:val="right"/>
              <w:ind w:right="560"/>
              <w:spacing w:after="0"/>
              <w:rPr>
                <w:sz w:val="20"/>
                <w:szCs w:val="20"/>
                <w:color w:val="auto"/>
              </w:rPr>
            </w:pPr>
            <w:r>
              <w:rPr>
                <w:rFonts w:ascii="Arial" w:cs="Arial" w:eastAsia="Arial" w:hAnsi="Arial"/>
                <w:sz w:val="14"/>
                <w:szCs w:val="14"/>
                <w:b w:val="1"/>
                <w:bCs w:val="1"/>
                <w:color w:val="auto"/>
              </w:rPr>
              <w:t>2015</w:t>
            </w:r>
          </w:p>
        </w:tc>
        <w:tc>
          <w:tcPr>
            <w:tcW w:w="128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7"/>
                <w:szCs w:val="17"/>
                <w:b w:val="1"/>
                <w:bCs w:val="1"/>
                <w:color w:val="auto"/>
              </w:rPr>
              <w:t>Key ratios:</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loss ratio</w:t>
            </w: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99"/>
              </w:rPr>
              <w:t>38.6%</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99"/>
              </w:rPr>
              <w:t>35.1%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10.5</w:t>
            </w:r>
          </w:p>
        </w:tc>
        <w:tc>
          <w:tcPr>
            <w:tcW w:w="1360" w:type="dxa"/>
            <w:vAlign w:val="bottom"/>
          </w:tcPr>
          <w:p>
            <w:pPr>
              <w:jc w:val="right"/>
              <w:spacing w:after="0"/>
              <w:rPr>
                <w:sz w:val="20"/>
                <w:szCs w:val="20"/>
                <w:color w:val="auto"/>
              </w:rPr>
            </w:pPr>
            <w:r>
              <w:rPr>
                <w:rFonts w:ascii="Arial" w:cs="Arial" w:eastAsia="Arial" w:hAnsi="Arial"/>
                <w:sz w:val="17"/>
                <w:szCs w:val="17"/>
                <w:color w:val="auto"/>
              </w:rPr>
              <w:t>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combined ratio</w:t>
            </w:r>
          </w:p>
        </w:tc>
        <w:tc>
          <w:tcPr>
            <w:tcW w:w="8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99"/>
              </w:rPr>
              <w:t>73.7%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223"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Direct written premiums during the three months ended June 30, 2016 (“Q2-2016”) were $26,161,000 compared to $23,166,000 during the three months ended June 30, 2015 (“Q2-2015”). The increase of $2,995,000, or 12.9%, was primarily due to an increase in policies in-force during Q2-2016 as compared to Q2-2015. We wrote more new policies as a result of continued demand for our products in the markets that we serve. Policies in-force increased by 16.4% as of June 30, 2016 compared to June 30, 2015.</w:t>
      </w:r>
    </w:p>
    <w:p>
      <w:pPr>
        <w:spacing w:after="0" w:line="183"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Our growth rate in direct written premiums was dampened somewhat due to the: (1) slowing of growth in our livery physical damage line of business, and (2) suspension, effective October 1, 2014, of the writing of new policies in our commercial auto line of business due to a history of poor underwriting results. In February 2015, we made the decision to no longer offer renewals on our existing commercial auto policies beginning with those that expired on or after May 1, 2015. Our direct written premiums in our continuing lines of business grew by 13.1% in Q2-2016 compared to Q2-2015. Policies-in-force in our continuing lines of business increased by 17.3% as of June 30, 2016 compared to June 30, 2015.</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223" w:lineRule="exact"/>
        <w:rPr>
          <w:sz w:val="20"/>
          <w:szCs w:val="20"/>
          <w:color w:val="auto"/>
        </w:rPr>
      </w:pPr>
    </w:p>
    <w:p>
      <w:pPr>
        <w:jc w:val="both"/>
        <w:ind w:right="60" w:firstLine="628"/>
        <w:spacing w:after="0" w:line="293" w:lineRule="auto"/>
        <w:rPr>
          <w:sz w:val="20"/>
          <w:szCs w:val="20"/>
          <w:color w:val="auto"/>
        </w:rPr>
      </w:pPr>
      <w:r>
        <w:rPr>
          <w:rFonts w:ascii="Arial" w:cs="Arial" w:eastAsia="Arial" w:hAnsi="Arial"/>
          <w:sz w:val="16"/>
          <w:szCs w:val="16"/>
          <w:color w:val="auto"/>
        </w:rPr>
        <w:t>The following table details the quota share reinsurance ceding rates in effect during Q2-2016 and Q2-2015. For purposes of the discussion herein, the change in quota share ceding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760" w:type="dxa"/>
            <w:vAlign w:val="bottom"/>
          </w:tcPr>
          <w:p>
            <w:pPr>
              <w:jc w:val="center"/>
              <w:ind w:right="2145"/>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jc w:val="center"/>
              <w:ind w:right="216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2016</w:t>
            </w:r>
          </w:p>
        </w:tc>
        <w:tc>
          <w:tcPr>
            <w:tcW w:w="3760" w:type="dxa"/>
            <w:vAlign w:val="bottom"/>
            <w:tcBorders>
              <w:bottom w:val="single" w:sz="8" w:color="auto"/>
            </w:tcBorders>
          </w:tcPr>
          <w:p>
            <w:pPr>
              <w:jc w:val="right"/>
              <w:ind w:right="122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40" w:type="dxa"/>
            <w:vAlign w:val="bottom"/>
          </w:tcPr>
          <w:p>
            <w:pPr>
              <w:ind w:left="780"/>
              <w:spacing w:after="0"/>
              <w:rPr>
                <w:sz w:val="20"/>
                <w:szCs w:val="20"/>
                <w:color w:val="auto"/>
              </w:rPr>
            </w:pPr>
            <w:r>
              <w:rPr>
                <w:rFonts w:ascii="Arial" w:cs="Arial" w:eastAsia="Arial" w:hAnsi="Arial"/>
                <w:sz w:val="14"/>
                <w:szCs w:val="14"/>
                <w:b w:val="1"/>
                <w:bCs w:val="1"/>
                <w:color w:val="auto"/>
              </w:rPr>
              <w:t>("2015/2016 Treaty")</w:t>
            </w:r>
          </w:p>
        </w:tc>
        <w:tc>
          <w:tcPr>
            <w:tcW w:w="3760" w:type="dxa"/>
            <w:vAlign w:val="bottom"/>
          </w:tcPr>
          <w:p>
            <w:pPr>
              <w:ind w:left="1660"/>
              <w:spacing w:after="0"/>
              <w:rPr>
                <w:sz w:val="20"/>
                <w:szCs w:val="20"/>
                <w:color w:val="auto"/>
              </w:rPr>
            </w:pPr>
            <w:r>
              <w:rPr>
                <w:rFonts w:ascii="Arial" w:cs="Arial" w:eastAsia="Arial" w:hAnsi="Arial"/>
                <w:sz w:val="14"/>
                <w:szCs w:val="14"/>
                <w:b w:val="1"/>
                <w:bCs w:val="1"/>
                <w:color w:val="auto"/>
              </w:rPr>
              <w:t>("2014/2015 Treaty")</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b w:val="1"/>
                <w:bCs w:val="1"/>
                <w:color w:val="auto"/>
              </w:rPr>
              <w:t>Quota share reinsurance rates</w:t>
            </w:r>
          </w:p>
        </w:tc>
        <w:tc>
          <w:tcPr>
            <w:tcW w:w="2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Personal lines</w:t>
            </w:r>
          </w:p>
        </w:tc>
        <w:tc>
          <w:tcPr>
            <w:tcW w:w="2240" w:type="dxa"/>
            <w:vAlign w:val="bottom"/>
            <w:shd w:val="clear" w:color="auto" w:fill="CCEEFF"/>
          </w:tcPr>
          <w:p>
            <w:pPr>
              <w:jc w:val="right"/>
              <w:ind w:right="564"/>
              <w:spacing w:after="0"/>
              <w:rPr>
                <w:sz w:val="20"/>
                <w:szCs w:val="20"/>
                <w:color w:val="auto"/>
              </w:rPr>
            </w:pPr>
            <w:r>
              <w:rPr>
                <w:rFonts w:ascii="Arial" w:cs="Arial" w:eastAsia="Arial" w:hAnsi="Arial"/>
                <w:sz w:val="17"/>
                <w:szCs w:val="17"/>
                <w:color w:val="auto"/>
              </w:rPr>
              <w:t>40%</w:t>
            </w:r>
          </w:p>
        </w:tc>
        <w:tc>
          <w:tcPr>
            <w:tcW w:w="3760" w:type="dxa"/>
            <w:vAlign w:val="bottom"/>
            <w:shd w:val="clear" w:color="auto" w:fill="CCEEFF"/>
          </w:tcPr>
          <w:p>
            <w:pPr>
              <w:jc w:val="right"/>
              <w:ind w:right="1225"/>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“Reinsurance” below for changes to our personal lines quota share treaty effective July 1, 2016.</w:t>
      </w:r>
    </w:p>
    <w:p>
      <w:pPr>
        <w:spacing w:after="0" w:line="223"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Net written premiums increased $3,821,000, or 29.1%, to $16,953,000 in Q2-2016 from $13,132,000 in Q2-2015.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754" w:right="179" w:bottom="1440" w:gutter="0" w:footer="0" w:header="0"/>
        </w:sectPr>
      </w:pPr>
    </w:p>
    <w:bookmarkStart w:id="47" w:name="page48"/>
    <w:bookmarkEnd w:id="47"/>
    <w:p>
      <w:pPr>
        <w:jc w:val="both"/>
        <w:ind w:firstLine="628"/>
        <w:spacing w:after="0" w:line="286" w:lineRule="auto"/>
        <w:rPr>
          <w:sz w:val="20"/>
          <w:szCs w:val="20"/>
          <w:color w:val="auto"/>
        </w:rPr>
      </w:pPr>
      <w:r>
        <w:rPr>
          <w:rFonts w:ascii="Arial" w:cs="Arial" w:eastAsia="Arial" w:hAnsi="Arial"/>
          <w:sz w:val="16"/>
          <w:szCs w:val="16"/>
          <w:color w:val="auto"/>
        </w:rPr>
        <w:t>Effective July 1, 2015, we decreased the quota share ceding rate in our personal lines quota share treaty from 55% to 40%. The Cut-off of this treaty on July 1, 2015 resulted in a $5,866,000 return of unearned premiums from our reinsurers that were previously ceded under the expiring personal lines quota share treaty. The 2015/2016 Treaty is on a “net” of catastrophe reinsurance basis, as opposed to the “gross” arrangement that existed in prior years. Under a “net” arrangement, all catastrophe reinsurance coverage is now purchased directly by us, which increases our ceded premium for that component.</w:t>
      </w:r>
    </w:p>
    <w:p>
      <w:pPr>
        <w:spacing w:after="0" w:line="169"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paid based on all of our direct written premiums subject to the quota share, compared to catastrophe premiums being paid only on the amount of written premiums that we retained under the expired “gross” basis. As a result of the increase in our personal lines business and the change to a “net” basis for our personal lines quota share treaty, ceded catastrophe premiums increased by $1,237,000, or 113.1%, to $2,331,000 in Q2-2016 from $1,094,000 in Q2-2015.</w:t>
      </w:r>
    </w:p>
    <w:p>
      <w:pPr>
        <w:spacing w:after="0" w:line="186"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An increase in written premiums will also increase the premiums ceded under our excess of loss treaties, which incrementally reduces our net written premiums. In Q2-2016, our ceded excess of loss reinsurance premiums increased by $60,000 over the ceded premiums for Q2-2015.</w:t>
      </w:r>
    </w:p>
    <w:p>
      <w:pPr>
        <w:spacing w:after="0" w:line="170" w:lineRule="exact"/>
        <w:rPr>
          <w:sz w:val="20"/>
          <w:szCs w:val="20"/>
          <w:color w:val="auto"/>
        </w:rPr>
      </w:pPr>
    </w:p>
    <w:p>
      <w:pPr>
        <w:jc w:val="both"/>
        <w:ind w:firstLine="628"/>
        <w:spacing w:after="0" w:line="283" w:lineRule="auto"/>
        <w:rPr>
          <w:sz w:val="20"/>
          <w:szCs w:val="20"/>
          <w:color w:val="auto"/>
        </w:rPr>
      </w:pPr>
      <w:r>
        <w:rPr>
          <w:rFonts w:ascii="Arial" w:cs="Arial" w:eastAsia="Arial" w:hAnsi="Arial"/>
          <w:sz w:val="16"/>
          <w:szCs w:val="16"/>
          <w:color w:val="auto"/>
        </w:rPr>
        <w:t>Net premiums earned increased $4,145,000, or 38.1%, to $15,011,000 in Q2-2016 from $10,866,000 in Q2-2015. The increase was primarily due to us retaining more earned premiums as result of the reduction of the quota share percentage in our personal lines quota share treaty. The decreases in our quota share ceding percentages from the July 1, 2015 and 2014 Cut-offs gave us a return of premiums previously ceded, which increases our net premiums earned during the twelve month periods after the Cut-offs. In addition, as premiums written earn ratably over a twelve month period, net premiums earned in Q2-2016 increased due to the higher net written premiums generated for the twelve months ended June 30, 2016 compared to the twelve months ended June 30, 2015.</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Q2-2016 and Q2-2015. This table should be referred to in conjunction with the discussion for ceding commission revenue that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760" w:type="dxa"/>
            <w:vAlign w:val="bottom"/>
          </w:tcPr>
          <w:p>
            <w:pPr>
              <w:jc w:val="center"/>
              <w:ind w:right="2145"/>
              <w:spacing w:after="0"/>
              <w:rPr>
                <w:sz w:val="20"/>
                <w:szCs w:val="20"/>
                <w:color w:val="auto"/>
              </w:rPr>
            </w:pPr>
            <w:r>
              <w:rPr>
                <w:rFonts w:ascii="Arial" w:cs="Arial" w:eastAsia="Arial" w:hAnsi="Arial"/>
                <w:sz w:val="14"/>
                <w:szCs w:val="14"/>
                <w:b w:val="1"/>
                <w:bCs w:val="1"/>
                <w:color w:val="auto"/>
                <w:w w:val="91"/>
              </w:rPr>
              <w:t>Three months ended</w:t>
            </w:r>
          </w:p>
        </w:tc>
      </w:tr>
      <w:tr>
        <w:trPr>
          <w:trHeight w:val="177"/>
        </w:trPr>
        <w:tc>
          <w:tcPr>
            <w:tcW w:w="542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jc w:val="center"/>
              <w:ind w:right="2165"/>
              <w:spacing w:after="0"/>
              <w:rPr>
                <w:sz w:val="20"/>
                <w:szCs w:val="20"/>
                <w:color w:val="auto"/>
              </w:rPr>
            </w:pPr>
            <w:r>
              <w:rPr>
                <w:rFonts w:ascii="Arial" w:cs="Arial" w:eastAsia="Arial" w:hAnsi="Arial"/>
                <w:sz w:val="14"/>
                <w:szCs w:val="14"/>
                <w:b w:val="1"/>
                <w:bCs w:val="1"/>
                <w:color w:val="auto"/>
                <w:w w:val="92"/>
              </w:rPr>
              <w:t>June 30, 2016</w:t>
            </w:r>
          </w:p>
        </w:tc>
      </w:tr>
      <w:tr>
        <w:trPr>
          <w:trHeight w:val="189"/>
        </w:trPr>
        <w:tc>
          <w:tcPr>
            <w:tcW w:w="5420" w:type="dxa"/>
            <w:vAlign w:val="bottom"/>
          </w:tcPr>
          <w:p>
            <w:pPr>
              <w:spacing w:after="0"/>
              <w:rPr>
                <w:sz w:val="16"/>
                <w:szCs w:val="16"/>
                <w:color w:val="auto"/>
              </w:rPr>
            </w:pPr>
          </w:p>
        </w:tc>
        <w:tc>
          <w:tcPr>
            <w:tcW w:w="2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3760" w:type="dxa"/>
            <w:vAlign w:val="bottom"/>
            <w:tcBorders>
              <w:bottom w:val="single" w:sz="8" w:color="auto"/>
            </w:tcBorders>
          </w:tcPr>
          <w:p>
            <w:pPr>
              <w:jc w:val="right"/>
              <w:ind w:right="1225"/>
              <w:spacing w:after="0"/>
              <w:rPr>
                <w:sz w:val="20"/>
                <w:szCs w:val="20"/>
                <w:color w:val="auto"/>
              </w:rPr>
            </w:pPr>
            <w:r>
              <w:rPr>
                <w:rFonts w:ascii="Arial" w:cs="Arial" w:eastAsia="Arial" w:hAnsi="Arial"/>
                <w:sz w:val="14"/>
                <w:szCs w:val="14"/>
                <w:b w:val="1"/>
                <w:bCs w:val="1"/>
                <w:color w:val="auto"/>
              </w:rPr>
              <w:t>2015</w:t>
            </w:r>
          </w:p>
        </w:tc>
      </w:tr>
      <w:tr>
        <w:trPr>
          <w:trHeight w:val="209"/>
        </w:trPr>
        <w:tc>
          <w:tcPr>
            <w:tcW w:w="5420" w:type="dxa"/>
            <w:vAlign w:val="bottom"/>
          </w:tcPr>
          <w:p>
            <w:pPr>
              <w:spacing w:after="0"/>
              <w:rPr>
                <w:sz w:val="18"/>
                <w:szCs w:val="18"/>
                <w:color w:val="auto"/>
              </w:rPr>
            </w:pPr>
          </w:p>
        </w:tc>
        <w:tc>
          <w:tcPr>
            <w:tcW w:w="2240" w:type="dxa"/>
            <w:vAlign w:val="bottom"/>
          </w:tcPr>
          <w:p>
            <w:pPr>
              <w:jc w:val="right"/>
              <w:ind w:right="62"/>
              <w:spacing w:after="0"/>
              <w:rPr>
                <w:sz w:val="20"/>
                <w:szCs w:val="20"/>
                <w:color w:val="auto"/>
              </w:rPr>
            </w:pPr>
            <w:r>
              <w:rPr>
                <w:rFonts w:ascii="Arial" w:cs="Arial" w:eastAsia="Arial" w:hAnsi="Arial"/>
                <w:sz w:val="14"/>
                <w:szCs w:val="14"/>
                <w:b w:val="1"/>
                <w:bCs w:val="1"/>
                <w:color w:val="auto"/>
              </w:rPr>
              <w:t>("2015/2016 Treaty")</w:t>
            </w:r>
          </w:p>
        </w:tc>
        <w:tc>
          <w:tcPr>
            <w:tcW w:w="3760" w:type="dxa"/>
            <w:vAlign w:val="bottom"/>
          </w:tcPr>
          <w:p>
            <w:pPr>
              <w:ind w:left="1660"/>
              <w:spacing w:after="0"/>
              <w:rPr>
                <w:sz w:val="20"/>
                <w:szCs w:val="20"/>
                <w:color w:val="auto"/>
              </w:rPr>
            </w:pPr>
            <w:r>
              <w:rPr>
                <w:rFonts w:ascii="Arial" w:cs="Arial" w:eastAsia="Arial" w:hAnsi="Arial"/>
                <w:sz w:val="14"/>
                <w:szCs w:val="14"/>
                <w:b w:val="1"/>
                <w:bCs w:val="1"/>
                <w:color w:val="auto"/>
              </w:rPr>
              <w:t>("2014/2015 Treaty")</w:t>
            </w:r>
          </w:p>
        </w:tc>
      </w:tr>
      <w:tr>
        <w:trPr>
          <w:trHeight w:val="209"/>
        </w:trPr>
        <w:tc>
          <w:tcPr>
            <w:tcW w:w="54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r>
      <w:tr>
        <w:trPr>
          <w:trHeight w:val="209"/>
        </w:trPr>
        <w:tc>
          <w:tcPr>
            <w:tcW w:w="5420" w:type="dxa"/>
            <w:vAlign w:val="bottom"/>
          </w:tcPr>
          <w:p>
            <w:pPr>
              <w:ind w:left="4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22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09"/>
        </w:trPr>
        <w:tc>
          <w:tcPr>
            <w:tcW w:w="5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Personal lines</w:t>
            </w:r>
          </w:p>
        </w:tc>
        <w:tc>
          <w:tcPr>
            <w:tcW w:w="2240" w:type="dxa"/>
            <w:vAlign w:val="bottom"/>
            <w:shd w:val="clear" w:color="auto" w:fill="CCEEFF"/>
          </w:tcPr>
          <w:p>
            <w:pPr>
              <w:jc w:val="right"/>
              <w:ind w:right="562"/>
              <w:spacing w:after="0"/>
              <w:rPr>
                <w:sz w:val="20"/>
                <w:szCs w:val="20"/>
                <w:color w:val="auto"/>
              </w:rPr>
            </w:pPr>
            <w:r>
              <w:rPr>
                <w:rFonts w:ascii="Arial" w:cs="Arial" w:eastAsia="Arial" w:hAnsi="Arial"/>
                <w:sz w:val="17"/>
                <w:szCs w:val="17"/>
                <w:color w:val="auto"/>
              </w:rPr>
              <w:t>55%</w:t>
            </w:r>
          </w:p>
        </w:tc>
        <w:tc>
          <w:tcPr>
            <w:tcW w:w="3760" w:type="dxa"/>
            <w:vAlign w:val="bottom"/>
            <w:shd w:val="clear" w:color="auto" w:fill="CCEEFF"/>
          </w:tcPr>
          <w:p>
            <w:pPr>
              <w:jc w:val="right"/>
              <w:ind w:right="1225"/>
              <w:spacing w:after="0"/>
              <w:rPr>
                <w:sz w:val="20"/>
                <w:szCs w:val="20"/>
                <w:color w:val="auto"/>
              </w:rPr>
            </w:pPr>
            <w:r>
              <w:rPr>
                <w:rFonts w:ascii="Arial" w:cs="Arial" w:eastAsia="Arial" w:hAnsi="Arial"/>
                <w:sz w:val="17"/>
                <w:szCs w:val="17"/>
                <w:color w:val="auto"/>
              </w:rPr>
              <w:t>40%</w:t>
            </w:r>
          </w:p>
        </w:tc>
      </w:tr>
      <w:tr>
        <w:trPr>
          <w:trHeight w:val="574"/>
        </w:trPr>
        <w:tc>
          <w:tcPr>
            <w:tcW w:w="5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782"/>
              <w:spacing w:after="0"/>
              <w:rPr>
                <w:sz w:val="20"/>
                <w:szCs w:val="20"/>
                <w:color w:val="auto"/>
              </w:rPr>
            </w:pPr>
            <w:r>
              <w:rPr>
                <w:rFonts w:ascii="Arial" w:cs="Arial" w:eastAsia="Arial" w:hAnsi="Arial"/>
                <w:sz w:val="17"/>
                <w:szCs w:val="17"/>
                <w:color w:val="auto"/>
              </w:rPr>
              <w:t>46</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97" w:right="239" w:bottom="1440" w:gutter="0" w:footer="0" w:header="0"/>
        </w:sectPr>
      </w:pPr>
    </w:p>
    <w:bookmarkStart w:id="48" w:name="page49"/>
    <w:bookmarkEnd w:id="48"/>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w w:val="96"/>
              </w:rPr>
              <w:t>Three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77"/>
              <w:spacing w:after="0" w:line="157"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060" w:type="dxa"/>
            <w:vAlign w:val="bottom"/>
          </w:tcPr>
          <w:p>
            <w:pPr>
              <w:jc w:val="right"/>
              <w:ind w:right="499"/>
              <w:spacing w:after="0" w:line="157"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40" w:type="dxa"/>
            <w:vAlign w:val="bottom"/>
          </w:tcPr>
          <w:p>
            <w:pPr>
              <w:jc w:val="right"/>
              <w:ind w:right="357"/>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357"/>
              <w:spacing w:after="0" w:line="157"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3,223</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2,965</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258</w:t>
            </w:r>
          </w:p>
        </w:tc>
        <w:tc>
          <w:tcPr>
            <w:tcW w:w="1360" w:type="dxa"/>
            <w:vAlign w:val="bottom"/>
          </w:tcPr>
          <w:p>
            <w:pPr>
              <w:jc w:val="right"/>
              <w:spacing w:after="0"/>
              <w:rPr>
                <w:sz w:val="20"/>
                <w:szCs w:val="20"/>
                <w:color w:val="auto"/>
              </w:rPr>
            </w:pPr>
            <w:r>
              <w:rPr>
                <w:rFonts w:ascii="Arial" w:cs="Arial" w:eastAsia="Arial" w:hAnsi="Arial"/>
                <w:sz w:val="17"/>
                <w:szCs w:val="17"/>
                <w:color w:val="auto"/>
              </w:rPr>
              <w:t>8.7%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Contingent ceding commissions earned excluding</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the effect of catastrophes</w:t>
            </w:r>
          </w:p>
        </w:tc>
        <w:tc>
          <w:tcPr>
            <w:tcW w:w="38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(654)</w:t>
            </w:r>
          </w:p>
        </w:tc>
        <w:tc>
          <w:tcPr>
            <w:tcW w:w="32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7"/>
                <w:szCs w:val="17"/>
                <w:color w:val="auto"/>
              </w:rPr>
              <w:t>856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(1,510)</w:t>
            </w:r>
          </w:p>
        </w:tc>
        <w:tc>
          <w:tcPr>
            <w:tcW w:w="1360" w:type="dxa"/>
            <w:vAlign w:val="bottom"/>
          </w:tcPr>
          <w:p>
            <w:pPr>
              <w:jc w:val="right"/>
              <w:spacing w:after="0"/>
              <w:rPr>
                <w:sz w:val="20"/>
                <w:szCs w:val="20"/>
                <w:color w:val="auto"/>
              </w:rPr>
            </w:pPr>
            <w:r>
              <w:rPr>
                <w:rFonts w:ascii="Arial" w:cs="Arial" w:eastAsia="Arial" w:hAnsi="Arial"/>
                <w:sz w:val="17"/>
                <w:szCs w:val="17"/>
                <w:color w:val="auto"/>
              </w:rPr>
              <w:t>(176.4)%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catastrophes on ceding commissions earned</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(166)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(654)</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690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(1,344)</w:t>
            </w:r>
          </w:p>
        </w:tc>
        <w:tc>
          <w:tcPr>
            <w:tcW w:w="1360" w:type="dxa"/>
            <w:vAlign w:val="bottom"/>
          </w:tcPr>
          <w:p>
            <w:pPr>
              <w:jc w:val="right"/>
              <w:spacing w:after="0"/>
              <w:rPr>
                <w:sz w:val="20"/>
                <w:szCs w:val="20"/>
                <w:color w:val="auto"/>
              </w:rPr>
            </w:pPr>
            <w:r>
              <w:rPr>
                <w:rFonts w:ascii="Arial" w:cs="Arial" w:eastAsia="Arial" w:hAnsi="Arial"/>
                <w:sz w:val="17"/>
                <w:szCs w:val="17"/>
                <w:color w:val="auto"/>
              </w:rPr>
              <w:t>(194.8)%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2,569</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3,655</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w:t>
            </w:r>
          </w:p>
        </w:tc>
        <w:tc>
          <w:tcPr>
            <w:tcW w:w="1360" w:type="dxa"/>
            <w:vAlign w:val="bottom"/>
          </w:tcPr>
          <w:p>
            <w:pPr>
              <w:jc w:val="right"/>
              <w:spacing w:after="0"/>
              <w:rPr>
                <w:sz w:val="20"/>
                <w:szCs w:val="20"/>
                <w:color w:val="auto"/>
              </w:rPr>
            </w:pPr>
            <w:r>
              <w:rPr>
                <w:rFonts w:ascii="Arial" w:cs="Arial" w:eastAsia="Arial" w:hAnsi="Arial"/>
                <w:sz w:val="17"/>
                <w:szCs w:val="17"/>
                <w:color w:val="auto"/>
              </w:rPr>
              <w:t>(29.7)%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-464185</wp:posOffset>
            </wp:positionV>
            <wp:extent cx="261620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16200" cy="16510"/>
                    </a:xfrm>
                    <a:prstGeom prst="rect">
                      <a:avLst/>
                    </a:prstGeom>
                    <a:noFill/>
                  </pic:spPr>
                </pic:pic>
              </a:graphicData>
            </a:graphic>
          </wp:anchor>
        </w:drawing>
      </w:r>
    </w:p>
    <w:p>
      <w:pPr>
        <w:spacing w:after="0" w:line="181" w:lineRule="exact"/>
        <w:rPr>
          <w:sz w:val="20"/>
          <w:szCs w:val="20"/>
          <w:color w:val="auto"/>
        </w:rPr>
      </w:pPr>
    </w:p>
    <w:p>
      <w:pPr>
        <w:jc w:val="both"/>
        <w:ind w:right="60" w:firstLine="628"/>
        <w:spacing w:after="0" w:line="281" w:lineRule="auto"/>
        <w:rPr>
          <w:sz w:val="20"/>
          <w:szCs w:val="20"/>
          <w:color w:val="auto"/>
        </w:rPr>
      </w:pPr>
      <w:r>
        <w:rPr>
          <w:rFonts w:ascii="Arial" w:cs="Arial" w:eastAsia="Arial" w:hAnsi="Arial"/>
          <w:sz w:val="17"/>
          <w:szCs w:val="17"/>
          <w:color w:val="auto"/>
        </w:rPr>
        <w:t>Ceding commission revenue was $2,569,000 in Q2-2016 compared to $3,655,000 in Q2-2015. The decrease of $1,086,000, or 29.7%, was due to a decrease in contingent ceding commissions earned, partially offset by an increase in provisional ceding commissions earned.</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223" w:lineRule="exact"/>
        <w:rPr>
          <w:sz w:val="20"/>
          <w:szCs w:val="20"/>
          <w:color w:val="auto"/>
        </w:rPr>
      </w:pPr>
    </w:p>
    <w:p>
      <w:pPr>
        <w:jc w:val="both"/>
        <w:ind w:right="60" w:firstLine="628"/>
        <w:spacing w:after="0" w:line="294" w:lineRule="auto"/>
        <w:rPr>
          <w:sz w:val="20"/>
          <w:szCs w:val="20"/>
          <w:color w:val="auto"/>
        </w:rPr>
      </w:pPr>
      <w:r>
        <w:rPr>
          <w:rFonts w:ascii="Arial" w:cs="Arial" w:eastAsia="Arial" w:hAnsi="Arial"/>
          <w:sz w:val="15"/>
          <w:szCs w:val="15"/>
          <w:color w:val="auto"/>
        </w:rPr>
        <w:t>We receive a provisional ceding commission based on ceded written premiums. Under the terms of the 2015/2016 Treaty, the provisional ceding commission rate increased to 55% from 40% under the 2014/2015 Treaty. The $258,000 increase in provisional ceding commissions earned is due to: (1) an increase in personal lines direct written premiums subject to the quota share and (2) an increase in the provisional ceding commission rates under the 2015/2016 Treaty, partially offset by</w:t>
      </w:r>
    </w:p>
    <w:p>
      <w:pPr>
        <w:ind w:right="60" w:firstLine="5"/>
        <w:spacing w:after="0" w:line="273" w:lineRule="auto"/>
        <w:tabs>
          <w:tab w:leader="none" w:pos="2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in the amount of premiums subject to provisional ceding commissions due to the reduction in quota share rates and (2) a decrease in the percentage of ceded premiums subject to quota share under the “net” 2015/2016 Treaty compared to the “gross” 2014/2015 Treaty.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223" w:lineRule="exact"/>
        <w:rPr>
          <w:sz w:val="20"/>
          <w:szCs w:val="20"/>
          <w:color w:val="auto"/>
        </w:rPr>
      </w:pPr>
    </w:p>
    <w:p>
      <w:pPr>
        <w:jc w:val="both"/>
        <w:ind w:right="60" w:firstLine="628"/>
        <w:spacing w:after="0" w:line="311" w:lineRule="auto"/>
        <w:rPr>
          <w:sz w:val="20"/>
          <w:szCs w:val="20"/>
          <w:color w:val="auto"/>
        </w:rPr>
      </w:pPr>
      <w:r>
        <w:rPr>
          <w:rFonts w:ascii="Arial" w:cs="Arial" w:eastAsia="Arial" w:hAnsi="Arial"/>
          <w:sz w:val="15"/>
          <w:szCs w:val="15"/>
          <w:color w:val="auto"/>
        </w:rPr>
        <w:t>As a result of the increase in the provisional ceding commission rate to 55% under the 2015/2016 Treaty from 40% under the 2014/2015 Treaty, we do not have an opportunity to earn as much contingent ceding commissions. Under the “net” treaty in effect as of July 1, 2015, catastrophe losses in excess of the first $4,000,000 will fall outside of the quota share treaty and such losses will not have an impact on contingent ceding commissions, as was the case under previous “gross” treaties. The new structure eliminates the adverse impact that catastrophe losses above $4,000,000 would have on contingent ceding commissions.</w:t>
      </w:r>
    </w:p>
    <w:p>
      <w:pPr>
        <w:spacing w:after="0" w:line="152"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treaty detailed in the table above that was in effect during Q2-2016 are subject to change based on losses incurred from claims with accident dates beginning July 1, 2015. The amount of contingent ceding commissions we are eligible to receive under our prior years’ quota share treaties is subject to change based on losses incurred related to claims with accident dates before July 1, 2015 under those treaties.</w:t>
      </w:r>
    </w:p>
    <w:p>
      <w:pPr>
        <w:spacing w:after="0" w:line="185" w:lineRule="exact"/>
        <w:rPr>
          <w:sz w:val="20"/>
          <w:szCs w:val="20"/>
          <w:color w:val="auto"/>
        </w:rPr>
      </w:pPr>
    </w:p>
    <w:p>
      <w:pPr>
        <w:jc w:val="both"/>
        <w:ind w:right="60" w:firstLine="628"/>
        <w:spacing w:after="0" w:line="283" w:lineRule="auto"/>
        <w:rPr>
          <w:sz w:val="20"/>
          <w:szCs w:val="20"/>
          <w:color w:val="auto"/>
        </w:rPr>
      </w:pPr>
      <w:r>
        <w:rPr>
          <w:rFonts w:ascii="Arial" w:cs="Arial" w:eastAsia="Arial" w:hAnsi="Arial"/>
          <w:sz w:val="16"/>
          <w:szCs w:val="16"/>
          <w:color w:val="auto"/>
        </w:rPr>
        <w:t>Our expired personal lines reinsurance quota share treaty covered the period from July 1, 2013 to June 30, 2015 (“2013/2015 Treaty”). The computation to arrive at contingent ceding commission revenue under the 2013/2015 Treaty included catastrophe losses and LAE incurred from severe winter weather during 2015 (see discussion of “Net Loss and LAE” below). Such losses increased our ceded loss ratio in our 2013/2015 Treaty, which reduced our contingent ceding commission revenue in accordance with the sliding scale discussed above in Q2-2015 by $166,000. During Q2-2016 there were no catastrophe losses to affect contingent ceding commissions. See “Reinsurance” below for changes to our personal lines quota share treaty effective July 1, 2016.</w:t>
      </w: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497" w:right="17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auto"/>
        </w:rPr>
        <w:t>Net Investment Income</w:t>
      </w:r>
    </w:p>
    <w:p>
      <w:pPr>
        <w:spacing w:after="0" w:line="223"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Net investment income was $764,000 in Q2-2016 compared to $626,000 in Q2-2015. The increase of $138,000, or 22.0%, was due to an increase in average invested assets in Q2-2016. The increase in cash and invested assets resulted primarily from increased operating cash flows for the period after June 30, 2015. The increase in operating cash flows is due in part from the reduction in quota share rates on July 1, 2015. The reduction in quota share rates results in a decline in ceded premiums, which leads to more cash flow and more invested funds. The pre-tax equivalent investment yield on estimated annual income, excluding cash, was 4.04% and 4.85% as of June 30, 2016 and 2015, respectively. The decrease in the pre-tax equivalent investment yield is due to a shift toward shorter duration investments, which inherently have a lower yield. A reduction in interest rates resulted in an increase to unrealized gains on our portfolio, which in turn reduced the pre-tax equivalent investment yield.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223" w:lineRule="exact"/>
        <w:rPr>
          <w:sz w:val="20"/>
          <w:szCs w:val="20"/>
          <w:color w:val="auto"/>
        </w:rPr>
      </w:pPr>
    </w:p>
    <w:p>
      <w:pPr>
        <w:jc w:val="both"/>
        <w:ind w:firstLine="628"/>
        <w:spacing w:after="0" w:line="351" w:lineRule="auto"/>
        <w:rPr>
          <w:sz w:val="20"/>
          <w:szCs w:val="20"/>
          <w:color w:val="auto"/>
        </w:rPr>
      </w:pPr>
      <w:r>
        <w:rPr>
          <w:rFonts w:ascii="Arial" w:cs="Arial" w:eastAsia="Arial" w:hAnsi="Arial"/>
          <w:sz w:val="15"/>
          <w:szCs w:val="15"/>
          <w:color w:val="auto"/>
        </w:rPr>
        <w:t>Other income was $285,000 in Q2-2016 compared to $393,000 in Q2-2015. The decrease of $108,000, or 27.5%, was primarily due to $154,000 we earned in Q2-2015 in connection with the settlement of a liability, partially offset by an increase in installment and finance fees earned in our insurance underwriting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$5,787,000 in Q2-2016 compared to $4,771,000 in Q2-2015. The net loss ratio was 38.6% in Q2-2016 compared to 43.9% in Q2-2015, a decrease of 5.3 percentage points.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0" w:name="page51"/>
    <w:bookmarkEnd w:id="50"/>
    <w:p>
      <w:pPr>
        <w:ind w:left="640"/>
        <w:spacing w:after="0"/>
        <w:rPr>
          <w:sz w:val="20"/>
          <w:szCs w:val="20"/>
          <w:color w:val="auto"/>
        </w:rPr>
      </w:pPr>
      <w:r>
        <w:rPr>
          <w:rFonts w:ascii="Arial" w:cs="Arial" w:eastAsia="Arial" w:hAnsi="Arial"/>
          <w:sz w:val="17"/>
          <w:szCs w:val="17"/>
          <w:color w:val="auto"/>
        </w:rPr>
        <w:t>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147320</wp:posOffset>
            </wp:positionV>
            <wp:extent cx="3023235" cy="2807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23235" cy="280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28"/>
        <w:spacing w:after="0" w:line="298" w:lineRule="auto"/>
        <w:rPr>
          <w:sz w:val="20"/>
          <w:szCs w:val="20"/>
          <w:color w:val="auto"/>
        </w:rPr>
      </w:pPr>
      <w:r>
        <w:rPr>
          <w:rFonts w:ascii="Arial" w:cs="Arial" w:eastAsia="Arial" w:hAnsi="Arial"/>
          <w:sz w:val="15"/>
          <w:szCs w:val="15"/>
          <w:color w:val="auto"/>
        </w:rPr>
        <w:t>During Q2-2016, the net loss ratio decreased compared to Q2-2015 due primarily to an improvement in the core loss ratio excluding severe winter weather and prior year loss development. The core loss ratio improved to 36.5% in Q2-2016, compared to 42.6% in Q2-2015, or an improvement of 6.1 points. The improvement in the core loss ratio was driven by a significant reduction in claims frequency in Q2-2016 compared to Q2-2015, particularly for our personal lines business. Additionally, there was no additional impact in Q2-2016 from severe winter weather, defined as the losses incurred above those expected in an average winter. This compares to a 1.6 point impact from severe winter weather in Q2-2015. Partially offsetting some of these improvements year-over-year, we did record 2.1 points of prior year loss development in Q2-2016, compared to 0.3 points of favorable prior year development in Q2-2015. The prior year loss development recorded in Q2-2016 is attributable to more conservative assumptions regarding future LAE. The assumptions relate to settlements of larger liability cases and the impact of associated legal expenses. In addition, assumptions were adjusted to more properly reflect the additional time spent by claims staff handling the more complex liability cases from prior years. See table below under “Additional Financial Information” summarizing net loss ratios by line of business.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Commercial Auto Line of Business</w:t>
      </w:r>
    </w:p>
    <w:p>
      <w:pPr>
        <w:spacing w:after="0" w:line="223"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June 30, 2016, we had no commercial auto policies in force, compared to 390 policies in force as of June 30, 2015.</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1" w:name="page52"/>
    <w:bookmarkEnd w:id="51"/>
    <w:p>
      <w:pPr>
        <w:jc w:val="both"/>
        <w:ind w:firstLine="628"/>
        <w:spacing w:after="0" w:line="281" w:lineRule="auto"/>
        <w:rPr>
          <w:sz w:val="20"/>
          <w:szCs w:val="20"/>
          <w:color w:val="auto"/>
        </w:rPr>
      </w:pPr>
      <w:r>
        <w:rPr>
          <w:rFonts w:ascii="Arial" w:cs="Arial" w:eastAsia="Arial" w:hAnsi="Arial"/>
          <w:sz w:val="17"/>
          <w:szCs w:val="17"/>
          <w:color w:val="auto"/>
        </w:rPr>
        <w:t>The decision to exit this line of business has significantly reduced the adverse impact that associated commercial auto liability claims will have on our overall results. The following table displays the impact that this decision has had on our loss and LAE reserves over time: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Commercial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1"/>
              </w:rPr>
              <w:t>Auto as 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840" w:type="dxa"/>
            <w:vAlign w:val="bottom"/>
            <w:gridSpan w:val="2"/>
          </w:tcPr>
          <w:p>
            <w:pPr>
              <w:ind w:left="1620"/>
              <w:spacing w:after="0" w:line="157" w:lineRule="exact"/>
              <w:rPr>
                <w:sz w:val="20"/>
                <w:szCs w:val="20"/>
                <w:color w:val="auto"/>
              </w:rPr>
            </w:pPr>
            <w:r>
              <w:rPr>
                <w:rFonts w:ascii="Arial" w:cs="Arial" w:eastAsia="Arial" w:hAnsi="Arial"/>
                <w:sz w:val="14"/>
                <w:szCs w:val="14"/>
                <w:b w:val="1"/>
                <w:bCs w:val="1"/>
                <w:color w:val="auto"/>
              </w:rPr>
              <w:t>Commercial Auto</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20" w:type="dxa"/>
            <w:vAlign w:val="bottom"/>
          </w:tcPr>
          <w:p>
            <w:pPr>
              <w:jc w:val="right"/>
              <w:ind w:right="159"/>
              <w:spacing w:after="0" w:line="157" w:lineRule="exact"/>
              <w:rPr>
                <w:sz w:val="20"/>
                <w:szCs w:val="20"/>
                <w:color w:val="auto"/>
              </w:rPr>
            </w:pPr>
            <w:r>
              <w:rPr>
                <w:rFonts w:ascii="Arial" w:cs="Arial" w:eastAsia="Arial" w:hAnsi="Arial"/>
                <w:sz w:val="14"/>
                <w:szCs w:val="14"/>
                <w:b w:val="1"/>
                <w:bCs w:val="1"/>
                <w:color w:val="auto"/>
                <w:w w:val="92"/>
              </w:rPr>
              <w:t>Loss and LAE</w:t>
            </w:r>
          </w:p>
        </w:tc>
        <w:tc>
          <w:tcPr>
            <w:tcW w:w="240" w:type="dxa"/>
            <w:vAlign w:val="bottom"/>
          </w:tcPr>
          <w:p>
            <w:pPr>
              <w:spacing w:after="0"/>
              <w:rPr>
                <w:sz w:val="13"/>
                <w:szCs w:val="13"/>
                <w:color w:val="auto"/>
              </w:rPr>
            </w:pPr>
          </w:p>
        </w:tc>
        <w:tc>
          <w:tcPr>
            <w:tcW w:w="1180" w:type="dxa"/>
            <w:vAlign w:val="bottom"/>
          </w:tcPr>
          <w:p>
            <w:pPr>
              <w:jc w:val="right"/>
              <w:ind w:right="199"/>
              <w:spacing w:after="0" w:line="157" w:lineRule="exact"/>
              <w:rPr>
                <w:sz w:val="20"/>
                <w:szCs w:val="20"/>
                <w:color w:val="auto"/>
              </w:rPr>
            </w:pPr>
            <w:r>
              <w:rPr>
                <w:rFonts w:ascii="Arial" w:cs="Arial" w:eastAsia="Arial" w:hAnsi="Arial"/>
                <w:sz w:val="14"/>
                <w:szCs w:val="14"/>
                <w:b w:val="1"/>
                <w:bCs w:val="1"/>
                <w:color w:val="auto"/>
                <w:w w:val="89"/>
              </w:rPr>
              <w:t>Total Loss and</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1"/>
              </w:rPr>
              <w:t>Total Loss and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jc w:val="center"/>
              <w:ind w:left="1377"/>
              <w:spacing w:after="0"/>
              <w:rPr>
                <w:sz w:val="20"/>
                <w:szCs w:val="20"/>
                <w:color w:val="auto"/>
              </w:rPr>
            </w:pPr>
            <w:r>
              <w:rPr>
                <w:rFonts w:ascii="Arial" w:cs="Arial" w:eastAsia="Arial" w:hAnsi="Arial"/>
                <w:sz w:val="14"/>
                <w:szCs w:val="14"/>
                <w:b w:val="1"/>
                <w:bCs w:val="1"/>
                <w:color w:val="auto"/>
                <w:w w:val="91"/>
              </w:rPr>
              <w:t>As of</w:t>
            </w:r>
          </w:p>
        </w:tc>
        <w:tc>
          <w:tcPr>
            <w:tcW w:w="1720" w:type="dxa"/>
            <w:vAlign w:val="bottom"/>
          </w:tcPr>
          <w:p>
            <w:pPr>
              <w:spacing w:after="0"/>
              <w:rPr>
                <w:sz w:val="15"/>
                <w:szCs w:val="15"/>
                <w:color w:val="auto"/>
              </w:rPr>
            </w:pPr>
          </w:p>
        </w:tc>
        <w:tc>
          <w:tcPr>
            <w:tcW w:w="1120" w:type="dxa"/>
            <w:vAlign w:val="bottom"/>
          </w:tcPr>
          <w:p>
            <w:pPr>
              <w:jc w:val="right"/>
              <w:ind w:right="319"/>
              <w:spacing w:after="0"/>
              <w:rPr>
                <w:sz w:val="20"/>
                <w:szCs w:val="20"/>
                <w:color w:val="auto"/>
              </w:rPr>
            </w:pPr>
            <w:r>
              <w:rPr>
                <w:rFonts w:ascii="Arial" w:cs="Arial" w:eastAsia="Arial" w:hAnsi="Arial"/>
                <w:sz w:val="14"/>
                <w:szCs w:val="14"/>
                <w:b w:val="1"/>
                <w:bCs w:val="1"/>
                <w:color w:val="auto"/>
              </w:rPr>
              <w:t>Reserves</w:t>
            </w:r>
          </w:p>
        </w:tc>
        <w:tc>
          <w:tcPr>
            <w:tcW w:w="240" w:type="dxa"/>
            <w:vAlign w:val="bottom"/>
          </w:tcPr>
          <w:p>
            <w:pPr>
              <w:spacing w:after="0"/>
              <w:rPr>
                <w:sz w:val="15"/>
                <w:szCs w:val="15"/>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w w:val="93"/>
              </w:rPr>
              <w:t>LAE Reserves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LAE Reserves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auto"/>
            </w:tcBorders>
          </w:tcPr>
          <w:p>
            <w:pPr>
              <w:jc w:val="center"/>
              <w:ind w:left="1377"/>
              <w:spacing w:after="0"/>
              <w:rPr>
                <w:sz w:val="20"/>
                <w:szCs w:val="20"/>
                <w:color w:val="auto"/>
              </w:rPr>
            </w:pPr>
            <w:r>
              <w:rPr>
                <w:rFonts w:ascii="Arial" w:cs="Arial" w:eastAsia="Arial" w:hAnsi="Arial"/>
                <w:sz w:val="17"/>
                <w:szCs w:val="17"/>
                <w:color w:val="auto"/>
                <w:w w:val="88"/>
              </w:rPr>
              <w:t>($ in thousands)</w:t>
            </w:r>
          </w:p>
        </w:tc>
        <w:tc>
          <w:tcPr>
            <w:tcW w:w="17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2013</w:t>
            </w:r>
          </w:p>
        </w:tc>
        <w:tc>
          <w:tcPr>
            <w:tcW w:w="1720" w:type="dxa"/>
            <w:vAlign w:val="bottom"/>
            <w:shd w:val="clear" w:color="auto" w:fill="CCEEFF"/>
          </w:tcPr>
          <w:p>
            <w:pPr>
              <w:ind w:left="162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9,185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34,503</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December 31, 2014</w:t>
            </w:r>
          </w:p>
        </w:tc>
        <w:tc>
          <w:tcPr>
            <w:tcW w:w="1720" w:type="dxa"/>
            <w:vAlign w:val="bottom"/>
          </w:tcPr>
          <w:p>
            <w:pPr>
              <w:ind w:left="162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8,126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39,613</w:t>
            </w:r>
          </w:p>
        </w:tc>
        <w:tc>
          <w:tcPr>
            <w:tcW w:w="1320" w:type="dxa"/>
            <w:vAlign w:val="bottom"/>
          </w:tcPr>
          <w:p>
            <w:pPr>
              <w:jc w:val="right"/>
              <w:spacing w:after="0"/>
              <w:rPr>
                <w:sz w:val="20"/>
                <w:szCs w:val="20"/>
                <w:color w:val="auto"/>
              </w:rPr>
            </w:pPr>
            <w:r>
              <w:rPr>
                <w:rFonts w:ascii="Arial" w:cs="Arial" w:eastAsia="Arial" w:hAnsi="Arial"/>
                <w:sz w:val="17"/>
                <w:szCs w:val="17"/>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1720" w:type="dxa"/>
            <w:vAlign w:val="bottom"/>
            <w:shd w:val="clear" w:color="auto" w:fill="CCEEFF"/>
          </w:tcPr>
          <w:p>
            <w:pPr>
              <w:ind w:left="162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4,971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39,877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June 30, 2016</w:t>
            </w:r>
          </w:p>
        </w:tc>
        <w:tc>
          <w:tcPr>
            <w:tcW w:w="1720" w:type="dxa"/>
            <w:vAlign w:val="bottom"/>
          </w:tcPr>
          <w:p>
            <w:pPr>
              <w:ind w:left="162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2,955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44,335</w:t>
            </w:r>
          </w:p>
        </w:tc>
        <w:tc>
          <w:tcPr>
            <w:tcW w:w="1320" w:type="dxa"/>
            <w:vAlign w:val="bottom"/>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Commercial auto liability loss and LAE reserves account for a rapidly decreasing percentage of our total loss and LAE reserves, and as of June 30, 2016 comprise 6.7% of our total loss and LAE reserves. This line of business was historically subject to a high level of uncertainty and volatility in claim emergence and loss development. The exit from this line therefore significantly decreases the uncertainty surrounding our overall reserve levels and reduces the associated volatility in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23"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Commission expense was $4,526,000 in Q2-2016 or 19.1% of direct earned premiums. Commission expense was $3,600,000 in Q2-2015 or 18.0% of direct earned premiums. The increase of $926,000 is due to the increase in direct written premiums in Q2-2016 as compared to Q2-2015 and an increase in bonus commissions as a result of the decrease in net loss ratio in Q2-2016 as compared to Q2-2015. The increase in the percentage of commission expense to direct earned premiums to 19.1% in Q2-2016 from 18.0% in Q2-2015 is due the additional bonus commission described above and a change in the mix of business to lines of business with higher commission rates.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223" w:lineRule="exact"/>
        <w:rPr>
          <w:sz w:val="20"/>
          <w:szCs w:val="20"/>
          <w:color w:val="auto"/>
        </w:rPr>
      </w:pPr>
    </w:p>
    <w:p>
      <w:pPr>
        <w:jc w:val="both"/>
        <w:ind w:firstLine="628"/>
        <w:spacing w:after="0" w:line="277" w:lineRule="auto"/>
        <w:rPr>
          <w:sz w:val="20"/>
          <w:szCs w:val="20"/>
          <w:color w:val="auto"/>
        </w:rPr>
      </w:pPr>
      <w:r>
        <w:rPr>
          <w:rFonts w:ascii="Arial" w:cs="Arial" w:eastAsia="Arial" w:hAnsi="Arial"/>
          <w:sz w:val="16"/>
          <w:szCs w:val="16"/>
          <w:color w:val="auto"/>
        </w:rPr>
        <w:t>Other underwriting expenses were $3,596,000 in Q2-2016 compared to $2,962,000 in Q2-2015. The increase of $634,000, or 21.4%, in other underwriting expenses was primarily due to expenses directly and indirectly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$1,718,000 in Q2-2016 compared to $1,364,000 in Q2-2015. The increase of $354,000, or 26.0%, was due to hiring of additional staff to service our current level of business and anticipated growth in volume. We have also hired staff to begin the process of developing business in the states in which we recently obtained licensing. In addition, there were annual rate increases in both salaries and the cost of employee benefits. Other underwriting expenses as a percentage of direct written premiums increased to 13.7% in Q2-2016 from 12.8% in Q2-2015. Other underwriting expenses as a percentage of direct earned premiums increased to 15.2% in Q2-2016 from 14.8% in Q2-2015. Salaries and employment costs, which are the primary drivers behind the 0.4 point increase, amounted to 7.2% of direct earned premiums in Q2-2016, compared to 6.8% of direct earned premiums in Q2-2015.</w:t>
      </w:r>
    </w:p>
    <w:p>
      <w:pPr>
        <w:spacing w:after="0" w:line="179"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net underwriting expense ratio in Q2-2016 was 35.1% compared with 24.6% in Q2-2015. The following table shows the individual components of our net underwriting expense ratio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20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5"/>
        </w:trPr>
        <w:tc>
          <w:tcPr>
            <w:tcW w:w="8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18"/>
              <w:spacing w:after="0"/>
              <w:rPr>
                <w:sz w:val="20"/>
                <w:szCs w:val="20"/>
                <w:color w:val="auto"/>
              </w:rPr>
            </w:pPr>
            <w:r>
              <w:rPr>
                <w:rFonts w:ascii="Arial" w:cs="Arial" w:eastAsia="Arial" w:hAnsi="Arial"/>
                <w:sz w:val="14"/>
                <w:szCs w:val="14"/>
                <w:b w:val="1"/>
                <w:bCs w:val="1"/>
                <w:color w:val="auto"/>
                <w:w w:val="99"/>
              </w:rPr>
              <w:t>Point Change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Ceding commission revenue - provisional</w:t>
            </w:r>
          </w:p>
        </w:tc>
        <w:tc>
          <w:tcPr>
            <w:tcW w:w="1340" w:type="dxa"/>
            <w:vAlign w:val="bottom"/>
          </w:tcPr>
          <w:p>
            <w:pPr>
              <w:jc w:val="right"/>
              <w:ind w:right="678"/>
              <w:spacing w:after="0"/>
              <w:rPr>
                <w:sz w:val="20"/>
                <w:szCs w:val="20"/>
                <w:color w:val="auto"/>
              </w:rPr>
            </w:pPr>
            <w:r>
              <w:rPr>
                <w:rFonts w:ascii="Arial" w:cs="Arial" w:eastAsia="Arial" w:hAnsi="Arial"/>
                <w:sz w:val="17"/>
                <w:szCs w:val="17"/>
                <w:color w:val="auto"/>
                <w:w w:val="94"/>
              </w:rPr>
              <w:t>(21.5)%</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(27.3)%</w:t>
            </w:r>
          </w:p>
        </w:tc>
        <w:tc>
          <w:tcPr>
            <w:tcW w:w="1220" w:type="dxa"/>
            <w:vAlign w:val="bottom"/>
          </w:tcPr>
          <w:p>
            <w:pPr>
              <w:jc w:val="right"/>
              <w:ind w:right="58"/>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Ceding commission revenue - contingent</w:t>
            </w:r>
          </w:p>
        </w:tc>
        <w:tc>
          <w:tcPr>
            <w:tcW w:w="1340" w:type="dxa"/>
            <w:vAlign w:val="bottom"/>
            <w:shd w:val="clear" w:color="auto" w:fill="CCEEFF"/>
          </w:tcPr>
          <w:p>
            <w:pPr>
              <w:jc w:val="right"/>
              <w:ind w:right="878"/>
              <w:spacing w:after="0"/>
              <w:rPr>
                <w:sz w:val="20"/>
                <w:szCs w:val="20"/>
                <w:color w:val="auto"/>
              </w:rPr>
            </w:pPr>
            <w:r>
              <w:rPr>
                <w:rFonts w:ascii="Arial" w:cs="Arial" w:eastAsia="Arial" w:hAnsi="Arial"/>
                <w:sz w:val="17"/>
                <w:szCs w:val="17"/>
                <w:color w:val="auto"/>
              </w:rPr>
              <w:t>4.3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1340" w:type="dxa"/>
            <w:vAlign w:val="bottom"/>
          </w:tcPr>
          <w:p>
            <w:pPr>
              <w:jc w:val="right"/>
              <w:ind w:right="838"/>
              <w:spacing w:after="0"/>
              <w:rPr>
                <w:sz w:val="20"/>
                <w:szCs w:val="20"/>
                <w:color w:val="auto"/>
              </w:rPr>
            </w:pPr>
            <w:r>
              <w:rPr>
                <w:rFonts w:ascii="Arial" w:cs="Arial" w:eastAsia="Arial" w:hAnsi="Arial"/>
                <w:sz w:val="17"/>
                <w:szCs w:val="17"/>
                <w:color w:val="auto"/>
              </w:rPr>
              <w:t>(1.8)</w:t>
            </w:r>
          </w:p>
        </w:tc>
        <w:tc>
          <w:tcPr>
            <w:tcW w:w="54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8"/>
                <w:szCs w:val="18"/>
                <w:color w:val="auto"/>
              </w:rPr>
            </w:pPr>
          </w:p>
        </w:tc>
        <w:tc>
          <w:tcPr>
            <w:tcW w:w="1220" w:type="dxa"/>
            <w:vAlign w:val="bottom"/>
          </w:tcPr>
          <w:p>
            <w:pPr>
              <w:jc w:val="right"/>
              <w:ind w:right="58"/>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Acquistion costs and other underwriting expenses:</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7"/>
                <w:szCs w:val="17"/>
                <w:color w:val="auto"/>
              </w:rPr>
              <w:t>Commission expense</w:t>
            </w:r>
          </w:p>
        </w:tc>
        <w:tc>
          <w:tcPr>
            <w:tcW w:w="1340" w:type="dxa"/>
            <w:vAlign w:val="bottom"/>
          </w:tcPr>
          <w:p>
            <w:pPr>
              <w:jc w:val="right"/>
              <w:ind w:right="878"/>
              <w:spacing w:after="0"/>
              <w:rPr>
                <w:sz w:val="20"/>
                <w:szCs w:val="20"/>
                <w:color w:val="auto"/>
              </w:rPr>
            </w:pPr>
            <w:r>
              <w:rPr>
                <w:rFonts w:ascii="Arial" w:cs="Arial" w:eastAsia="Arial" w:hAnsi="Arial"/>
                <w:sz w:val="17"/>
                <w:szCs w:val="17"/>
                <w:color w:val="auto"/>
              </w:rPr>
              <w:t>30.1</w:t>
            </w:r>
          </w:p>
        </w:tc>
        <w:tc>
          <w:tcPr>
            <w:tcW w:w="540" w:type="dxa"/>
            <w:vAlign w:val="bottom"/>
          </w:tcPr>
          <w:p>
            <w:pPr>
              <w:jc w:val="right"/>
              <w:ind w:right="55"/>
              <w:spacing w:after="0"/>
              <w:rPr>
                <w:sz w:val="20"/>
                <w:szCs w:val="20"/>
                <w:color w:val="auto"/>
              </w:rPr>
            </w:pPr>
            <w:r>
              <w:rPr>
                <w:rFonts w:ascii="Arial" w:cs="Arial" w:eastAsia="Arial" w:hAnsi="Arial"/>
                <w:sz w:val="17"/>
                <w:szCs w:val="17"/>
                <w:color w:val="auto"/>
              </w:rPr>
              <w:t>33.1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8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7"/>
                <w:szCs w:val="17"/>
                <w:color w:val="auto"/>
              </w:rPr>
              <w:t>24.0</w:t>
            </w:r>
          </w:p>
        </w:tc>
        <w:tc>
          <w:tcPr>
            <w:tcW w:w="5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27.3</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Net underwriting expense ratio</w:t>
            </w:r>
          </w:p>
        </w:tc>
        <w:tc>
          <w:tcPr>
            <w:tcW w:w="1340" w:type="dxa"/>
            <w:vAlign w:val="bottom"/>
          </w:tcPr>
          <w:p>
            <w:pPr>
              <w:jc w:val="right"/>
              <w:ind w:right="738"/>
              <w:spacing w:after="0"/>
              <w:rPr>
                <w:sz w:val="20"/>
                <w:szCs w:val="20"/>
                <w:color w:val="auto"/>
              </w:rPr>
            </w:pPr>
            <w:r>
              <w:rPr>
                <w:rFonts w:ascii="Arial" w:cs="Arial" w:eastAsia="Arial" w:hAnsi="Arial"/>
                <w:sz w:val="17"/>
                <w:szCs w:val="17"/>
                <w:color w:val="auto"/>
              </w:rPr>
              <w:t>35.1%</w:t>
            </w:r>
          </w:p>
        </w:tc>
        <w:tc>
          <w:tcPr>
            <w:tcW w:w="540" w:type="dxa"/>
            <w:vAlign w:val="bottom"/>
          </w:tcPr>
          <w:p>
            <w:pPr>
              <w:jc w:val="right"/>
              <w:spacing w:after="0"/>
              <w:rPr>
                <w:sz w:val="20"/>
                <w:szCs w:val="20"/>
                <w:color w:val="auto"/>
              </w:rPr>
            </w:pPr>
            <w:r>
              <w:rPr>
                <w:rFonts w:ascii="Arial" w:cs="Arial" w:eastAsia="Arial" w:hAnsi="Arial"/>
                <w:sz w:val="17"/>
                <w:szCs w:val="17"/>
                <w:color w:val="auto"/>
              </w:rPr>
              <w:t>24.6%</w:t>
            </w:r>
          </w:p>
        </w:tc>
        <w:tc>
          <w:tcPr>
            <w:tcW w:w="140" w:type="dxa"/>
            <w:vAlign w:val="bottom"/>
          </w:tcPr>
          <w:p>
            <w:pPr>
              <w:spacing w:after="0"/>
              <w:rPr>
                <w:sz w:val="18"/>
                <w:szCs w:val="18"/>
                <w:color w:val="auto"/>
              </w:rPr>
            </w:pPr>
          </w:p>
        </w:tc>
        <w:tc>
          <w:tcPr>
            <w:tcW w:w="1220" w:type="dxa"/>
            <w:vAlign w:val="bottom"/>
          </w:tcPr>
          <w:p>
            <w:pPr>
              <w:jc w:val="right"/>
              <w:ind w:right="58"/>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793"/>
        <w:spacing w:after="0" w:line="269" w:lineRule="auto"/>
        <w:rPr>
          <w:sz w:val="20"/>
          <w:szCs w:val="20"/>
          <w:color w:val="auto"/>
        </w:rPr>
      </w:pPr>
      <w:r>
        <w:rPr>
          <w:rFonts w:ascii="Arial" w:cs="Arial" w:eastAsia="Arial" w:hAnsi="Arial"/>
          <w:sz w:val="17"/>
          <w:szCs w:val="17"/>
          <w:color w:val="auto"/>
        </w:rPr>
        <w:t>The increase of 10.5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2015.</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operating expenses, related to the expenses of our holding company, were $433,000 in Q2-2016 compared to $378,000 in Q2-2015. The increase in Q2-2016 of $55,000, or 14.6%, was primarily due to an increase in executive bonus compensation.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Depreciation and Amortization</w:t>
      </w:r>
    </w:p>
    <w:p>
      <w:pPr>
        <w:spacing w:after="0" w:line="223"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Depreciation and amortization was $289,000 in Q2-2016 compared to $246,000 in Q2-2015. The increase of $43,000, or 17.5%, in depreciation and amortization was primarily due to depreciation on newly purchased assets used to upgrade our systems infrastructure and the Kingston, New York home office building from which we operate.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Income tax expense in Q2-2016 was $1,439,000, which resulted in an effective tax rate of 33.6%. Income tax expense in Q2-2015 was $1,206,000, which resulted in an effective tax rate of 33.6%. Income before taxes was $4,281,000 in Q2-2016 compared to $3,585,000 in Q2-2015.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223"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Net income was $2,842,000 in Q2-2016 compared to $2,379,000 in 2015. The increase in net income of $463,000, or 19.5%, was due to the circumstances described above that caused the increase in our net premiums earned, net investment income, and a decrease in our net loss ratio, partially offset by a decrease in ceding commission revenue, other income, and increases in other underwriting expenses related to premium growth and other operating expenses.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227"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 wide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6"/>
                <w:szCs w:val="16"/>
                <w:color w:val="auto"/>
              </w:rPr>
            </w:pPr>
          </w:p>
        </w:tc>
        <w:tc>
          <w:tcPr>
            <w:tcW w:w="238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Gross written premiums: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19,697,839</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16,964,187</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37,138,925</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31,201,904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3,677,159</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3,501,849</w:t>
            </w:r>
          </w:p>
        </w:tc>
        <w:tc>
          <w:tcPr>
            <w:tcW w:w="36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6,805,297</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6,301,219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Commercial auto(1)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3,770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44,517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(5,023)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579,753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2,720,538</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2,585,442</w:t>
            </w:r>
          </w:p>
        </w:tc>
        <w:tc>
          <w:tcPr>
            <w:tcW w:w="36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5,152,453</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4,458,057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Other(2)</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72,705</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84,029</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128,762</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136,431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26,172,011</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23,180,024</w:t>
            </w:r>
          </w:p>
        </w:tc>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49,220,414</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42,677,364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written premiums: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10,831,897</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7,219,565</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20,217,335</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13,172,346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3,343,859</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3,221,303</w:t>
            </w:r>
          </w:p>
        </w:tc>
        <w:tc>
          <w:tcPr>
            <w:tcW w:w="36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6,158,764</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5,759,078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Commercial auto(1)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3,770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42,957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(4,715)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528,871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2,720,538</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2,585,442</w:t>
            </w:r>
          </w:p>
        </w:tc>
        <w:tc>
          <w:tcPr>
            <w:tcW w:w="36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5,152,453</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4,458,057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Other(2)</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52,618</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62,426</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90,720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91,276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16,952,682</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13,131,693</w:t>
            </w:r>
          </w:p>
        </w:tc>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31,614,557</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24,009,628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premiums earned:</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9,826,564</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6,238,924</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19,290,460</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12,199,399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2,772,822</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2,452,598</w:t>
            </w:r>
          </w:p>
        </w:tc>
        <w:tc>
          <w:tcPr>
            <w:tcW w:w="36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5,453,547</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4,864,741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Commercial auto(1)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9,941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521,276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95,029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1,183,908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2,362,889</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1,613,890</w:t>
            </w:r>
          </w:p>
        </w:tc>
        <w:tc>
          <w:tcPr>
            <w:tcW w:w="36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4,618,743</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2,920,467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Other(2)</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38,659</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39,027</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84,771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82,999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15,010,875</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10,865,715</w:t>
            </w:r>
          </w:p>
        </w:tc>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29,542,550</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21,251,514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loss and loss adjustment expenses: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3,137,613</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1,803,347</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10,686,164</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6,151,918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1,181,456</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1,831,195</w:t>
            </w:r>
          </w:p>
        </w:tc>
        <w:tc>
          <w:tcPr>
            <w:tcW w:w="36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2,092,290</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3,298,888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Commercial auto(1)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(432)</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238,328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(456,918)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577,536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946,101</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582,288</w:t>
            </w:r>
          </w:p>
        </w:tc>
        <w:tc>
          <w:tcPr>
            <w:tcW w:w="36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1,934,654</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1,130,029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Other(2)</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95,902</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34,654</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171,981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111,800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Unallocated loss adjustment expenses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426,196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281,001</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842,520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563,859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5,786,836</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4,770,813</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15,270,691</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98"/>
              </w:rPr>
              <w:t>11,834,030</w:t>
            </w: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Net loss ratio:</w:t>
            </w:r>
          </w:p>
        </w:tc>
        <w:tc>
          <w:tcPr>
            <w:tcW w:w="3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7"/>
                <w:szCs w:val="17"/>
                <w:color w:val="auto"/>
              </w:rPr>
              <w:t>Personal lines</w:t>
            </w:r>
          </w:p>
        </w:tc>
        <w:tc>
          <w:tcPr>
            <w:tcW w:w="3560" w:type="dxa"/>
            <w:vAlign w:val="bottom"/>
          </w:tcPr>
          <w:p>
            <w:pPr>
              <w:jc w:val="right"/>
              <w:ind w:right="375"/>
              <w:spacing w:after="0"/>
              <w:rPr>
                <w:sz w:val="20"/>
                <w:szCs w:val="20"/>
                <w:color w:val="auto"/>
              </w:rPr>
            </w:pPr>
            <w:r>
              <w:rPr>
                <w:rFonts w:ascii="Arial" w:cs="Arial" w:eastAsia="Arial" w:hAnsi="Arial"/>
                <w:sz w:val="17"/>
                <w:szCs w:val="17"/>
                <w:color w:val="auto"/>
              </w:rPr>
              <w:t>31.9%</w:t>
            </w: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28.9%</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55.4%</w:t>
            </w:r>
          </w:p>
        </w:tc>
        <w:tc>
          <w:tcPr>
            <w:tcW w:w="940" w:type="dxa"/>
            <w:vAlign w:val="bottom"/>
          </w:tcPr>
          <w:p>
            <w:pPr>
              <w:jc w:val="right"/>
              <w:spacing w:after="0"/>
              <w:rPr>
                <w:sz w:val="20"/>
                <w:szCs w:val="20"/>
                <w:color w:val="auto"/>
              </w:rPr>
            </w:pPr>
            <w:r>
              <w:rPr>
                <w:rFonts w:ascii="Arial" w:cs="Arial" w:eastAsia="Arial" w:hAnsi="Arial"/>
                <w:sz w:val="17"/>
                <w:szCs w:val="17"/>
                <w:color w:val="auto"/>
              </w:rPr>
              <w:t>50.4%</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42.6%</w:t>
            </w:r>
          </w:p>
        </w:tc>
        <w:tc>
          <w:tcPr>
            <w:tcW w:w="13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74.7%</w:t>
            </w:r>
          </w:p>
        </w:tc>
        <w:tc>
          <w:tcPr>
            <w:tcW w:w="13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38.4%</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w:t>
            </w:r>
          </w:p>
        </w:tc>
      </w:tr>
      <w:tr>
        <w:trPr>
          <w:trHeight w:val="209"/>
        </w:trPr>
        <w:tc>
          <w:tcPr>
            <w:tcW w:w="4220" w:type="dxa"/>
            <w:vAlign w:val="bottom"/>
          </w:tcPr>
          <w:p>
            <w:pPr>
              <w:spacing w:after="0"/>
              <w:rPr>
                <w:sz w:val="20"/>
                <w:szCs w:val="20"/>
                <w:color w:val="auto"/>
              </w:rPr>
            </w:pPr>
            <w:r>
              <w:rPr>
                <w:rFonts w:ascii="Arial" w:cs="Arial" w:eastAsia="Arial" w:hAnsi="Arial"/>
                <w:sz w:val="17"/>
                <w:szCs w:val="17"/>
                <w:color w:val="auto"/>
              </w:rPr>
              <w:t>Commercial auto(1)</w:t>
            </w:r>
          </w:p>
        </w:tc>
        <w:tc>
          <w:tcPr>
            <w:tcW w:w="3560" w:type="dxa"/>
            <w:vAlign w:val="bottom"/>
          </w:tcPr>
          <w:p>
            <w:pPr>
              <w:jc w:val="right"/>
              <w:ind w:right="375"/>
              <w:spacing w:after="0"/>
              <w:rPr>
                <w:sz w:val="20"/>
                <w:szCs w:val="20"/>
                <w:color w:val="auto"/>
              </w:rPr>
            </w:pPr>
            <w:r>
              <w:rPr>
                <w:rFonts w:ascii="Arial" w:cs="Arial" w:eastAsia="Arial" w:hAnsi="Arial"/>
                <w:sz w:val="17"/>
                <w:szCs w:val="17"/>
                <w:color w:val="auto"/>
              </w:rPr>
              <w:t>-4.3%</w:t>
            </w: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45.7%</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-480.8%</w:t>
            </w:r>
          </w:p>
        </w:tc>
        <w:tc>
          <w:tcPr>
            <w:tcW w:w="940" w:type="dxa"/>
            <w:vAlign w:val="bottom"/>
          </w:tcPr>
          <w:p>
            <w:pPr>
              <w:jc w:val="right"/>
              <w:spacing w:after="0"/>
              <w:rPr>
                <w:sz w:val="20"/>
                <w:szCs w:val="20"/>
                <w:color w:val="auto"/>
              </w:rPr>
            </w:pPr>
            <w:r>
              <w:rPr>
                <w:rFonts w:ascii="Arial" w:cs="Arial" w:eastAsia="Arial" w:hAnsi="Arial"/>
                <w:sz w:val="17"/>
                <w:szCs w:val="17"/>
                <w:color w:val="auto"/>
              </w:rPr>
              <w:t>48.8%</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40.0%</w:t>
            </w:r>
          </w:p>
        </w:tc>
        <w:tc>
          <w:tcPr>
            <w:tcW w:w="13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36.1%</w:t>
            </w:r>
          </w:p>
        </w:tc>
        <w:tc>
          <w:tcPr>
            <w:tcW w:w="13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41.9%</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r>
      <w:tr>
        <w:trPr>
          <w:trHeight w:val="209"/>
        </w:trPr>
        <w:tc>
          <w:tcPr>
            <w:tcW w:w="4220" w:type="dxa"/>
            <w:vAlign w:val="bottom"/>
          </w:tcPr>
          <w:p>
            <w:pPr>
              <w:spacing w:after="0"/>
              <w:rPr>
                <w:sz w:val="20"/>
                <w:szCs w:val="20"/>
                <w:color w:val="auto"/>
              </w:rPr>
            </w:pPr>
            <w:r>
              <w:rPr>
                <w:rFonts w:ascii="Arial" w:cs="Arial" w:eastAsia="Arial" w:hAnsi="Arial"/>
                <w:sz w:val="17"/>
                <w:szCs w:val="17"/>
                <w:color w:val="auto"/>
              </w:rPr>
              <w:t>Other(2)</w:t>
            </w:r>
          </w:p>
        </w:tc>
        <w:tc>
          <w:tcPr>
            <w:tcW w:w="3560" w:type="dxa"/>
            <w:vAlign w:val="bottom"/>
          </w:tcPr>
          <w:p>
            <w:pPr>
              <w:jc w:val="right"/>
              <w:ind w:right="375"/>
              <w:spacing w:after="0"/>
              <w:rPr>
                <w:sz w:val="20"/>
                <w:szCs w:val="20"/>
                <w:color w:val="auto"/>
              </w:rPr>
            </w:pPr>
            <w:r>
              <w:rPr>
                <w:rFonts w:ascii="Arial" w:cs="Arial" w:eastAsia="Arial" w:hAnsi="Arial"/>
                <w:sz w:val="17"/>
                <w:szCs w:val="17"/>
                <w:color w:val="auto"/>
              </w:rPr>
              <w:t>248.1%</w:t>
            </w:r>
          </w:p>
        </w:tc>
        <w:tc>
          <w:tcPr>
            <w:tcW w:w="1320" w:type="dxa"/>
            <w:vAlign w:val="bottom"/>
          </w:tcPr>
          <w:p>
            <w:pPr>
              <w:jc w:val="right"/>
              <w:ind w:right="315"/>
              <w:spacing w:after="0"/>
              <w:rPr>
                <w:sz w:val="20"/>
                <w:szCs w:val="20"/>
                <w:color w:val="auto"/>
              </w:rPr>
            </w:pPr>
            <w:r>
              <w:rPr>
                <w:rFonts w:ascii="Arial" w:cs="Arial" w:eastAsia="Arial" w:hAnsi="Arial"/>
                <w:sz w:val="17"/>
                <w:szCs w:val="17"/>
                <w:color w:val="auto"/>
              </w:rPr>
              <w:t>88.8%</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202.9%</w:t>
            </w:r>
          </w:p>
        </w:tc>
        <w:tc>
          <w:tcPr>
            <w:tcW w:w="940" w:type="dxa"/>
            <w:vAlign w:val="bottom"/>
          </w:tcPr>
          <w:p>
            <w:pPr>
              <w:jc w:val="right"/>
              <w:spacing w:after="0"/>
              <w:rPr>
                <w:sz w:val="20"/>
                <w:szCs w:val="20"/>
                <w:color w:val="auto"/>
              </w:rPr>
            </w:pPr>
            <w:r>
              <w:rPr>
                <w:rFonts w:ascii="Arial" w:cs="Arial" w:eastAsia="Arial" w:hAnsi="Arial"/>
                <w:sz w:val="17"/>
                <w:szCs w:val="17"/>
                <w:color w:val="auto"/>
              </w:rPr>
              <w:t>134.7%</w:t>
            </w: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3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38.6%</w:t>
            </w:r>
          </w:p>
        </w:tc>
        <w:tc>
          <w:tcPr>
            <w:tcW w:w="13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43.9%</w:t>
            </w:r>
          </w:p>
        </w:tc>
        <w:tc>
          <w:tcPr>
            <w:tcW w:w="13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51.7%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line="223" w:lineRule="exact"/>
        <w:rPr>
          <w:sz w:val="20"/>
          <w:szCs w:val="20"/>
          <w:color w:val="auto"/>
        </w:rPr>
      </w:pPr>
    </w:p>
    <w:p>
      <w:pPr>
        <w:ind w:left="640" w:hanging="321"/>
        <w:spacing w:after="0" w:line="281"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Effective October 1, 2014 we decided to no longer accept applications for new commercial auto coverage. In February 2015, we decided to no longer offer renewals to our existing commercial auto policies beginning with those that expired on or after May 1, 2015.</w:t>
      </w:r>
    </w:p>
    <w:p>
      <w:pPr>
        <w:spacing w:after="0" w:line="170" w:lineRule="exact"/>
        <w:rPr>
          <w:rFonts w:ascii="Arial" w:cs="Arial" w:eastAsia="Arial" w:hAnsi="Arial"/>
          <w:sz w:val="17"/>
          <w:szCs w:val="17"/>
          <w:color w:val="auto"/>
        </w:rPr>
      </w:pPr>
    </w:p>
    <w:p>
      <w:pPr>
        <w:ind w:left="640" w:hanging="321"/>
        <w:spacing w:after="0" w:line="281"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our participation in a mandatory state joint underwriting association.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00" w:type="dxa"/>
            <w:vAlign w:val="bottom"/>
            <w:gridSpan w:val="4"/>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17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15,010,875</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10,865,715</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29,542,550</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21,251,514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2,569,025</w:t>
            </w:r>
          </w:p>
        </w:tc>
        <w:tc>
          <w:tcPr>
            <w:tcW w:w="300" w:type="dxa"/>
            <w:vAlign w:val="bottom"/>
          </w:tcPr>
          <w:p>
            <w:pPr>
              <w:spacing w:after="0"/>
              <w:rPr>
                <w:sz w:val="18"/>
                <w:szCs w:val="18"/>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3,655,522</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5,339,362</w:t>
            </w:r>
          </w:p>
        </w:tc>
        <w:tc>
          <w:tcPr>
            <w:tcW w:w="2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6,744,926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764,070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625,972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1,577,127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1,200,628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realized gain (loss) on investments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283,432</w:t>
            </w:r>
          </w:p>
        </w:tc>
        <w:tc>
          <w:tcPr>
            <w:tcW w:w="300" w:type="dxa"/>
            <w:vAlign w:val="bottom"/>
          </w:tcPr>
          <w:p>
            <w:pPr>
              <w:spacing w:after="0"/>
              <w:rPr>
                <w:sz w:val="18"/>
                <w:szCs w:val="18"/>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2,263</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363,868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277,101</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232,053</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526,099</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452,389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18,904,503</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15,381,525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37,349,006</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8"/>
              </w:rPr>
              <w:t>29,584,226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5,786,836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4,770,813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15,270,691</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11,834,030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4,526,208</w:t>
            </w:r>
          </w:p>
        </w:tc>
        <w:tc>
          <w:tcPr>
            <w:tcW w:w="300" w:type="dxa"/>
            <w:vAlign w:val="bottom"/>
          </w:tcPr>
          <w:p>
            <w:pPr>
              <w:spacing w:after="0"/>
              <w:rPr>
                <w:sz w:val="18"/>
                <w:szCs w:val="18"/>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3,600,164</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8,796,274</w:t>
            </w:r>
          </w:p>
        </w:tc>
        <w:tc>
          <w:tcPr>
            <w:tcW w:w="2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7,012,491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3,596,134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2,961,663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6,942,575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5,960,818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288,884</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245,724</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572,422</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480,540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14,198,062</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11,578,364</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31,581,962</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25,287,879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from operations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4,706,441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3,803,161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5,767,044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4,296,347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Income tax expense</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1,572,144</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1,278,275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1,844,582</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1,396,337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3,134,297</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2,524,886</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3,922,462</w:t>
            </w:r>
          </w:p>
        </w:tc>
        <w:tc>
          <w:tcPr>
            <w:tcW w:w="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2,900,010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b w:val="1"/>
                <w:bCs w:val="1"/>
                <w:color w:val="auto"/>
              </w:rPr>
              <w:t>Key Measures: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ratio</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combined ratio</w:t>
            </w: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Reconciliation of net underwriting expense ratio:</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Acquisition costs and other</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underwriting expenses</w:t>
            </w:r>
          </w:p>
        </w:tc>
        <w:tc>
          <w:tcPr>
            <w:tcW w:w="17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8,122,342</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6,561,827</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15,738,849</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12,973,309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Less: Ceding commission revenue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(2,569,025)</w:t>
            </w:r>
          </w:p>
        </w:tc>
        <w:tc>
          <w:tcPr>
            <w:tcW w:w="30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(3,655,522)</w:t>
            </w:r>
          </w:p>
        </w:tc>
        <w:tc>
          <w:tcPr>
            <w:tcW w:w="280" w:type="dxa"/>
            <w:vAlign w:val="bottom"/>
          </w:tcPr>
          <w:p>
            <w:pPr>
              <w:spacing w:after="0"/>
              <w:rPr>
                <w:sz w:val="18"/>
                <w:szCs w:val="18"/>
                <w:color w:val="auto"/>
              </w:rPr>
            </w:pP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(5,339,362)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(6,744,926)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Less: Other income</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(277,101)</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(232,053)</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(526,099)</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underwriting expenses</w:t>
            </w:r>
          </w:p>
        </w:tc>
        <w:tc>
          <w:tcPr>
            <w:tcW w:w="172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5,276,216</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2,674,252</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9,873,388</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5,775,994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premiums earned</w:t>
            </w:r>
          </w:p>
        </w:tc>
        <w:tc>
          <w:tcPr>
            <w:tcW w:w="172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15,010,875</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10,865,715</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29,542,550</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6"/>
              <w:spacing w:after="0"/>
              <w:rPr>
                <w:sz w:val="20"/>
                <w:szCs w:val="20"/>
                <w:color w:val="auto"/>
              </w:rPr>
            </w:pPr>
            <w:r>
              <w:rPr>
                <w:rFonts w:ascii="Arial" w:cs="Arial" w:eastAsia="Arial" w:hAnsi="Arial"/>
                <w:sz w:val="17"/>
                <w:szCs w:val="17"/>
                <w:color w:val="auto"/>
                <w:w w:val="98"/>
              </w:rPr>
              <w:t>21,251,514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80" w:type="dxa"/>
            <w:vAlign w:val="bottom"/>
            <w:vMerge w:val="restart"/>
          </w:tcPr>
          <w:p>
            <w:pPr>
              <w:jc w:val="right"/>
              <w:ind w:right="55"/>
              <w:spacing w:after="0"/>
              <w:rPr>
                <w:sz w:val="20"/>
                <w:szCs w:val="20"/>
                <w:color w:val="auto"/>
              </w:rPr>
            </w:pPr>
            <w:r>
              <w:rPr>
                <w:rFonts w:ascii="Arial" w:cs="Arial" w:eastAsia="Arial" w:hAnsi="Arial"/>
                <w:sz w:val="17"/>
                <w:szCs w:val="17"/>
                <w:color w:val="auto"/>
              </w:rPr>
              <w:t>53</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3"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Direct</w:t>
            </w:r>
          </w:p>
        </w:tc>
        <w:tc>
          <w:tcPr>
            <w:tcW w:w="260" w:type="dxa"/>
            <w:vAlign w:val="bottom"/>
          </w:tcPr>
          <w:p>
            <w:pPr>
              <w:spacing w:after="0"/>
              <w:rPr>
                <w:sz w:val="15"/>
                <w:szCs w:val="15"/>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w w:val="98"/>
              </w:rPr>
              <w:t>Assumed</w:t>
            </w:r>
          </w:p>
        </w:tc>
        <w:tc>
          <w:tcPr>
            <w:tcW w:w="240" w:type="dxa"/>
            <w:vAlign w:val="bottom"/>
          </w:tcPr>
          <w:p>
            <w:pPr>
              <w:spacing w:after="0"/>
              <w:rPr>
                <w:sz w:val="15"/>
                <w:szCs w:val="15"/>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Ceded</w:t>
            </w:r>
          </w:p>
        </w:tc>
        <w:tc>
          <w:tcPr>
            <w:tcW w:w="260" w:type="dxa"/>
            <w:vAlign w:val="bottom"/>
          </w:tcPr>
          <w:p>
            <w:pPr>
              <w:spacing w:after="0"/>
              <w:rPr>
                <w:sz w:val="15"/>
                <w:szCs w:val="15"/>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jc w:val="center"/>
              <w:ind w:right="2055"/>
              <w:spacing w:after="0"/>
              <w:rPr>
                <w:sz w:val="20"/>
                <w:szCs w:val="20"/>
                <w:color w:val="auto"/>
              </w:rPr>
            </w:pPr>
            <w:r>
              <w:rPr>
                <w:rFonts w:ascii="Arial" w:cs="Arial" w:eastAsia="Arial" w:hAnsi="Arial"/>
                <w:sz w:val="17"/>
                <w:szCs w:val="17"/>
                <w:b w:val="1"/>
                <w:bCs w:val="1"/>
                <w:color w:val="auto"/>
                <w:w w:val="87"/>
              </w:rPr>
              <w:t>Six months ended June 30, 2016</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49,204,416</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15,998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(17,605,857)</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31,614,557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(2,573,545)</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3,537</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498,001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46,630,871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19,535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(17,107,856)</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29,542,550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exluding</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jc w:val="center"/>
              <w:ind w:right="2055"/>
              <w:spacing w:after="0"/>
              <w:rPr>
                <w:sz w:val="20"/>
                <w:szCs w:val="20"/>
                <w:color w:val="auto"/>
              </w:rPr>
            </w:pPr>
            <w:r>
              <w:rPr>
                <w:rFonts w:ascii="Arial" w:cs="Arial" w:eastAsia="Arial" w:hAnsi="Arial"/>
                <w:sz w:val="17"/>
                <w:szCs w:val="17"/>
                <w:color w:val="auto"/>
                <w:w w:val="89"/>
              </w:rPr>
              <w:t>the effect of catastrophes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20,006,890</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30,295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(6,168,971)</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13,868,214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2,337,461</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(934,984)</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1,402,477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22,344,351</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30,295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(7,103,955)</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15,270,691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155.1%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36.1%</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jc w:val="center"/>
              <w:ind w:right="2055"/>
              <w:spacing w:after="0"/>
              <w:rPr>
                <w:sz w:val="20"/>
                <w:szCs w:val="20"/>
                <w:color w:val="auto"/>
              </w:rPr>
            </w:pPr>
            <w:r>
              <w:rPr>
                <w:rFonts w:ascii="Arial" w:cs="Arial" w:eastAsia="Arial" w:hAnsi="Arial"/>
                <w:sz w:val="17"/>
                <w:szCs w:val="17"/>
                <w:b w:val="1"/>
                <w:bCs w:val="1"/>
                <w:color w:val="auto"/>
                <w:w w:val="87"/>
              </w:rPr>
              <w:t>Six months ended June 30, 2015</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42,655,494</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21,870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(18,667,737)</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24,009,627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(3,654,318)</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2,377</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893,828</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(2,758,113)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39,001,176</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24,247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(17,773,909)</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21,251,514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exluding</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jc w:val="center"/>
              <w:ind w:right="2055"/>
              <w:spacing w:after="0"/>
              <w:rPr>
                <w:sz w:val="20"/>
                <w:szCs w:val="20"/>
                <w:color w:val="auto"/>
              </w:rPr>
            </w:pPr>
            <w:r>
              <w:rPr>
                <w:rFonts w:ascii="Arial" w:cs="Arial" w:eastAsia="Arial" w:hAnsi="Arial"/>
                <w:sz w:val="17"/>
                <w:szCs w:val="17"/>
                <w:color w:val="auto"/>
                <w:w w:val="89"/>
              </w:rPr>
              <w:t>the effect of catastrophes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16,405,831</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70,726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(6,654,888)</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9,821,669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4,471,913</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(2,459,552)</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2,012,361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20,877,744</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70,726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(9,114,440)</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11,834,030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291.7%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291.7%</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Three months ended June 30, 2016</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26,161,091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10,920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(9,219,329)</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16,952,682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(2,447,117)</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(34)</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505,344</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23,713,974</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10,886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(8,713,985)</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15,010,875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exluding</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jc w:val="center"/>
              <w:ind w:right="2055"/>
              <w:spacing w:after="0"/>
              <w:rPr>
                <w:sz w:val="20"/>
                <w:szCs w:val="20"/>
                <w:color w:val="auto"/>
              </w:rPr>
            </w:pPr>
            <w:r>
              <w:rPr>
                <w:rFonts w:ascii="Arial" w:cs="Arial" w:eastAsia="Arial" w:hAnsi="Arial"/>
                <w:sz w:val="17"/>
                <w:szCs w:val="17"/>
                <w:color w:val="auto"/>
                <w:w w:val="89"/>
              </w:rPr>
              <w:t>the effect of catastrophes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8,569,126</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7,998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(2,790,288)</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5,786,836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8,569,126</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7,998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(2,790,288)</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5,786,836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Three months ended June 30, 2015</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23,166,065</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13,959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(10,048,331)</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13,131,693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(3,181,987)</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(1,535)</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917,544</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(2,265,978)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19,984,078</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12,424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(9,130,787)</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10,865,715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exluding</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jc w:val="center"/>
              <w:ind w:right="2055"/>
              <w:spacing w:after="0"/>
              <w:rPr>
                <w:sz w:val="20"/>
                <w:szCs w:val="20"/>
                <w:color w:val="auto"/>
              </w:rPr>
            </w:pPr>
            <w:r>
              <w:rPr>
                <w:rFonts w:ascii="Arial" w:cs="Arial" w:eastAsia="Arial" w:hAnsi="Arial"/>
                <w:sz w:val="17"/>
                <w:szCs w:val="17"/>
                <w:color w:val="auto"/>
                <w:w w:val="89"/>
              </w:rPr>
              <w:t>the effect of catastrophes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8,037,620</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12,684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(3,453,444)</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4,596,860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386,562</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(212,609)</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173,953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8,424,182</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12,684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(3,666,053)</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4,770,813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40.2%</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102.1%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37.8%</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vMerge w:val="restart"/>
          </w:tcPr>
          <w:p>
            <w:pPr>
              <w:jc w:val="right"/>
              <w:ind w:right="55"/>
              <w:spacing w:after="0"/>
              <w:rPr>
                <w:sz w:val="20"/>
                <w:szCs w:val="20"/>
                <w:color w:val="auto"/>
              </w:rPr>
            </w:pPr>
            <w:r>
              <w:rPr>
                <w:rFonts w:ascii="Arial" w:cs="Arial" w:eastAsia="Arial" w:hAnsi="Arial"/>
                <w:sz w:val="17"/>
                <w:szCs w:val="17"/>
                <w:color w:val="auto"/>
              </w:rPr>
              <w:t>54</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56" w:name="page57"/>
    <w:bookmarkEnd w:id="56"/>
    <w:p>
      <w:pPr>
        <w:ind w:left="640"/>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920" w:type="dxa"/>
            <w:vAlign w:val="bottom"/>
          </w:tcPr>
          <w:p>
            <w:pPr>
              <w:jc w:val="center"/>
              <w:ind w:left="768"/>
              <w:spacing w:after="0"/>
              <w:rPr>
                <w:sz w:val="20"/>
                <w:szCs w:val="20"/>
                <w:color w:val="auto"/>
              </w:rPr>
            </w:pPr>
            <w:r>
              <w:rPr>
                <w:rFonts w:ascii="Arial" w:cs="Arial" w:eastAsia="Arial" w:hAnsi="Arial"/>
                <w:sz w:val="14"/>
                <w:szCs w:val="14"/>
                <w:b w:val="1"/>
                <w:bCs w:val="1"/>
                <w:color w:val="auto"/>
                <w:w w:val="89"/>
              </w:rPr>
              <w:t>Six months ended</w:t>
            </w:r>
          </w:p>
        </w:tc>
        <w:tc>
          <w:tcPr>
            <w:tcW w:w="820" w:type="dxa"/>
            <w:vAlign w:val="bottom"/>
          </w:tcPr>
          <w:p>
            <w:pPr>
              <w:spacing w:after="0"/>
              <w:rPr>
                <w:sz w:val="16"/>
                <w:szCs w:val="16"/>
                <w:color w:val="auto"/>
              </w:rPr>
            </w:pPr>
          </w:p>
        </w:tc>
      </w:tr>
      <w:tr>
        <w:trPr>
          <w:trHeight w:val="200"/>
        </w:trPr>
        <w:tc>
          <w:tcPr>
            <w:tcW w:w="59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w w:val="92"/>
              </w:rPr>
              <w:t>June 30,</w:t>
            </w:r>
          </w:p>
        </w:tc>
        <w:tc>
          <w:tcPr>
            <w:tcW w:w="192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7"/>
                <w:szCs w:val="17"/>
                <w:color w:val="auto"/>
              </w:rPr>
            </w:pPr>
          </w:p>
        </w:tc>
      </w:tr>
      <w:tr>
        <w:trPr>
          <w:trHeight w:val="215"/>
        </w:trPr>
        <w:tc>
          <w:tcPr>
            <w:tcW w:w="69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7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920" w:type="dxa"/>
            <w:vAlign w:val="bottom"/>
          </w:tcPr>
          <w:p>
            <w:pPr>
              <w:jc w:val="right"/>
              <w:ind w:right="1008"/>
              <w:spacing w:after="0"/>
              <w:rPr>
                <w:sz w:val="20"/>
                <w:szCs w:val="20"/>
                <w:color w:val="auto"/>
              </w:rPr>
            </w:pPr>
            <w:r>
              <w:rPr>
                <w:rFonts w:ascii="Arial" w:cs="Arial" w:eastAsia="Arial" w:hAnsi="Arial"/>
                <w:sz w:val="14"/>
                <w:szCs w:val="14"/>
                <w:b w:val="1"/>
                <w:bCs w:val="1"/>
                <w:color w:val="auto"/>
              </w:rPr>
              <w:t>2016</w:t>
            </w:r>
          </w:p>
        </w:tc>
        <w:tc>
          <w:tcPr>
            <w:tcW w:w="820" w:type="dxa"/>
            <w:vAlign w:val="bottom"/>
          </w:tcPr>
          <w:p>
            <w:pPr>
              <w:jc w:val="right"/>
              <w:ind w:right="468"/>
              <w:spacing w:after="0"/>
              <w:rPr>
                <w:sz w:val="20"/>
                <w:szCs w:val="20"/>
                <w:color w:val="auto"/>
              </w:rPr>
            </w:pPr>
            <w:r>
              <w:rPr>
                <w:rFonts w:ascii="Arial" w:cs="Arial" w:eastAsia="Arial" w:hAnsi="Arial"/>
                <w:sz w:val="14"/>
                <w:szCs w:val="14"/>
                <w:b w:val="1"/>
                <w:bCs w:val="1"/>
                <w:color w:val="auto"/>
                <w:w w:val="83"/>
              </w:rPr>
              <w:t>2015</w:t>
            </w:r>
          </w:p>
        </w:tc>
      </w:tr>
      <w:tr>
        <w:trPr>
          <w:trHeight w:val="209"/>
        </w:trPr>
        <w:tc>
          <w:tcPr>
            <w:tcW w:w="59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288" w:right="239" w:bottom="1440" w:gutter="0" w:footer="0" w:header="0"/>
        </w:sectPr>
      </w:pPr>
    </w:p>
    <w:p>
      <w:pPr>
        <w:spacing w:after="0"/>
        <w:rPr>
          <w:sz w:val="20"/>
          <w:szCs w:val="20"/>
          <w:color w:val="auto"/>
        </w:rPr>
      </w:pPr>
      <w:r>
        <w:rPr>
          <w:rFonts w:ascii="Arial" w:cs="Arial" w:eastAsia="Arial" w:hAnsi="Arial"/>
          <w:sz w:val="17"/>
          <w:szCs w:val="17"/>
          <w:color w:val="auto"/>
        </w:rPr>
        <w:t>Net premiums earned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Ceding commission revenue (1)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Other income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Loss and loss adjustment expenses (2)</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Acquistion costs and other underwriting expenses: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Commission expense</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underwriting expenses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Total acquistion costs and other</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underwriting expenses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Underwriting income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Key Measures:</w:t>
      </w:r>
    </w:p>
    <w:p>
      <w:pPr>
        <w:spacing w:after="0" w:line="20" w:lineRule="exact"/>
        <w:rPr>
          <w:sz w:val="20"/>
          <w:szCs w:val="20"/>
          <w:color w:val="auto"/>
        </w:rPr>
      </w:pPr>
    </w:p>
    <w:p>
      <w:pPr>
        <w:jc w:val="both"/>
        <w:ind w:left="160" w:right="1700"/>
        <w:spacing w:after="0" w:line="305" w:lineRule="auto"/>
        <w:rPr>
          <w:sz w:val="20"/>
          <w:szCs w:val="20"/>
          <w:color w:val="auto"/>
        </w:rPr>
      </w:pPr>
      <w:r>
        <w:rPr>
          <w:rFonts w:ascii="Arial" w:cs="Arial" w:eastAsia="Arial" w:hAnsi="Arial"/>
          <w:sz w:val="15"/>
          <w:szCs w:val="15"/>
          <w:color w:val="auto"/>
        </w:rPr>
        <w:t>Net loss ratio excluding the effect of catastrophes Effect of catastrophe loss on net loss ratio (2) (3)</w:t>
      </w:r>
    </w:p>
    <w:p>
      <w:pPr>
        <w:ind w:left="160"/>
        <w:spacing w:after="0"/>
        <w:rPr>
          <w:sz w:val="20"/>
          <w:szCs w:val="20"/>
          <w:color w:val="auto"/>
        </w:rPr>
      </w:pPr>
      <w:r>
        <w:rPr>
          <w:rFonts w:ascii="Arial" w:cs="Arial" w:eastAsia="Arial" w:hAnsi="Arial"/>
          <w:sz w:val="17"/>
          <w:szCs w:val="17"/>
          <w:color w:val="auto"/>
        </w:rPr>
        <w:t>Net loss ratio</w:t>
      </w:r>
    </w:p>
    <w:p>
      <w:pPr>
        <w:spacing w:after="0" w:line="249" w:lineRule="exact"/>
        <w:rPr>
          <w:sz w:val="20"/>
          <w:szCs w:val="20"/>
          <w:color w:val="auto"/>
        </w:rPr>
      </w:pPr>
    </w:p>
    <w:p>
      <w:pPr>
        <w:ind w:left="320" w:right="1980" w:hanging="156"/>
        <w:spacing w:after="0" w:line="260" w:lineRule="auto"/>
        <w:rPr>
          <w:sz w:val="20"/>
          <w:szCs w:val="20"/>
          <w:color w:val="auto"/>
        </w:rPr>
      </w:pPr>
      <w:r>
        <w:rPr>
          <w:rFonts w:ascii="Arial" w:cs="Arial" w:eastAsia="Arial" w:hAnsi="Arial"/>
          <w:sz w:val="17"/>
          <w:szCs w:val="17"/>
          <w:color w:val="auto"/>
        </w:rPr>
        <w:t>Net underwriting expense ratio excluding the effect of catastrophes</w:t>
      </w:r>
    </w:p>
    <w:p>
      <w:pPr>
        <w:spacing w:after="0" w:line="1" w:lineRule="exact"/>
        <w:rPr>
          <w:sz w:val="20"/>
          <w:szCs w:val="20"/>
          <w:color w:val="auto"/>
        </w:rPr>
      </w:pPr>
    </w:p>
    <w:p>
      <w:pPr>
        <w:ind w:left="320" w:right="1960" w:hanging="156"/>
        <w:spacing w:after="0" w:line="269" w:lineRule="auto"/>
        <w:rPr>
          <w:sz w:val="20"/>
          <w:szCs w:val="20"/>
          <w:color w:val="auto"/>
        </w:rPr>
      </w:pPr>
      <w:r>
        <w:rPr>
          <w:rFonts w:ascii="Arial" w:cs="Arial" w:eastAsia="Arial" w:hAnsi="Arial"/>
          <w:sz w:val="17"/>
          <w:szCs w:val="17"/>
          <w:color w:val="auto"/>
        </w:rPr>
        <w:t>Effect of catastrophe loss on net underwriting expense ratio (1) (2) (3)</w:t>
      </w:r>
    </w:p>
    <w:p>
      <w:pPr>
        <w:ind w:left="160"/>
        <w:spacing w:after="0"/>
        <w:rPr>
          <w:sz w:val="20"/>
          <w:szCs w:val="20"/>
          <w:color w:val="auto"/>
        </w:rPr>
      </w:pPr>
      <w:r>
        <w:rPr>
          <w:rFonts w:ascii="Arial" w:cs="Arial" w:eastAsia="Arial" w:hAnsi="Arial"/>
          <w:sz w:val="17"/>
          <w:szCs w:val="17"/>
          <w:color w:val="auto"/>
        </w:rPr>
        <w:t>Net underwriting expense ratio</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combined ratio excluding the effect</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of catastrophes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Effect of catastrophe loss on net combined</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ratio (1) (2) (3)</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combined ratio</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Reconciliation of net underwriting expense ratio:</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Acquisition costs and other</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underwriting expenses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Less: Ceding commission revenue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15,010,875</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10,865,715</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29,542,550</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21,251,514</w:t>
            </w:r>
          </w:p>
        </w:tc>
      </w:tr>
      <w:tr>
        <w:trPr>
          <w:trHeight w:val="209"/>
        </w:trPr>
        <w:tc>
          <w:tcPr>
            <w:tcW w:w="34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2,569,025</w:t>
            </w:r>
          </w:p>
        </w:tc>
        <w:tc>
          <w:tcPr>
            <w:tcW w:w="3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3,655,522</w:t>
            </w:r>
          </w:p>
        </w:tc>
        <w:tc>
          <w:tcPr>
            <w:tcW w:w="36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5,339,362</w:t>
            </w:r>
          </w:p>
        </w:tc>
        <w:tc>
          <w:tcPr>
            <w:tcW w:w="3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6,744,926</w:t>
            </w:r>
          </w:p>
        </w:tc>
      </w:tr>
      <w:tr>
        <w:trPr>
          <w:trHeight w:val="216"/>
        </w:trPr>
        <w:tc>
          <w:tcPr>
            <w:tcW w:w="34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277,101</w:t>
            </w:r>
          </w:p>
        </w:tc>
        <w:tc>
          <w:tcPr>
            <w:tcW w:w="3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232,053</w:t>
            </w:r>
          </w:p>
        </w:tc>
        <w:tc>
          <w:tcPr>
            <w:tcW w:w="36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526,099</w:t>
            </w:r>
          </w:p>
        </w:tc>
        <w:tc>
          <w:tcPr>
            <w:tcW w:w="3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452,389</w:t>
            </w:r>
          </w:p>
        </w:tc>
      </w:tr>
      <w:tr>
        <w:trPr>
          <w:trHeight w:val="419"/>
        </w:trPr>
        <w:tc>
          <w:tcPr>
            <w:tcW w:w="340" w:type="dxa"/>
            <w:vAlign w:val="bottom"/>
          </w:tcPr>
          <w:p>
            <w:pPr>
              <w:spacing w:after="0"/>
              <w:rPr>
                <w:sz w:val="24"/>
                <w:szCs w:val="24"/>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5,786,836</w:t>
            </w:r>
          </w:p>
        </w:tc>
        <w:tc>
          <w:tcPr>
            <w:tcW w:w="3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4,770,813</w:t>
            </w:r>
          </w:p>
        </w:tc>
        <w:tc>
          <w:tcPr>
            <w:tcW w:w="360" w:type="dxa"/>
            <w:vAlign w:val="bottom"/>
          </w:tcPr>
          <w:p>
            <w:pPr>
              <w:spacing w:after="0"/>
              <w:rPr>
                <w:sz w:val="24"/>
                <w:szCs w:val="24"/>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15,270,691</w:t>
            </w:r>
          </w:p>
        </w:tc>
        <w:tc>
          <w:tcPr>
            <w:tcW w:w="340" w:type="dxa"/>
            <w:vAlign w:val="bottom"/>
          </w:tcPr>
          <w:p>
            <w:pPr>
              <w:spacing w:after="0"/>
              <w:rPr>
                <w:sz w:val="24"/>
                <w:szCs w:val="24"/>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11,834,030</w:t>
            </w:r>
          </w:p>
        </w:tc>
      </w:tr>
      <w:tr>
        <w:trPr>
          <w:trHeight w:val="622"/>
        </w:trPr>
        <w:tc>
          <w:tcPr>
            <w:tcW w:w="340" w:type="dxa"/>
            <w:vAlign w:val="bottom"/>
          </w:tcPr>
          <w:p>
            <w:pPr>
              <w:spacing w:after="0"/>
              <w:rPr>
                <w:sz w:val="24"/>
                <w:szCs w:val="24"/>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4,526,208</w:t>
            </w:r>
          </w:p>
        </w:tc>
        <w:tc>
          <w:tcPr>
            <w:tcW w:w="3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3,600,164</w:t>
            </w:r>
          </w:p>
        </w:tc>
        <w:tc>
          <w:tcPr>
            <w:tcW w:w="360" w:type="dxa"/>
            <w:vAlign w:val="bottom"/>
          </w:tcPr>
          <w:p>
            <w:pPr>
              <w:spacing w:after="0"/>
              <w:rPr>
                <w:sz w:val="24"/>
                <w:szCs w:val="24"/>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8,796,274</w:t>
            </w:r>
          </w:p>
        </w:tc>
        <w:tc>
          <w:tcPr>
            <w:tcW w:w="340" w:type="dxa"/>
            <w:vAlign w:val="bottom"/>
          </w:tcPr>
          <w:p>
            <w:pPr>
              <w:spacing w:after="0"/>
              <w:rPr>
                <w:sz w:val="24"/>
                <w:szCs w:val="24"/>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7,012,491</w:t>
            </w:r>
          </w:p>
        </w:tc>
      </w:tr>
      <w:tr>
        <w:trPr>
          <w:trHeight w:val="224"/>
        </w:trPr>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3,596,134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2,961,663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6,942,575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5,960,818</w:t>
            </w:r>
          </w:p>
        </w:tc>
      </w:tr>
      <w:tr>
        <w:trPr>
          <w:trHeight w:val="425"/>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8,122,342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6,561,827</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15,738,849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12,973,309</w:t>
            </w:r>
          </w:p>
        </w:tc>
      </w:tr>
      <w:tr>
        <w:trPr>
          <w:trHeight w:val="417"/>
        </w:trPr>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3,947,823</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3,420,650</w:t>
            </w:r>
          </w:p>
        </w:tc>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4,398,471</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3,641,490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-1660525</wp:posOffset>
            </wp:positionV>
            <wp:extent cx="7251065" cy="132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-1394460</wp:posOffset>
            </wp:positionV>
            <wp:extent cx="7251065" cy="132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-1129030</wp:posOffset>
            </wp:positionV>
            <wp:extent cx="7251065" cy="132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-862965</wp:posOffset>
            </wp:positionV>
            <wp:extent cx="7251065" cy="132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-581025</wp:posOffset>
            </wp:positionV>
            <wp:extent cx="7251065" cy="132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-298450</wp:posOffset>
            </wp:positionV>
            <wp:extent cx="7251065" cy="132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0</wp:posOffset>
            </wp:positionV>
            <wp:extent cx="7251065" cy="132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40" w:type="dxa"/>
            <w:vAlign w:val="bottom"/>
          </w:tcPr>
          <w:p>
            <w:pPr>
              <w:jc w:val="right"/>
              <w:spacing w:after="0"/>
              <w:rPr>
                <w:sz w:val="20"/>
                <w:szCs w:val="20"/>
                <w:color w:val="auto"/>
              </w:rPr>
            </w:pPr>
            <w:r>
              <w:rPr>
                <w:rFonts w:ascii="Arial" w:cs="Arial" w:eastAsia="Arial" w:hAnsi="Arial"/>
                <w:sz w:val="17"/>
                <w:szCs w:val="17"/>
                <w:color w:val="auto"/>
              </w:rPr>
              <w:t>38.6%</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42.3%</w:t>
            </w:r>
          </w:p>
        </w:tc>
        <w:tc>
          <w:tcPr>
            <w:tcW w:w="1380" w:type="dxa"/>
            <w:vAlign w:val="bottom"/>
          </w:tcPr>
          <w:p>
            <w:pPr>
              <w:jc w:val="right"/>
              <w:spacing w:after="0"/>
              <w:rPr>
                <w:sz w:val="20"/>
                <w:szCs w:val="20"/>
                <w:color w:val="auto"/>
              </w:rPr>
            </w:pPr>
            <w:r>
              <w:rPr>
                <w:rFonts w:ascii="Arial" w:cs="Arial" w:eastAsia="Arial" w:hAnsi="Arial"/>
                <w:sz w:val="17"/>
                <w:szCs w:val="17"/>
                <w:color w:val="auto"/>
              </w:rPr>
              <w:t>46.9%</w:t>
            </w:r>
          </w:p>
        </w:tc>
        <w:tc>
          <w:tcPr>
            <w:tcW w:w="1280" w:type="dxa"/>
            <w:vAlign w:val="bottom"/>
          </w:tcPr>
          <w:p>
            <w:pPr>
              <w:jc w:val="right"/>
              <w:spacing w:after="0"/>
              <w:rPr>
                <w:sz w:val="20"/>
                <w:szCs w:val="20"/>
                <w:color w:val="auto"/>
              </w:rPr>
            </w:pPr>
            <w:r>
              <w:rPr>
                <w:rFonts w:ascii="Arial" w:cs="Arial" w:eastAsia="Arial" w:hAnsi="Arial"/>
                <w:sz w:val="17"/>
                <w:szCs w:val="17"/>
                <w:color w:val="auto"/>
              </w:rPr>
              <w:t>46.2%</w:t>
            </w:r>
          </w:p>
        </w:tc>
      </w:tr>
      <w:tr>
        <w:trPr>
          <w:trHeight w:val="224"/>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r>
      <w:tr>
        <w:trPr>
          <w:trHeight w:val="215"/>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r>
      <w:tr>
        <w:trPr>
          <w:trHeight w:val="626"/>
        </w:trPr>
        <w:tc>
          <w:tcPr>
            <w:tcW w:w="1440" w:type="dxa"/>
            <w:vAlign w:val="bottom"/>
          </w:tcPr>
          <w:p>
            <w:pPr>
              <w:jc w:val="right"/>
              <w:spacing w:after="0"/>
              <w:rPr>
                <w:sz w:val="20"/>
                <w:szCs w:val="20"/>
                <w:color w:val="auto"/>
              </w:rPr>
            </w:pPr>
            <w:r>
              <w:rPr>
                <w:rFonts w:ascii="Arial" w:cs="Arial" w:eastAsia="Arial" w:hAnsi="Arial"/>
                <w:sz w:val="17"/>
                <w:szCs w:val="17"/>
                <w:color w:val="auto"/>
              </w:rPr>
              <w:t>35.1%</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23.1%</w:t>
            </w:r>
          </w:p>
        </w:tc>
        <w:tc>
          <w:tcPr>
            <w:tcW w:w="1380" w:type="dxa"/>
            <w:vAlign w:val="bottom"/>
          </w:tcPr>
          <w:p>
            <w:pPr>
              <w:jc w:val="right"/>
              <w:spacing w:after="0"/>
              <w:rPr>
                <w:sz w:val="20"/>
                <w:szCs w:val="20"/>
                <w:color w:val="auto"/>
              </w:rPr>
            </w:pPr>
            <w:r>
              <w:rPr>
                <w:rFonts w:ascii="Arial" w:cs="Arial" w:eastAsia="Arial" w:hAnsi="Arial"/>
                <w:sz w:val="17"/>
                <w:szCs w:val="17"/>
                <w:color w:val="auto"/>
              </w:rPr>
              <w:t>33.4%</w:t>
            </w:r>
          </w:p>
        </w:tc>
        <w:tc>
          <w:tcPr>
            <w:tcW w:w="1280" w:type="dxa"/>
            <w:vAlign w:val="bottom"/>
          </w:tcPr>
          <w:p>
            <w:pPr>
              <w:jc w:val="right"/>
              <w:spacing w:after="0"/>
              <w:rPr>
                <w:sz w:val="20"/>
                <w:szCs w:val="20"/>
                <w:color w:val="auto"/>
              </w:rPr>
            </w:pPr>
            <w:r>
              <w:rPr>
                <w:rFonts w:ascii="Arial" w:cs="Arial" w:eastAsia="Arial" w:hAnsi="Arial"/>
                <w:sz w:val="17"/>
                <w:szCs w:val="17"/>
                <w:color w:val="auto"/>
              </w:rPr>
              <w:t>21.2%</w:t>
            </w:r>
          </w:p>
        </w:tc>
      </w:tr>
      <w:tr>
        <w:trPr>
          <w:trHeight w:val="427"/>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15"/>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r>
      <w:tr>
        <w:trPr>
          <w:trHeight w:val="626"/>
        </w:trPr>
        <w:tc>
          <w:tcPr>
            <w:tcW w:w="1440" w:type="dxa"/>
            <w:vAlign w:val="bottom"/>
          </w:tcPr>
          <w:p>
            <w:pPr>
              <w:jc w:val="right"/>
              <w:spacing w:after="0"/>
              <w:rPr>
                <w:sz w:val="20"/>
                <w:szCs w:val="20"/>
                <w:color w:val="auto"/>
              </w:rPr>
            </w:pPr>
            <w:r>
              <w:rPr>
                <w:rFonts w:ascii="Arial" w:cs="Arial" w:eastAsia="Arial" w:hAnsi="Arial"/>
                <w:sz w:val="17"/>
                <w:szCs w:val="17"/>
                <w:color w:val="auto"/>
              </w:rPr>
              <w:t>73.7%</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65.4%</w:t>
            </w:r>
          </w:p>
        </w:tc>
        <w:tc>
          <w:tcPr>
            <w:tcW w:w="1380" w:type="dxa"/>
            <w:vAlign w:val="bottom"/>
          </w:tcPr>
          <w:p>
            <w:pPr>
              <w:jc w:val="right"/>
              <w:spacing w:after="0"/>
              <w:rPr>
                <w:sz w:val="20"/>
                <w:szCs w:val="20"/>
                <w:color w:val="auto"/>
              </w:rPr>
            </w:pPr>
            <w:r>
              <w:rPr>
                <w:rFonts w:ascii="Arial" w:cs="Arial" w:eastAsia="Arial" w:hAnsi="Arial"/>
                <w:sz w:val="17"/>
                <w:szCs w:val="17"/>
                <w:color w:val="auto"/>
              </w:rPr>
              <w:t>80.3%</w:t>
            </w:r>
          </w:p>
        </w:tc>
        <w:tc>
          <w:tcPr>
            <w:tcW w:w="1280" w:type="dxa"/>
            <w:vAlign w:val="bottom"/>
          </w:tcPr>
          <w:p>
            <w:pPr>
              <w:jc w:val="right"/>
              <w:spacing w:after="0"/>
              <w:rPr>
                <w:sz w:val="20"/>
                <w:szCs w:val="20"/>
                <w:color w:val="auto"/>
              </w:rPr>
            </w:pPr>
            <w:r>
              <w:rPr>
                <w:rFonts w:ascii="Arial" w:cs="Arial" w:eastAsia="Arial" w:hAnsi="Arial"/>
                <w:sz w:val="17"/>
                <w:szCs w:val="17"/>
                <w:color w:val="auto"/>
              </w:rPr>
              <w:t>67.4%</w:t>
            </w:r>
          </w:p>
        </w:tc>
      </w:tr>
      <w:tr>
        <w:trPr>
          <w:trHeight w:val="427"/>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r>
      <w:tr>
        <w:trPr>
          <w:trHeight w:val="209"/>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21"/>
        </w:trPr>
        <w:tc>
          <w:tcPr>
            <w:tcW w:w="1440" w:type="dxa"/>
            <w:vAlign w:val="bottom"/>
          </w:tcPr>
          <w:p>
            <w:pPr>
              <w:jc w:val="right"/>
              <w:ind w:right="122"/>
              <w:spacing w:after="0"/>
              <w:rPr>
                <w:sz w:val="20"/>
                <w:szCs w:val="20"/>
                <w:color w:val="auto"/>
              </w:rPr>
            </w:pPr>
            <w:r>
              <w:rPr>
                <w:rFonts w:ascii="Arial" w:cs="Arial" w:eastAsia="Arial" w:hAnsi="Arial"/>
                <w:sz w:val="17"/>
                <w:szCs w:val="17"/>
                <w:color w:val="auto"/>
                <w:w w:val="89"/>
              </w:rPr>
              <w:t>$8,122,342</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6,561,827</w:t>
            </w:r>
          </w:p>
        </w:tc>
        <w:tc>
          <w:tcPr>
            <w:tcW w:w="1380" w:type="dxa"/>
            <w:vAlign w:val="bottom"/>
          </w:tcPr>
          <w:p>
            <w:pPr>
              <w:jc w:val="right"/>
              <w:ind w:right="135"/>
              <w:spacing w:after="0"/>
              <w:rPr>
                <w:sz w:val="20"/>
                <w:szCs w:val="20"/>
                <w:color w:val="auto"/>
              </w:rPr>
            </w:pPr>
            <w:r>
              <w:rPr>
                <w:rFonts w:ascii="Arial" w:cs="Arial" w:eastAsia="Arial" w:hAnsi="Arial"/>
                <w:sz w:val="17"/>
                <w:szCs w:val="17"/>
                <w:color w:val="auto"/>
              </w:rPr>
              <w:t>$   15,738,849</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   12,973,309</w:t>
            </w:r>
          </w:p>
        </w:tc>
      </w:tr>
      <w:tr>
        <w:trPr>
          <w:trHeight w:val="216"/>
        </w:trPr>
        <w:tc>
          <w:tcPr>
            <w:tcW w:w="1440" w:type="dxa"/>
            <w:vAlign w:val="bottom"/>
          </w:tcPr>
          <w:p>
            <w:pPr>
              <w:jc w:val="right"/>
              <w:ind w:right="62"/>
              <w:spacing w:after="0"/>
              <w:rPr>
                <w:sz w:val="20"/>
                <w:szCs w:val="20"/>
                <w:color w:val="auto"/>
              </w:rPr>
            </w:pPr>
            <w:r>
              <w:rPr>
                <w:rFonts w:ascii="Arial" w:cs="Arial" w:eastAsia="Arial" w:hAnsi="Arial"/>
                <w:sz w:val="17"/>
                <w:szCs w:val="17"/>
                <w:color w:val="auto"/>
              </w:rPr>
              <w:t>(2,569,025)</w:t>
            </w:r>
          </w:p>
        </w:tc>
        <w:tc>
          <w:tcPr>
            <w:tcW w:w="300" w:type="dxa"/>
            <w:vAlign w:val="bottom"/>
          </w:tcPr>
          <w:p>
            <w:pPr>
              <w:spacing w:after="0"/>
              <w:rPr>
                <w:sz w:val="18"/>
                <w:szCs w:val="18"/>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(3,655,522)</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(5,339,362)</w:t>
            </w:r>
          </w:p>
        </w:tc>
        <w:tc>
          <w:tcPr>
            <w:tcW w:w="1280" w:type="dxa"/>
            <w:vAlign w:val="bottom"/>
          </w:tcPr>
          <w:p>
            <w:pPr>
              <w:jc w:val="right"/>
              <w:spacing w:after="0"/>
              <w:rPr>
                <w:sz w:val="20"/>
                <w:szCs w:val="20"/>
                <w:color w:val="auto"/>
              </w:rPr>
            </w:pPr>
            <w:r>
              <w:rPr>
                <w:rFonts w:ascii="Arial" w:cs="Arial" w:eastAsia="Arial" w:hAnsi="Arial"/>
                <w:sz w:val="17"/>
                <w:szCs w:val="17"/>
                <w:color w:val="auto"/>
              </w:rPr>
              <w:t>(6,744,926)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-2771775</wp:posOffset>
            </wp:positionV>
            <wp:extent cx="7251065" cy="132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-2489835</wp:posOffset>
            </wp:positionV>
            <wp:extent cx="7251065" cy="149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-2207260</wp:posOffset>
            </wp:positionV>
            <wp:extent cx="7251065" cy="132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-1941195</wp:posOffset>
            </wp:positionV>
            <wp:extent cx="7251065" cy="132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-1659255</wp:posOffset>
            </wp:positionV>
            <wp:extent cx="7251065" cy="149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-1376680</wp:posOffset>
            </wp:positionV>
            <wp:extent cx="7251065" cy="132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-1110615</wp:posOffset>
            </wp:positionV>
            <wp:extent cx="7251065" cy="132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-828675</wp:posOffset>
            </wp:positionV>
            <wp:extent cx="7251065" cy="166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065" cy="16637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-529590</wp:posOffset>
            </wp:positionV>
            <wp:extent cx="7251065" cy="132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-263525</wp:posOffset>
            </wp:positionV>
            <wp:extent cx="7251065" cy="132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5220" w:space="720"/>
            <w:col w:w="5480"/>
          </w:cols>
          <w:pgMar w:left="240" w:top="288"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Less: Other income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(277,101)</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(232,053)</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(526,099)</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(452,389)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5,276,216</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2,674,252</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9,873,388</w:t>
            </w: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5,775,994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earned premium</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15,010,875</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10,865,715</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29,542,550</w:t>
            </w: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21,251,514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35.1%</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24.6%</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33.4%</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w:t>
      </w:r>
    </w:p>
    <w:p>
      <w:pPr>
        <w:spacing w:after="0" w:line="223" w:lineRule="exact"/>
        <w:rPr>
          <w:sz w:val="20"/>
          <w:szCs w:val="20"/>
          <w:color w:val="auto"/>
        </w:rPr>
      </w:pPr>
    </w:p>
    <w:p>
      <w:pPr>
        <w:jc w:val="both"/>
        <w:ind w:firstLine="5"/>
        <w:spacing w:after="0" w:line="269" w:lineRule="auto"/>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the six months ended June 30, 2016 and 2015, the effect of severe winter weather, defined as a catastrophe, reduced contingent ceding commission revenue by $-0- and $1,280,521, respectively. For the three months ended June 30, 2016 and 2015, the effect of severe winter weather, defined as a catastrophe, reduced contingent ceding commission revenue by $-0- and $165,363,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type w:val="continuous"/>
        </w:sectPr>
      </w:pPr>
    </w:p>
    <w:bookmarkStart w:id="57" w:name="page58"/>
    <w:bookmarkEnd w:id="57"/>
    <w:p>
      <w:pPr>
        <w:jc w:val="both"/>
        <w:ind w:right="40" w:firstLine="5"/>
        <w:spacing w:after="0" w:line="269" w:lineRule="auto"/>
        <w:tabs>
          <w:tab w:leader="none" w:pos="2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six months ended June 30, 2016 and 2015, includes the sum of net catastrophe losses and loss adjustment expenses of $1,402,477 and $2,012,361, respectively, resulting from severe winter weather. For the three months ended June 30, 2016 and 2015, includes the sum of net catastrophe losses and loss adjustment expenses of $-0- and $173,953, respectively, resulting from severe winter weather.</w:t>
      </w:r>
    </w:p>
    <w:p>
      <w:pPr>
        <w:spacing w:after="0" w:line="179" w:lineRule="exact"/>
        <w:rPr>
          <w:rFonts w:ascii="Arial" w:cs="Arial" w:eastAsia="Arial" w:hAnsi="Arial"/>
          <w:sz w:val="17"/>
          <w:szCs w:val="17"/>
          <w:color w:val="auto"/>
        </w:rPr>
      </w:pPr>
    </w:p>
    <w:p>
      <w:pPr>
        <w:jc w:val="both"/>
        <w:ind w:right="40" w:firstLine="5"/>
        <w:spacing w:after="0" w:line="263" w:lineRule="auto"/>
        <w:tabs>
          <w:tab w:leader="none" w:pos="256"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six months ended June 30, 2016 and 2015, the effect of catastrophe loss from severe winter weather on our net combined ratio only includes the direct effects of loss and loss adjustment expenses and ceding commission revenue and does not include the indirect effects of a $84,149 and $351,593, respectively, decrease in other underwriting expenses. For the three months ended June 30, 2016 and 2015, the effect of catastrophe loss from severe winter weather on our net combined ratio only includes the direct effects of loss and loss adjustment expenses and ceding commission revenue and does not include the indirect effects of a $-0- and $226,244, respectively, decrease in other underwriting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a breakdown of the amortized cost, fair value and unrealized gains and losses by investment type as of June 30, 2016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Available-for-Sale Securities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4"/>
                <w:szCs w:val="14"/>
                <w:b w:val="1"/>
                <w:bCs w:val="1"/>
                <w:color w:val="auto"/>
              </w:rPr>
              <w:t>June 30, 2016</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Cost or</w:t>
            </w:r>
          </w:p>
        </w:tc>
        <w:tc>
          <w:tcPr>
            <w:tcW w:w="340" w:type="dxa"/>
            <w:vAlign w:val="bottom"/>
          </w:tcPr>
          <w:p>
            <w:pPr>
              <w:spacing w:after="0"/>
              <w:rPr>
                <w:sz w:val="24"/>
                <w:szCs w:val="24"/>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95"/>
              </w:rPr>
              <w:t>Gross Unrealized Losses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9"/>
              <w:spacing w:after="0" w:line="144" w:lineRule="exact"/>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2"/>
                <w:szCs w:val="12"/>
                <w:color w:val="auto"/>
              </w:rPr>
            </w:pPr>
          </w:p>
        </w:tc>
        <w:tc>
          <w:tcPr>
            <w:tcW w:w="920" w:type="dxa"/>
            <w:vAlign w:val="bottom"/>
          </w:tcPr>
          <w:p>
            <w:pPr>
              <w:jc w:val="center"/>
              <w:ind w:right="159"/>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39"/>
              <w:spacing w:after="0" w:line="144" w:lineRule="exact"/>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57"/>
              <w:spacing w:after="0" w:line="144" w:lineRule="exact"/>
              <w:rPr>
                <w:sz w:val="20"/>
                <w:szCs w:val="20"/>
                <w:color w:val="auto"/>
              </w:rPr>
            </w:pPr>
            <w:r>
              <w:rPr>
                <w:rFonts w:ascii="Arial" w:cs="Arial" w:eastAsia="Arial" w:hAnsi="Arial"/>
                <w:sz w:val="14"/>
                <w:szCs w:val="14"/>
                <w:b w:val="1"/>
                <w:bCs w:val="1"/>
                <w:color w:val="auto"/>
              </w:rPr>
              <w:t>More than 12</w:t>
            </w:r>
          </w:p>
        </w:tc>
        <w:tc>
          <w:tcPr>
            <w:tcW w:w="240" w:type="dxa"/>
            <w:vAlign w:val="bottom"/>
          </w:tcPr>
          <w:p>
            <w:pPr>
              <w:spacing w:after="0"/>
              <w:rPr>
                <w:sz w:val="12"/>
                <w:szCs w:val="12"/>
                <w:color w:val="auto"/>
              </w:rPr>
            </w:pPr>
          </w:p>
        </w:tc>
        <w:tc>
          <w:tcPr>
            <w:tcW w:w="1040" w:type="dxa"/>
            <w:vAlign w:val="bottom"/>
          </w:tcPr>
          <w:p>
            <w:pPr>
              <w:jc w:val="right"/>
              <w:ind w:right="498"/>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5"/>
                <w:szCs w:val="15"/>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5"/>
                <w:szCs w:val="15"/>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5"/>
                <w:szCs w:val="15"/>
                <w:color w:val="auto"/>
              </w:rPr>
            </w:pPr>
          </w:p>
        </w:tc>
        <w:tc>
          <w:tcPr>
            <w:tcW w:w="1040" w:type="dxa"/>
            <w:vAlign w:val="bottom"/>
          </w:tcPr>
          <w:p>
            <w:pPr>
              <w:jc w:val="right"/>
              <w:ind w:right="458"/>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8,109,438</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515,834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8,620,870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44,293,609</w:t>
            </w: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1,553,402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(69,496)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(41,112)</w:t>
            </w:r>
          </w:p>
        </w:tc>
        <w:tc>
          <w:tcPr>
            <w:tcW w:w="240" w:type="dxa"/>
            <w:vAlign w:val="bottom"/>
          </w:tcPr>
          <w:p>
            <w:pPr>
              <w:spacing w:after="0"/>
              <w:rPr>
                <w:sz w:val="18"/>
                <w:szCs w:val="18"/>
                <w:color w:val="auto"/>
              </w:rPr>
            </w:pPr>
          </w:p>
        </w:tc>
        <w:tc>
          <w:tcPr>
            <w:tcW w:w="1040" w:type="dxa"/>
            <w:vAlign w:val="bottom"/>
          </w:tcPr>
          <w:p>
            <w:pPr>
              <w:jc w:val="right"/>
              <w:ind w:right="158"/>
              <w:spacing w:after="0"/>
              <w:rPr>
                <w:sz w:val="20"/>
                <w:szCs w:val="20"/>
                <w:color w:val="auto"/>
              </w:rPr>
            </w:pPr>
            <w:r>
              <w:rPr>
                <w:rFonts w:ascii="Arial" w:cs="Arial" w:eastAsia="Arial" w:hAnsi="Arial"/>
                <w:sz w:val="17"/>
                <w:szCs w:val="17"/>
                <w:color w:val="auto"/>
                <w:w w:val="91"/>
              </w:rPr>
              <w:t>45,736,403</w:t>
            </w:r>
          </w:p>
        </w:tc>
        <w:tc>
          <w:tcPr>
            <w:tcW w:w="1000" w:type="dxa"/>
            <w:vAlign w:val="bottom"/>
          </w:tcPr>
          <w:p>
            <w:pPr>
              <w:jc w:val="right"/>
              <w:spacing w:after="0"/>
              <w:rPr>
                <w:sz w:val="20"/>
                <w:szCs w:val="20"/>
                <w:color w:val="auto"/>
              </w:rPr>
            </w:pPr>
            <w:r>
              <w:rPr>
                <w:rFonts w:ascii="Arial" w:cs="Arial" w:eastAsia="Arial" w:hAnsi="Arial"/>
                <w:sz w:val="17"/>
                <w:szCs w:val="17"/>
                <w:color w:val="auto"/>
              </w:rPr>
              <w:t>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Residential mortgage backed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18,812,484</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278,790</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(33,751)</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(16,333)</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w w:val="91"/>
              </w:rPr>
              <w:t>19,041,190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Total fixed-maturity securities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71,215,531</w:t>
            </w: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2,348,026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(107,649)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(57,445)</w:t>
            </w:r>
          </w:p>
        </w:tc>
        <w:tc>
          <w:tcPr>
            <w:tcW w:w="240" w:type="dxa"/>
            <w:vAlign w:val="bottom"/>
          </w:tcPr>
          <w:p>
            <w:pPr>
              <w:spacing w:after="0"/>
              <w:rPr>
                <w:sz w:val="18"/>
                <w:szCs w:val="18"/>
                <w:color w:val="auto"/>
              </w:rPr>
            </w:pPr>
          </w:p>
        </w:tc>
        <w:tc>
          <w:tcPr>
            <w:tcW w:w="1040" w:type="dxa"/>
            <w:vAlign w:val="bottom"/>
          </w:tcPr>
          <w:p>
            <w:pPr>
              <w:jc w:val="right"/>
              <w:ind w:right="158"/>
              <w:spacing w:after="0"/>
              <w:rPr>
                <w:sz w:val="20"/>
                <w:szCs w:val="20"/>
                <w:color w:val="auto"/>
              </w:rPr>
            </w:pPr>
            <w:r>
              <w:rPr>
                <w:rFonts w:ascii="Arial" w:cs="Arial" w:eastAsia="Arial" w:hAnsi="Arial"/>
                <w:sz w:val="17"/>
                <w:szCs w:val="17"/>
                <w:color w:val="auto"/>
                <w:w w:val="91"/>
              </w:rPr>
              <w:t>73,398,463</w:t>
            </w:r>
          </w:p>
        </w:tc>
        <w:tc>
          <w:tcPr>
            <w:tcW w:w="1000" w:type="dxa"/>
            <w:vAlign w:val="bottom"/>
          </w:tcPr>
          <w:p>
            <w:pPr>
              <w:jc w:val="right"/>
              <w:spacing w:after="0"/>
              <w:rPr>
                <w:sz w:val="20"/>
                <w:szCs w:val="20"/>
                <w:color w:val="auto"/>
              </w:rPr>
            </w:pPr>
            <w:r>
              <w:rPr>
                <w:rFonts w:ascii="Arial" w:cs="Arial" w:eastAsia="Arial" w:hAnsi="Arial"/>
                <w:sz w:val="17"/>
                <w:szCs w:val="17"/>
                <w:color w:val="auto"/>
              </w:rPr>
              <w:t>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10,417,835</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737,589</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(155,735)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(37,072)</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w w:val="91"/>
              </w:rPr>
              <w:t>10,962,617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81,633,366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3,085,615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(263,384)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color w:val="auto"/>
                <w:w w:val="91"/>
              </w:rPr>
              <w:t>84,361,080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56</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97" w:right="1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Cost or</w:t>
            </w:r>
          </w:p>
        </w:tc>
        <w:tc>
          <w:tcPr>
            <w:tcW w:w="340" w:type="dxa"/>
            <w:vAlign w:val="bottom"/>
          </w:tcPr>
          <w:p>
            <w:pPr>
              <w:spacing w:after="0"/>
              <w:rPr>
                <w:sz w:val="24"/>
                <w:szCs w:val="2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7"/>
              <w:spacing w:after="0"/>
              <w:rPr>
                <w:sz w:val="20"/>
                <w:szCs w:val="20"/>
                <w:color w:val="auto"/>
              </w:rPr>
            </w:pPr>
            <w:r>
              <w:rPr>
                <w:rFonts w:ascii="Arial" w:cs="Arial" w:eastAsia="Arial" w:hAnsi="Arial"/>
                <w:sz w:val="14"/>
                <w:szCs w:val="14"/>
                <w:b w:val="1"/>
                <w:bCs w:val="1"/>
                <w:color w:val="auto"/>
                <w:w w:val="89"/>
              </w:rPr>
              <w:t>Gross Unrealized Losses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20"/>
              <w:spacing w:after="0" w:line="144" w:lineRule="exact"/>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2"/>
                <w:szCs w:val="12"/>
                <w:color w:val="auto"/>
              </w:rPr>
            </w:pPr>
          </w:p>
        </w:tc>
        <w:tc>
          <w:tcPr>
            <w:tcW w:w="920" w:type="dxa"/>
            <w:vAlign w:val="bottom"/>
          </w:tcPr>
          <w:p>
            <w:pPr>
              <w:jc w:val="center"/>
              <w:ind w:right="16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240" w:type="dxa"/>
            <w:vAlign w:val="bottom"/>
          </w:tcPr>
          <w:p>
            <w:pPr>
              <w:spacing w:after="0"/>
              <w:rPr>
                <w:sz w:val="12"/>
                <w:szCs w:val="12"/>
                <w:color w:val="auto"/>
              </w:rPr>
            </w:pPr>
          </w:p>
        </w:tc>
        <w:tc>
          <w:tcPr>
            <w:tcW w:w="1040" w:type="dxa"/>
            <w:vAlign w:val="bottom"/>
          </w:tcPr>
          <w:p>
            <w:pPr>
              <w:jc w:val="center"/>
              <w:ind w:right="299"/>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2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center"/>
              <w:ind w:right="220"/>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1040" w:type="dxa"/>
            <w:vAlign w:val="bottom"/>
          </w:tcPr>
          <w:p>
            <w:pPr>
              <w:jc w:val="center"/>
              <w:ind w:right="299"/>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12,139,793</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431,194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w w:val="91"/>
              </w:rPr>
              <w:t>12,555,098</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45,078,044</w:t>
            </w:r>
          </w:p>
        </w:tc>
        <w:tc>
          <w:tcPr>
            <w:tcW w:w="3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490,444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(512,427)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(99,593)</w:t>
            </w:r>
          </w:p>
        </w:tc>
        <w:tc>
          <w:tcPr>
            <w:tcW w:w="24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7"/>
                <w:szCs w:val="17"/>
                <w:color w:val="auto"/>
                <w:w w:val="91"/>
              </w:rPr>
              <w:t>44,956,468</w:t>
            </w:r>
          </w:p>
        </w:tc>
        <w:tc>
          <w:tcPr>
            <w:tcW w:w="1000" w:type="dxa"/>
            <w:vAlign w:val="bottom"/>
          </w:tcPr>
          <w:p>
            <w:pPr>
              <w:jc w:val="right"/>
              <w:spacing w:after="0"/>
              <w:rPr>
                <w:sz w:val="20"/>
                <w:szCs w:val="20"/>
                <w:color w:val="auto"/>
              </w:rPr>
            </w:pPr>
            <w:r>
              <w:rPr>
                <w:rFonts w:ascii="Arial" w:cs="Arial" w:eastAsia="Arial" w:hAnsi="Arial"/>
                <w:sz w:val="17"/>
                <w:szCs w:val="17"/>
                <w:color w:val="auto"/>
              </w:rPr>
              <w:t>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Residential mortgage backed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5,003,292</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48,375</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(61,169)</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rPr>
              <w:t>4,990,498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tcPr>
          <w:p>
            <w:pPr>
              <w:ind w:left="140"/>
              <w:spacing w:after="0"/>
              <w:rPr>
                <w:sz w:val="20"/>
                <w:szCs w:val="20"/>
                <w:color w:val="auto"/>
              </w:rPr>
            </w:pPr>
            <w:r>
              <w:rPr>
                <w:rFonts w:ascii="Arial" w:cs="Arial" w:eastAsia="Arial" w:hAnsi="Arial"/>
                <w:sz w:val="17"/>
                <w:szCs w:val="17"/>
                <w:color w:val="auto"/>
              </w:rPr>
              <w:t>Total fixed-maturity securities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62,221,129</w:t>
            </w:r>
          </w:p>
        </w:tc>
        <w:tc>
          <w:tcPr>
            <w:tcW w:w="3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970,013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(589,485)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(99,593)</w:t>
            </w:r>
          </w:p>
        </w:tc>
        <w:tc>
          <w:tcPr>
            <w:tcW w:w="24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7"/>
                <w:szCs w:val="17"/>
                <w:color w:val="auto"/>
                <w:w w:val="91"/>
              </w:rPr>
              <w:t>62,502,064</w:t>
            </w:r>
          </w:p>
        </w:tc>
        <w:tc>
          <w:tcPr>
            <w:tcW w:w="1000" w:type="dxa"/>
            <w:vAlign w:val="bottom"/>
          </w:tcPr>
          <w:p>
            <w:pPr>
              <w:jc w:val="right"/>
              <w:spacing w:after="0"/>
              <w:rPr>
                <w:sz w:val="20"/>
                <w:szCs w:val="20"/>
                <w:color w:val="auto"/>
              </w:rPr>
            </w:pPr>
            <w:r>
              <w:rPr>
                <w:rFonts w:ascii="Arial" w:cs="Arial" w:eastAsia="Arial" w:hAnsi="Arial"/>
                <w:sz w:val="17"/>
                <w:szCs w:val="17"/>
                <w:color w:val="auto"/>
              </w:rPr>
              <w:t>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8,751,537</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585,776</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(103,721)</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(29,322)</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rPr>
              <w:t>9,204,270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70,972,666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1,555,789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(693,206)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(128,915)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w w:val="91"/>
              </w:rPr>
              <w:t>71,706,334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3"/>
            <w:vMerge w:val="restart"/>
          </w:tcPr>
          <w:p>
            <w:pPr>
              <w:ind w:left="620"/>
              <w:spacing w:after="0"/>
              <w:rPr>
                <w:sz w:val="20"/>
                <w:szCs w:val="20"/>
                <w:color w:val="auto"/>
              </w:rPr>
            </w:pPr>
            <w:r>
              <w:rPr>
                <w:rFonts w:ascii="Arial" w:cs="Arial" w:eastAsia="Arial" w:hAnsi="Arial"/>
                <w:sz w:val="17"/>
                <w:szCs w:val="17"/>
                <w:color w:val="auto"/>
              </w:rPr>
              <w:t>Held-to-Maturity Securities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5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Cost or</w:t>
            </w:r>
          </w:p>
        </w:tc>
        <w:tc>
          <w:tcPr>
            <w:tcW w:w="340" w:type="dxa"/>
            <w:vAlign w:val="bottom"/>
          </w:tcPr>
          <w:p>
            <w:pPr>
              <w:spacing w:after="0"/>
              <w:rPr>
                <w:sz w:val="24"/>
                <w:szCs w:val="2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7"/>
              <w:spacing w:after="0"/>
              <w:rPr>
                <w:sz w:val="20"/>
                <w:szCs w:val="20"/>
                <w:color w:val="auto"/>
              </w:rPr>
            </w:pPr>
            <w:r>
              <w:rPr>
                <w:rFonts w:ascii="Arial" w:cs="Arial" w:eastAsia="Arial" w:hAnsi="Arial"/>
                <w:sz w:val="14"/>
                <w:szCs w:val="14"/>
                <w:b w:val="1"/>
                <w:bCs w:val="1"/>
                <w:color w:val="auto"/>
                <w:w w:val="89"/>
              </w:rPr>
              <w:t>Gross Unrealized Losses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20"/>
              <w:spacing w:after="0" w:line="144" w:lineRule="exact"/>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2"/>
                <w:szCs w:val="12"/>
                <w:color w:val="auto"/>
              </w:rPr>
            </w:pPr>
          </w:p>
        </w:tc>
        <w:tc>
          <w:tcPr>
            <w:tcW w:w="920" w:type="dxa"/>
            <w:vAlign w:val="bottom"/>
          </w:tcPr>
          <w:p>
            <w:pPr>
              <w:jc w:val="center"/>
              <w:ind w:right="16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240" w:type="dxa"/>
            <w:vAlign w:val="bottom"/>
          </w:tcPr>
          <w:p>
            <w:pPr>
              <w:spacing w:after="0"/>
              <w:rPr>
                <w:sz w:val="12"/>
                <w:szCs w:val="12"/>
                <w:color w:val="auto"/>
              </w:rPr>
            </w:pPr>
          </w:p>
        </w:tc>
        <w:tc>
          <w:tcPr>
            <w:tcW w:w="1040" w:type="dxa"/>
            <w:vAlign w:val="bottom"/>
          </w:tcPr>
          <w:p>
            <w:pPr>
              <w:jc w:val="center"/>
              <w:ind w:right="299"/>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2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center"/>
              <w:ind w:right="220"/>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1040" w:type="dxa"/>
            <w:vAlign w:val="bottom"/>
          </w:tcPr>
          <w:p>
            <w:pPr>
              <w:jc w:val="center"/>
              <w:ind w:right="299"/>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606,408</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147,631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9"/>
              <w:spacing w:after="0"/>
              <w:rPr>
                <w:sz w:val="20"/>
                <w:szCs w:val="20"/>
                <w:color w:val="auto"/>
              </w:rPr>
            </w:pPr>
            <w:r>
              <w:rPr>
                <w:rFonts w:ascii="Arial" w:cs="Arial" w:eastAsia="Arial" w:hAnsi="Arial"/>
                <w:sz w:val="17"/>
                <w:szCs w:val="17"/>
                <w:color w:val="auto"/>
              </w:rPr>
              <w:t>754,039</w:t>
            </w:r>
          </w:p>
        </w:tc>
        <w:tc>
          <w:tcPr>
            <w:tcW w:w="1000" w:type="dxa"/>
            <w:vAlign w:val="bottom"/>
          </w:tcPr>
          <w:p>
            <w:pPr>
              <w:jc w:val="right"/>
              <w:spacing w:after="0"/>
              <w:rPr>
                <w:sz w:val="20"/>
                <w:szCs w:val="20"/>
                <w:color w:val="auto"/>
              </w:rPr>
            </w:pPr>
            <w:r>
              <w:rPr>
                <w:rFonts w:ascii="Arial" w:cs="Arial" w:eastAsia="Arial" w:hAnsi="Arial"/>
                <w:sz w:val="17"/>
                <w:szCs w:val="17"/>
                <w:color w:val="auto"/>
              </w:rPr>
              <w:t>13.8%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1,350,056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113,781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1,463,837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3,115,789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179,743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(66,220)</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3,228,965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5,072,253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441,155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5,446,841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Cost or</w:t>
            </w:r>
          </w:p>
        </w:tc>
        <w:tc>
          <w:tcPr>
            <w:tcW w:w="340" w:type="dxa"/>
            <w:vAlign w:val="bottom"/>
          </w:tcPr>
          <w:p>
            <w:pPr>
              <w:spacing w:after="0"/>
              <w:rPr>
                <w:sz w:val="24"/>
                <w:szCs w:val="2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7"/>
              <w:spacing w:after="0"/>
              <w:rPr>
                <w:sz w:val="20"/>
                <w:szCs w:val="20"/>
                <w:color w:val="auto"/>
              </w:rPr>
            </w:pPr>
            <w:r>
              <w:rPr>
                <w:rFonts w:ascii="Arial" w:cs="Arial" w:eastAsia="Arial" w:hAnsi="Arial"/>
                <w:sz w:val="14"/>
                <w:szCs w:val="14"/>
                <w:b w:val="1"/>
                <w:bCs w:val="1"/>
                <w:color w:val="auto"/>
                <w:w w:val="89"/>
              </w:rPr>
              <w:t>Gross Unrealized Losses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20"/>
              <w:spacing w:after="0" w:line="144" w:lineRule="exact"/>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2"/>
                <w:szCs w:val="12"/>
                <w:color w:val="auto"/>
              </w:rPr>
            </w:pPr>
          </w:p>
        </w:tc>
        <w:tc>
          <w:tcPr>
            <w:tcW w:w="920" w:type="dxa"/>
            <w:vAlign w:val="bottom"/>
          </w:tcPr>
          <w:p>
            <w:pPr>
              <w:jc w:val="center"/>
              <w:ind w:right="16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240" w:type="dxa"/>
            <w:vAlign w:val="bottom"/>
          </w:tcPr>
          <w:p>
            <w:pPr>
              <w:spacing w:after="0"/>
              <w:rPr>
                <w:sz w:val="12"/>
                <w:szCs w:val="12"/>
                <w:color w:val="auto"/>
              </w:rPr>
            </w:pPr>
          </w:p>
        </w:tc>
        <w:tc>
          <w:tcPr>
            <w:tcW w:w="1040" w:type="dxa"/>
            <w:vAlign w:val="bottom"/>
          </w:tcPr>
          <w:p>
            <w:pPr>
              <w:jc w:val="center"/>
              <w:ind w:right="299"/>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2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center"/>
              <w:ind w:right="220"/>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1040" w:type="dxa"/>
            <w:vAlign w:val="bottom"/>
          </w:tcPr>
          <w:p>
            <w:pPr>
              <w:jc w:val="center"/>
              <w:ind w:right="299"/>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606,389</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147,650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9"/>
              <w:spacing w:after="0"/>
              <w:rPr>
                <w:sz w:val="20"/>
                <w:szCs w:val="20"/>
                <w:color w:val="auto"/>
              </w:rPr>
            </w:pPr>
            <w:r>
              <w:rPr>
                <w:rFonts w:ascii="Arial" w:cs="Arial" w:eastAsia="Arial" w:hAnsi="Arial"/>
                <w:sz w:val="17"/>
                <w:szCs w:val="17"/>
                <w:color w:val="auto"/>
              </w:rPr>
              <w:t>754,039</w:t>
            </w:r>
          </w:p>
        </w:tc>
        <w:tc>
          <w:tcPr>
            <w:tcW w:w="1000" w:type="dxa"/>
            <w:vAlign w:val="bottom"/>
          </w:tcPr>
          <w:p>
            <w:pPr>
              <w:jc w:val="right"/>
              <w:spacing w:after="0"/>
              <w:rPr>
                <w:sz w:val="20"/>
                <w:szCs w:val="20"/>
                <w:color w:val="auto"/>
              </w:rPr>
            </w:pPr>
            <w:r>
              <w:rPr>
                <w:rFonts w:ascii="Arial" w:cs="Arial" w:eastAsia="Arial" w:hAnsi="Arial"/>
                <w:sz w:val="17"/>
                <w:szCs w:val="17"/>
                <w:color w:val="auto"/>
              </w:rPr>
              <w:t>14.4%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1,417,679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70,284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(54,189)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1,433,774</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3,114,804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82,265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(125,807)</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3,053,282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5,138,872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300,199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(179,996)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5,241,095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57</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02" w:right="199" w:bottom="1440" w:gutter="0" w:footer="0" w:header="0"/>
        </w:sectPr>
      </w:pPr>
    </w:p>
    <w:bookmarkStart w:id="59" w:name="page60"/>
    <w:bookmarkEnd w:id="59"/>
    <w:p>
      <w:pPr>
        <w:spacing w:after="0" w:line="281" w:lineRule="auto"/>
        <w:rPr>
          <w:sz w:val="20"/>
          <w:szCs w:val="20"/>
          <w:color w:val="auto"/>
        </w:rPr>
      </w:pPr>
      <w:r>
        <w:rPr>
          <w:rFonts w:ascii="Arial" w:cs="Arial" w:eastAsia="Arial" w:hAnsi="Arial"/>
          <w:sz w:val="17"/>
          <w:szCs w:val="17"/>
          <w:color w:val="auto"/>
        </w:rPr>
        <w:t>U.S. Treasury securities included in held-to-maturity securities are held in trust pursuant to the New York State Department of Financial Services’ minimum funds requirement.</w:t>
      </w:r>
    </w:p>
    <w:p>
      <w:pPr>
        <w:spacing w:after="0" w:line="170"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A summary of the amortized cost and fair value of the Company’s investments in held-to-maturity securities by contractual maturity as of June 30, 2016 and December 31, 2015 is shown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220"/>
              <w:spacing w:after="0" w:line="144"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240"/>
              <w:spacing w:after="0" w:line="144" w:lineRule="exact"/>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Remaining Time to Maturity</w:t>
            </w:r>
          </w:p>
        </w:tc>
        <w:tc>
          <w:tcPr>
            <w:tcW w:w="260" w:type="dxa"/>
            <w:vAlign w:val="bottom"/>
          </w:tcPr>
          <w:p>
            <w:pPr>
              <w:spacing w:after="0"/>
              <w:rPr>
                <w:sz w:val="15"/>
                <w:szCs w:val="15"/>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Less than one year</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One to five years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500,000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504,210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500,000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496,245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Five to ten years</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3,965,845</w:t>
            </w:r>
          </w:p>
        </w:tc>
        <w:tc>
          <w:tcPr>
            <w:tcW w:w="2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4,188,592</w:t>
            </w:r>
          </w:p>
        </w:tc>
        <w:tc>
          <w:tcPr>
            <w:tcW w:w="26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auto"/>
              </w:rPr>
              <w:t>4,032,483</w:t>
            </w:r>
          </w:p>
        </w:tc>
        <w:tc>
          <w:tcPr>
            <w:tcW w:w="2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3,990,811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More than 10 years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606,408</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754,039</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606,389</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754,039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5,072,253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5,446,841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5,138,872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5,241,095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 below summarizes the credit quality of our available-for-sale fixed-maturity securities as of June 30, 2016 and December 31, 2015 as rated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(or, if unavailable from Standard &amp; Poor’s, then Moody’s or Fitch):</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2"/>
          </w:tcPr>
          <w:p>
            <w:pPr>
              <w:jc w:val="right"/>
              <w:ind w:right="937"/>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697"/>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Market</w:t>
            </w: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rPr>
              <w:t>Fair Market</w:t>
            </w:r>
          </w:p>
        </w:tc>
        <w:tc>
          <w:tcPr>
            <w:tcW w:w="200" w:type="dxa"/>
            <w:vAlign w:val="bottom"/>
          </w:tcPr>
          <w:p>
            <w:pPr>
              <w:spacing w:after="0"/>
              <w:rPr>
                <w:sz w:val="18"/>
                <w:szCs w:val="18"/>
                <w:color w:val="auto"/>
              </w:rPr>
            </w:pPr>
          </w:p>
        </w:tc>
        <w:tc>
          <w:tcPr>
            <w:tcW w:w="116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Market</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7"/>
                <w:szCs w:val="17"/>
                <w:color w:val="auto"/>
              </w:rPr>
            </w:pPr>
          </w:p>
        </w:tc>
        <w:tc>
          <w:tcPr>
            <w:tcW w:w="1160" w:type="dxa"/>
            <w:vAlign w:val="bottom"/>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Rating</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Corporate and municipal bonds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AAA</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1,872,671</w:t>
            </w:r>
          </w:p>
        </w:tc>
        <w:tc>
          <w:tcPr>
            <w:tcW w:w="138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2,218,147</w:t>
            </w:r>
          </w:p>
        </w:tc>
        <w:tc>
          <w:tcPr>
            <w:tcW w:w="130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AA</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6,796,028</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9,060,781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A</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17,057,059</w:t>
            </w:r>
          </w:p>
        </w:tc>
        <w:tc>
          <w:tcPr>
            <w:tcW w:w="1380" w:type="dxa"/>
            <w:vAlign w:val="bottom"/>
          </w:tcPr>
          <w:p>
            <w:pPr>
              <w:jc w:val="right"/>
              <w:spacing w:after="0"/>
              <w:rPr>
                <w:sz w:val="20"/>
                <w:szCs w:val="20"/>
                <w:color w:val="auto"/>
              </w:rPr>
            </w:pPr>
            <w:r>
              <w:rPr>
                <w:rFonts w:ascii="Arial" w:cs="Arial" w:eastAsia="Arial" w:hAnsi="Arial"/>
                <w:sz w:val="17"/>
                <w:szCs w:val="17"/>
                <w:color w:val="auto"/>
              </w:rPr>
              <w:t>23.2%</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10,639,888</w:t>
            </w:r>
          </w:p>
        </w:tc>
        <w:tc>
          <w:tcPr>
            <w:tcW w:w="1300" w:type="dxa"/>
            <w:vAlign w:val="bottom"/>
          </w:tcPr>
          <w:p>
            <w:pPr>
              <w:jc w:val="right"/>
              <w:spacing w:after="0"/>
              <w:rPr>
                <w:sz w:val="20"/>
                <w:szCs w:val="20"/>
                <w:color w:val="auto"/>
              </w:rPr>
            </w:pPr>
            <w:r>
              <w:rPr>
                <w:rFonts w:ascii="Arial" w:cs="Arial" w:eastAsia="Arial" w:hAnsi="Arial"/>
                <w:sz w:val="17"/>
                <w:szCs w:val="17"/>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BBB</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28,100,135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35,592,750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w:t>
            </w:r>
          </w:p>
        </w:tc>
        <w:tc>
          <w:tcPr>
            <w:tcW w:w="1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531,380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corporate and municipal bonds</w:t>
            </w:r>
          </w:p>
        </w:tc>
        <w:tc>
          <w:tcPr>
            <w:tcW w:w="1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54,357,273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57,511,566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 backed securities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AAA</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14,129,730</w:t>
            </w:r>
          </w:p>
        </w:tc>
        <w:tc>
          <w:tcPr>
            <w:tcW w:w="1380" w:type="dxa"/>
            <w:vAlign w:val="bottom"/>
          </w:tcPr>
          <w:p>
            <w:pPr>
              <w:jc w:val="right"/>
              <w:spacing w:after="0"/>
              <w:rPr>
                <w:sz w:val="20"/>
                <w:szCs w:val="20"/>
                <w:color w:val="auto"/>
              </w:rPr>
            </w:pPr>
            <w:r>
              <w:rPr>
                <w:rFonts w:ascii="Arial" w:cs="Arial" w:eastAsia="Arial" w:hAnsi="Arial"/>
                <w:sz w:val="17"/>
                <w:szCs w:val="17"/>
                <w:color w:val="auto"/>
              </w:rPr>
              <w:t>19.2%</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204,406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216,077</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CCC</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3,325,766</w:t>
            </w:r>
          </w:p>
        </w:tc>
        <w:tc>
          <w:tcPr>
            <w:tcW w:w="1380" w:type="dxa"/>
            <w:vAlign w:val="bottom"/>
          </w:tcPr>
          <w:p>
            <w:pPr>
              <w:jc w:val="right"/>
              <w:spacing w:after="0"/>
              <w:rPr>
                <w:sz w:val="20"/>
                <w:szCs w:val="20"/>
                <w:color w:val="auto"/>
              </w:rPr>
            </w:pPr>
            <w:r>
              <w:rPr>
                <w:rFonts w:ascii="Arial" w:cs="Arial" w:eastAsia="Arial" w:hAnsi="Arial"/>
                <w:sz w:val="17"/>
                <w:szCs w:val="17"/>
                <w:color w:val="auto"/>
              </w:rPr>
              <w:t>4.5%</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457,889</w:t>
            </w:r>
          </w:p>
        </w:tc>
        <w:tc>
          <w:tcPr>
            <w:tcW w:w="1300" w:type="dxa"/>
            <w:vAlign w:val="bottom"/>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CC</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402,558</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188,964</w:t>
            </w:r>
          </w:p>
        </w:tc>
        <w:tc>
          <w:tcPr>
            <w:tcW w:w="1380" w:type="dxa"/>
            <w:vAlign w:val="bottom"/>
          </w:tcPr>
          <w:p>
            <w:pPr>
              <w:jc w:val="right"/>
              <w:spacing w:after="0"/>
              <w:rPr>
                <w:sz w:val="20"/>
                <w:szCs w:val="20"/>
                <w:color w:val="auto"/>
              </w:rPr>
            </w:pPr>
            <w:r>
              <w:rPr>
                <w:rFonts w:ascii="Arial" w:cs="Arial" w:eastAsia="Arial" w:hAnsi="Arial"/>
                <w:sz w:val="17"/>
                <w:szCs w:val="17"/>
                <w:color w:val="auto"/>
              </w:rPr>
              <w:t>0.3%</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w:t>
            </w:r>
          </w:p>
        </w:tc>
        <w:tc>
          <w:tcPr>
            <w:tcW w:w="1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1,192,324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3,913,974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Total residential mortgage backed securities</w:t>
            </w:r>
          </w:p>
        </w:tc>
        <w:tc>
          <w:tcPr>
            <w:tcW w:w="1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19,041,190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4,990,498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b w:val="1"/>
                <w:bCs w:val="1"/>
                <w:color w:val="auto"/>
              </w:rPr>
              <w:t>Total</w:t>
            </w:r>
          </w:p>
        </w:tc>
        <w:tc>
          <w:tcPr>
            <w:tcW w:w="17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73,398,463</w:t>
            </w:r>
          </w:p>
        </w:tc>
        <w:tc>
          <w:tcPr>
            <w:tcW w:w="1380" w:type="dxa"/>
            <w:vAlign w:val="bottom"/>
          </w:tcPr>
          <w:p>
            <w:pPr>
              <w:jc w:val="right"/>
              <w:spacing w:after="0"/>
              <w:rPr>
                <w:sz w:val="20"/>
                <w:szCs w:val="20"/>
                <w:color w:val="auto"/>
              </w:rPr>
            </w:pPr>
            <w:r>
              <w:rPr>
                <w:rFonts w:ascii="Arial" w:cs="Arial" w:eastAsia="Arial" w:hAnsi="Arial"/>
                <w:sz w:val="17"/>
                <w:szCs w:val="17"/>
                <w:color w:val="auto"/>
              </w:rPr>
              <w:t>100.0%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62,502,064</w:t>
            </w:r>
          </w:p>
        </w:tc>
        <w:tc>
          <w:tcPr>
            <w:tcW w:w="1300" w:type="dxa"/>
            <w:vAlign w:val="bottom"/>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vMerge w:val="restart"/>
          </w:tcPr>
          <w:p>
            <w:pPr>
              <w:jc w:val="right"/>
              <w:ind w:right="55"/>
              <w:spacing w:after="0"/>
              <w:rPr>
                <w:sz w:val="20"/>
                <w:szCs w:val="20"/>
                <w:color w:val="auto"/>
              </w:rPr>
            </w:pPr>
            <w:r>
              <w:rPr>
                <w:rFonts w:ascii="Arial" w:cs="Arial" w:eastAsia="Arial" w:hAnsi="Arial"/>
                <w:sz w:val="17"/>
                <w:szCs w:val="17"/>
                <w:color w:val="auto"/>
              </w:rPr>
              <w:t>58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60" w:name="page61"/>
    <w:bookmarkEnd w:id="60"/>
    <w:p>
      <w:pPr>
        <w:ind w:left="640"/>
        <w:spacing w:after="0"/>
        <w:rPr>
          <w:sz w:val="20"/>
          <w:szCs w:val="20"/>
          <w:color w:val="auto"/>
        </w:rPr>
      </w:pPr>
      <w:r>
        <w:rPr>
          <w:rFonts w:ascii="Arial" w:cs="Arial" w:eastAsia="Arial" w:hAnsi="Arial"/>
          <w:sz w:val="17"/>
          <w:szCs w:val="17"/>
          <w:color w:val="auto"/>
        </w:rPr>
        <w:t>The table below summarizes the average yield by type of fixed-maturity security as of June 30, 2016 and December 31,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4260" w:type="dxa"/>
            <w:vAlign w:val="bottom"/>
          </w:tcPr>
          <w:p>
            <w:pPr>
              <w:jc w:val="right"/>
              <w:ind w:right="717"/>
              <w:spacing w:after="0"/>
              <w:rPr>
                <w:sz w:val="20"/>
                <w:szCs w:val="20"/>
                <w:color w:val="auto"/>
              </w:rPr>
            </w:pPr>
            <w:r>
              <w:rPr>
                <w:rFonts w:ascii="Arial" w:cs="Arial" w:eastAsia="Arial" w:hAnsi="Arial"/>
                <w:sz w:val="14"/>
                <w:szCs w:val="14"/>
                <w:b w:val="1"/>
                <w:bCs w:val="1"/>
                <w:color w:val="auto"/>
              </w:rPr>
              <w:t>June 30, 2016</w:t>
            </w:r>
          </w:p>
        </w:tc>
        <w:tc>
          <w:tcPr>
            <w:tcW w:w="186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42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obligations of U.S. government</w:t>
            </w:r>
          </w:p>
        </w:tc>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corporations and agencies</w:t>
            </w:r>
          </w:p>
        </w:tc>
        <w:tc>
          <w:tcPr>
            <w:tcW w:w="42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3.44%</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4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4260" w:type="dxa"/>
            <w:vAlign w:val="bottom"/>
          </w:tcPr>
          <w:p>
            <w:pPr>
              <w:jc w:val="right"/>
              <w:ind w:right="177"/>
              <w:spacing w:after="0"/>
              <w:rPr>
                <w:sz w:val="20"/>
                <w:szCs w:val="20"/>
                <w:color w:val="auto"/>
              </w:rPr>
            </w:pPr>
            <w:r>
              <w:rPr>
                <w:rFonts w:ascii="Arial" w:cs="Arial" w:eastAsia="Arial" w:hAnsi="Arial"/>
                <w:sz w:val="17"/>
                <w:szCs w:val="17"/>
                <w:color w:val="auto"/>
              </w:rPr>
              <w:t>3.69%</w:t>
            </w:r>
          </w:p>
        </w:tc>
        <w:tc>
          <w:tcPr>
            <w:tcW w:w="1860" w:type="dxa"/>
            <w:vAlign w:val="bottom"/>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42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3.45%</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 backed securities</w:t>
            </w:r>
          </w:p>
        </w:tc>
        <w:tc>
          <w:tcPr>
            <w:tcW w:w="42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3.83%</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2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3.57%</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table below lists the weighted average maturity and effective duration in years on our fixed-maturity securities as of June 30, 2016 and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2015:</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40" w:type="dxa"/>
            <w:vAlign w:val="bottom"/>
            <w:tcBorders>
              <w:bottom w:val="single" w:sz="8" w:color="auto"/>
            </w:tcBorders>
          </w:tcPr>
          <w:p>
            <w:pPr>
              <w:ind w:left="7900"/>
              <w:spacing w:after="0"/>
              <w:rPr>
                <w:sz w:val="20"/>
                <w:szCs w:val="20"/>
                <w:color w:val="auto"/>
              </w:rPr>
            </w:pPr>
            <w:r>
              <w:rPr>
                <w:rFonts w:ascii="Arial" w:cs="Arial" w:eastAsia="Arial" w:hAnsi="Arial"/>
                <w:sz w:val="14"/>
                <w:szCs w:val="14"/>
                <w:b w:val="1"/>
                <w:bCs w:val="1"/>
                <w:color w:val="auto"/>
              </w:rPr>
              <w:t>June 30, 2016</w:t>
            </w:r>
          </w:p>
        </w:tc>
        <w:tc>
          <w:tcPr>
            <w:tcW w:w="6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effective maturity</w:t>
            </w:r>
          </w:p>
        </w:tc>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4.9</w:t>
            </w:r>
          </w:p>
        </w:tc>
        <w:tc>
          <w:tcPr>
            <w:tcW w:w="1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final maturity</w:t>
            </w:r>
          </w:p>
        </w:tc>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8.7</w:t>
            </w:r>
          </w:p>
        </w:tc>
        <w:tc>
          <w:tcPr>
            <w:tcW w:w="1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Effective duration</w:t>
            </w:r>
          </w:p>
        </w:tc>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4.2</w:t>
            </w:r>
          </w:p>
        </w:tc>
        <w:tc>
          <w:tcPr>
            <w:tcW w:w="1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223"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2016 and December 31, 2015, 60% and 66%, respectively, of the investment portfolio recorded at fair value was priced based upon quoted market prices.</w:t>
      </w:r>
    </w:p>
    <w:p>
      <w:pPr>
        <w:spacing w:after="0" w:line="164" w:lineRule="exact"/>
        <w:rPr>
          <w:sz w:val="20"/>
          <w:szCs w:val="20"/>
          <w:color w:val="auto"/>
        </w:rPr>
      </w:pPr>
    </w:p>
    <w:p>
      <w:pPr>
        <w:jc w:val="both"/>
        <w:ind w:firstLine="628"/>
        <w:spacing w:after="0" w:line="260" w:lineRule="auto"/>
        <w:rPr>
          <w:sz w:val="20"/>
          <w:szCs w:val="20"/>
          <w:color w:val="auto"/>
        </w:rPr>
      </w:pPr>
      <w:r>
        <w:rPr>
          <w:rFonts w:ascii="Arial" w:cs="Arial" w:eastAsia="Arial" w:hAnsi="Arial"/>
          <w:sz w:val="17"/>
          <w:szCs w:val="17"/>
          <w:color w:val="auto"/>
        </w:rPr>
        <w:t>As more fully described in Note 3 to our Condensed Consolidated Financial Statements, “Investments—Impairment Review,” we completed a detailed review of all our securities in a continuous loss position as of June 30, 2016 and December 31, 2015. As of June 30, 2016 our held-to-maturity debt securities included an investment in one bond issued by the Commonwealth of Puerto Rico (“PR”). In July 2016, PR defaulted on its interest payment to bondholders. Due to the credit deterioration of PR, we recorded a credit loss component of other-than-temporary impairment (“OTTI”) on this investment as of June 30, 2016. For the three months and six months ended June 30, 2016, the full amount of the write-down was recognized as a credit component of OTTI in the amount of $69,911 and is included as a reduction to net realized gains in the condensed consolidated statements of income and comprehensive income. We concluded that the other unrealized losses in these asset classes are temporary in nature and the result of a decrease in value due to technical spread widening and broader market sentiment, rather than fundamental collateral deterioration.</w:t>
      </w:r>
    </w:p>
    <w:p>
      <w:pPr>
        <w:spacing w:after="0" w:line="189" w:lineRule="exact"/>
        <w:rPr>
          <w:sz w:val="20"/>
          <w:szCs w:val="20"/>
          <w:color w:val="auto"/>
        </w:rPr>
      </w:pPr>
    </w:p>
    <w:p>
      <w:pPr>
        <w:ind w:right="120" w:firstLine="628"/>
        <w:spacing w:after="0" w:line="281"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June 30, 2016 and December 31, 2015:</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4"/>
                <w:szCs w:val="14"/>
                <w:b w:val="1"/>
                <w:bCs w:val="1"/>
                <w:color w:val="auto"/>
              </w:rPr>
              <w:t>June 30, 2016</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18"/>
              <w:spacing w:after="0" w:line="157" w:lineRule="exact"/>
              <w:rPr>
                <w:sz w:val="20"/>
                <w:szCs w:val="20"/>
                <w:color w:val="auto"/>
              </w:rPr>
            </w:pPr>
            <w:r>
              <w:rPr>
                <w:rFonts w:ascii="Arial" w:cs="Arial" w:eastAsia="Arial" w:hAnsi="Arial"/>
                <w:sz w:val="14"/>
                <w:szCs w:val="14"/>
                <w:b w:val="1"/>
                <w:bCs w:val="1"/>
                <w:color w:val="auto"/>
                <w:w w:val="90"/>
              </w:rPr>
              <w:t>Less than 12 months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59"/>
              <w:spacing w:after="0" w:line="144"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900" w:type="dxa"/>
            <w:vAlign w:val="bottom"/>
          </w:tcPr>
          <w:p>
            <w:pPr>
              <w:jc w:val="center"/>
              <w:ind w:right="139"/>
              <w:spacing w:after="0" w:line="144"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00" w:type="dxa"/>
            <w:vAlign w:val="bottom"/>
          </w:tcPr>
          <w:p>
            <w:pPr>
              <w:jc w:val="center"/>
              <w:ind w:right="298"/>
              <w:spacing w:after="0" w:line="157"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380" w:type="dxa"/>
            <w:vAlign w:val="bottom"/>
          </w:tcPr>
          <w:p>
            <w:pPr>
              <w:spacing w:after="0"/>
              <w:rPr>
                <w:sz w:val="13"/>
                <w:szCs w:val="13"/>
                <w:color w:val="auto"/>
              </w:rPr>
            </w:pPr>
          </w:p>
        </w:tc>
        <w:tc>
          <w:tcPr>
            <w:tcW w:w="800" w:type="dxa"/>
            <w:vAlign w:val="bottom"/>
          </w:tcPr>
          <w:p>
            <w:pPr>
              <w:jc w:val="right"/>
              <w:ind w:right="279"/>
              <w:spacing w:after="0" w:line="15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80" w:type="dxa"/>
            <w:vAlign w:val="bottom"/>
          </w:tcPr>
          <w:p>
            <w:pPr>
              <w:jc w:val="center"/>
              <w:ind w:right="278"/>
              <w:spacing w:after="0" w:line="157"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900" w:type="dxa"/>
            <w:vAlign w:val="bottom"/>
          </w:tcPr>
          <w:p>
            <w:pPr>
              <w:jc w:val="center"/>
              <w:ind w:right="159"/>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80" w:type="dxa"/>
            <w:vAlign w:val="bottom"/>
          </w:tcPr>
          <w:p>
            <w:pPr>
              <w:spacing w:after="0"/>
              <w:rPr>
                <w:sz w:val="15"/>
                <w:szCs w:val="15"/>
                <w:color w:val="auto"/>
              </w:rPr>
            </w:pPr>
          </w:p>
        </w:tc>
        <w:tc>
          <w:tcPr>
            <w:tcW w:w="78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100" w:type="dxa"/>
            <w:vAlign w:val="bottom"/>
          </w:tcPr>
          <w:p>
            <w:pPr>
              <w:jc w:val="center"/>
              <w:ind w:right="298"/>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38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80" w:type="dxa"/>
            <w:vAlign w:val="bottom"/>
          </w:tcPr>
          <w:p>
            <w:pPr>
              <w:jc w:val="center"/>
              <w:ind w:right="27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Pr>
          <w:p>
            <w:pPr>
              <w:spacing w:after="0"/>
              <w:rPr>
                <w:sz w:val="15"/>
                <w:szCs w:val="15"/>
                <w:color w:val="auto"/>
              </w:rPr>
            </w:pPr>
          </w:p>
        </w:tc>
        <w:tc>
          <w:tcPr>
            <w:tcW w:w="90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920" w:type="dxa"/>
            <w:vAlign w:val="bottom"/>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b w:val="1"/>
                <w:bCs w:val="1"/>
                <w:color w:val="auto"/>
              </w:rPr>
              <w:t>Fixed-Maturity Securities: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States, Territories and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331,626</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(4,402)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331,626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bonds industrial and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2,807,274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(69,496)</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504,110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(41,112)</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3,311,384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(110,608)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backed securities</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1,042,448</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(33,751)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560,806</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(16,333)</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1,603,254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(50,084)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fixed-maturity</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4,181,348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(107,649)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1,064,916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(57,445)</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5,246,264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(165,094)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530,800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8"/>
              <w:spacing w:after="0"/>
              <w:rPr>
                <w:sz w:val="20"/>
                <w:szCs w:val="20"/>
                <w:color w:val="auto"/>
              </w:rPr>
            </w:pPr>
            <w:r>
              <w:rPr>
                <w:rFonts w:ascii="Arial" w:cs="Arial" w:eastAsia="Arial" w:hAnsi="Arial"/>
                <w:sz w:val="17"/>
                <w:szCs w:val="17"/>
                <w:color w:val="auto"/>
              </w:rPr>
              <w:t>(594)</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694,250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(37,072)</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1,225,050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(37,666)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stocks</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1,331,100</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(155,141)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1,331,100</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(155,141)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1,861,900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(155,735)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694,250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(37,072)</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2,556,150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(192,807)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6,043,248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(263,384)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1,759,166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(94,517)</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7,802,414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(357,901)</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60</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4"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4"/>
                <w:szCs w:val="14"/>
                <w:b w:val="1"/>
                <w:bCs w:val="1"/>
                <w:color w:val="auto"/>
              </w:rPr>
              <w:t>December 31, 2015</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18"/>
              <w:spacing w:after="0" w:line="157" w:lineRule="exact"/>
              <w:rPr>
                <w:sz w:val="20"/>
                <w:szCs w:val="20"/>
                <w:color w:val="auto"/>
              </w:rPr>
            </w:pPr>
            <w:r>
              <w:rPr>
                <w:rFonts w:ascii="Arial" w:cs="Arial" w:eastAsia="Arial" w:hAnsi="Arial"/>
                <w:sz w:val="14"/>
                <w:szCs w:val="14"/>
                <w:b w:val="1"/>
                <w:bCs w:val="1"/>
                <w:color w:val="auto"/>
                <w:w w:val="90"/>
              </w:rPr>
              <w:t>Less than 12 months</w:t>
            </w: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jc w:val="center"/>
              <w:ind w:right="99"/>
              <w:spacing w:after="0" w:line="144" w:lineRule="exact"/>
              <w:rPr>
                <w:sz w:val="20"/>
                <w:szCs w:val="20"/>
                <w:color w:val="auto"/>
              </w:rPr>
            </w:pPr>
            <w:r>
              <w:rPr>
                <w:rFonts w:ascii="Arial" w:cs="Arial" w:eastAsia="Arial" w:hAnsi="Arial"/>
                <w:sz w:val="14"/>
                <w:szCs w:val="14"/>
                <w:b w:val="1"/>
                <w:bCs w:val="1"/>
                <w:color w:val="auto"/>
                <w:w w:val="90"/>
              </w:rPr>
              <w:t>No. of</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59"/>
              <w:spacing w:after="0" w:line="144"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900" w:type="dxa"/>
            <w:vAlign w:val="bottom"/>
          </w:tcPr>
          <w:p>
            <w:pPr>
              <w:jc w:val="center"/>
              <w:ind w:right="139"/>
              <w:spacing w:after="0" w:line="144"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00" w:type="dxa"/>
            <w:vAlign w:val="bottom"/>
          </w:tcPr>
          <w:p>
            <w:pPr>
              <w:jc w:val="center"/>
              <w:ind w:right="298"/>
              <w:spacing w:after="0" w:line="157"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99"/>
              <w:spacing w:after="0" w:line="157" w:lineRule="exact"/>
              <w:rPr>
                <w:sz w:val="20"/>
                <w:szCs w:val="20"/>
                <w:color w:val="auto"/>
              </w:rPr>
            </w:pPr>
            <w:r>
              <w:rPr>
                <w:rFonts w:ascii="Arial" w:cs="Arial" w:eastAsia="Arial" w:hAnsi="Arial"/>
                <w:sz w:val="14"/>
                <w:szCs w:val="14"/>
                <w:b w:val="1"/>
                <w:bCs w:val="1"/>
                <w:color w:val="auto"/>
                <w:w w:val="88"/>
              </w:rPr>
              <w:t>Positions</w:t>
            </w:r>
          </w:p>
        </w:tc>
        <w:tc>
          <w:tcPr>
            <w:tcW w:w="260" w:type="dxa"/>
            <w:vAlign w:val="bottom"/>
          </w:tcPr>
          <w:p>
            <w:pPr>
              <w:spacing w:after="0"/>
              <w:rPr>
                <w:sz w:val="13"/>
                <w:szCs w:val="13"/>
                <w:color w:val="auto"/>
              </w:rPr>
            </w:pPr>
          </w:p>
        </w:tc>
        <w:tc>
          <w:tcPr>
            <w:tcW w:w="800" w:type="dxa"/>
            <w:vAlign w:val="bottom"/>
          </w:tcPr>
          <w:p>
            <w:pPr>
              <w:jc w:val="right"/>
              <w:ind w:right="279"/>
              <w:spacing w:after="0" w:line="15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80" w:type="dxa"/>
            <w:vAlign w:val="bottom"/>
          </w:tcPr>
          <w:p>
            <w:pPr>
              <w:jc w:val="center"/>
              <w:ind w:right="278"/>
              <w:spacing w:after="0" w:line="157"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900" w:type="dxa"/>
            <w:vAlign w:val="bottom"/>
          </w:tcPr>
          <w:p>
            <w:pPr>
              <w:jc w:val="center"/>
              <w:ind w:right="159"/>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4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100" w:type="dxa"/>
            <w:vAlign w:val="bottom"/>
          </w:tcPr>
          <w:p>
            <w:pPr>
              <w:jc w:val="center"/>
              <w:ind w:right="29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Held</w:t>
            </w:r>
          </w:p>
        </w:tc>
        <w:tc>
          <w:tcPr>
            <w:tcW w:w="26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80" w:type="dxa"/>
            <w:vAlign w:val="bottom"/>
          </w:tcPr>
          <w:p>
            <w:pPr>
              <w:jc w:val="center"/>
              <w:ind w:right="27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Pr>
          <w:p>
            <w:pPr>
              <w:spacing w:after="0"/>
              <w:rPr>
                <w:sz w:val="15"/>
                <w:szCs w:val="15"/>
                <w:color w:val="auto"/>
              </w:rPr>
            </w:pPr>
          </w:p>
        </w:tc>
        <w:tc>
          <w:tcPr>
            <w:tcW w:w="90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920" w:type="dxa"/>
            <w:vAlign w:val="bottom"/>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States, Territories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1,432,005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(15,889)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1,432,005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bonds industrial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18,424,609</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(512,427)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636,093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(99,593)</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1"/>
              </w:rPr>
              <w:t>19,060,702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backed securities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2,413,980</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(61,169)</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12</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2,413,980</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fixed-maturity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22,270,594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(589,485)</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48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636,093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(99,593)</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22,906,687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(689,078)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98"/>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702,000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(29,322)</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702,000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(29,322)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2,538,900</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(103,721)</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2,538,900</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2,538,900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(103,721)</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702,000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(29,322)</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3,240,900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(133,043)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24,809,494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(693,206)</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1,338,093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(128,915)</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26,147,587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3" w:name="page64"/>
    <w:bookmarkEnd w:id="63"/>
    <w:p>
      <w:pPr>
        <w:jc w:val="both"/>
        <w:ind w:firstLine="628"/>
        <w:spacing w:after="0" w:line="263" w:lineRule="auto"/>
        <w:rPr>
          <w:sz w:val="20"/>
          <w:szCs w:val="20"/>
          <w:color w:val="auto"/>
        </w:rPr>
      </w:pPr>
      <w:r>
        <w:rPr>
          <w:rFonts w:ascii="Arial" w:cs="Arial" w:eastAsia="Arial" w:hAnsi="Arial"/>
          <w:sz w:val="17"/>
          <w:szCs w:val="17"/>
          <w:color w:val="auto"/>
        </w:rPr>
        <w:t>There were 26 securities at June 30, 2016 that accounted for the gross unrealized loss, none of which were deemed by us to be other than temporarily impaired. There were 57 securities at December 31, 2015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Cash Flows</w:t>
      </w:r>
    </w:p>
    <w:p>
      <w:pPr>
        <w:spacing w:after="0" w:line="223"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5"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In April 2016 we sold 595,238 newly issued shares of our common stock to RenaissanceRe Ventures Ltd., a subsidiary of RenaissanceRe Holdings Ltd. (NYSE:RNR) (“RenaissanceRe”), in a private placement. RenaissanceRe is a global provider of catastrophe and specialty reinsurance and insurance. The new common shares were sold to RenaissanceRe at a price of $8.40 per share. We received net proceeds of approximately $4,814,000 from the private placement. In June 2016, we invested $3,000,000 of the proceeds in KICO as additional surplus to support its continued growth. We intend to use the remaining net proceeds of the offering to support the continued growth of KICO, and for general corporate purposes.</w:t>
      </w:r>
    </w:p>
    <w:p>
      <w:pPr>
        <w:spacing w:after="0" w:line="185"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Through the quarter ended June 30, 2016, the primary sources of cash flow for our holding company are dividends received from KICO, subject to statutory restrictions. For the six months ended June 30, 2016, KICO paid dividends of $950,000 to us.</w:t>
      </w:r>
    </w:p>
    <w:p>
      <w:pPr>
        <w:spacing w:after="0" w:line="17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If the aforementioned sources of cash flow currently available are insufficient to cover our holding company cash requirements, we will seek to obtain additional financing.</w:t>
      </w:r>
    </w:p>
    <w:p>
      <w:pPr>
        <w:spacing w:after="0" w:line="17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64" w:name="page65"/>
    <w:bookmarkEnd w:id="64"/>
    <w:p>
      <w:pPr>
        <w:jc w:val="both"/>
        <w:ind w:firstLine="628"/>
        <w:spacing w:after="0" w:line="281"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680" w:type="dxa"/>
            <w:vAlign w:val="bottom"/>
            <w:gridSpan w:val="2"/>
          </w:tcPr>
          <w:p>
            <w:pPr>
              <w:spacing w:after="0"/>
              <w:rPr>
                <w:sz w:val="20"/>
                <w:szCs w:val="20"/>
                <w:color w:val="auto"/>
              </w:rPr>
            </w:pPr>
            <w:r>
              <w:rPr>
                <w:rFonts w:ascii="Arial" w:cs="Arial" w:eastAsia="Arial" w:hAnsi="Arial"/>
                <w:sz w:val="14"/>
                <w:szCs w:val="14"/>
                <w:i w:val="1"/>
                <w:iCs w:val="1"/>
                <w:color w:val="auto"/>
              </w:rPr>
              <w:t>Six Months Ended June 30,</w:t>
            </w:r>
          </w:p>
        </w:tc>
        <w:tc>
          <w:tcPr>
            <w:tcW w:w="32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100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Cash flows provided by (used in):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7,812,551</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3,356,300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Investing activities</w:t>
            </w:r>
          </w:p>
        </w:tc>
        <w:tc>
          <w:tcPr>
            <w:tcW w:w="32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7"/>
                <w:szCs w:val="17"/>
                <w:color w:val="auto"/>
                <w:w w:val="99"/>
              </w:rPr>
              <w:t>(10,473,828)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(8,372,005)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3,748,179</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(958,776)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320" w:type="dxa"/>
            <w:vAlign w:val="bottom"/>
          </w:tcPr>
          <w:p>
            <w:pPr>
              <w:spacing w:after="0"/>
              <w:rPr>
                <w:sz w:val="18"/>
                <w:szCs w:val="18"/>
                <w:color w:val="auto"/>
              </w:rPr>
            </w:pPr>
          </w:p>
        </w:tc>
        <w:tc>
          <w:tcPr>
            <w:tcW w:w="1100" w:type="dxa"/>
            <w:vAlign w:val="bottom"/>
          </w:tcPr>
          <w:p>
            <w:pPr>
              <w:jc w:val="right"/>
              <w:ind w:right="97"/>
              <w:spacing w:after="0"/>
              <w:rPr>
                <w:sz w:val="20"/>
                <w:szCs w:val="20"/>
                <w:color w:val="auto"/>
              </w:rPr>
            </w:pPr>
            <w:r>
              <w:rPr>
                <w:rFonts w:ascii="Arial" w:cs="Arial" w:eastAsia="Arial" w:hAnsi="Arial"/>
                <w:sz w:val="17"/>
                <w:szCs w:val="17"/>
                <w:color w:val="auto"/>
              </w:rPr>
              <w:t>1,086,902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(5,974,481)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13,551,372</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9,906,878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14,638,274</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3,932,397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Net cash provided by operating activities was $7,812,000 in 2016 as compared to $3,356,000 provided in 2015. The $4,456,000 increase in cash flows provided by operating activities in 2016 was primarily a result of an increase in cash arising from net fluctuations in assets and liabilities relating to operating activities of KICO as affected by the growth in its operations which are described above, and an increase in net income (adjusted for non-cash items) of $4,235,000.</w:t>
      </w:r>
    </w:p>
    <w:p>
      <w:pPr>
        <w:spacing w:after="0" w:line="145"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cash used in investing activities was $10,474,000 in 2016 compared to $8,372,000 used in 2015. The $2,102,000 increase in cash used in investing activities is the result of a $19,194,000 increase in acquisitions of invested assets and collection of a $250,000 note receivable included in other assets, offset by a $16,552,000 increase in sales or maturities of invested assets.</w:t>
      </w:r>
    </w:p>
    <w:p>
      <w:pPr>
        <w:spacing w:after="0" w:line="180"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Net cash provided by financing activities was $3,748,000 in 2016 compared to $959,000 used in 2015. The $4,707,000 increase in cash provided by financing activities is the result of the $4,814,000 net proceeds we received from the private placement of our common stock in April 2016 and a $91,000 decrease in the purchase of treasury stock, offset partially by a $220,000 increase in dividends paid due an increase in the dividend rate and shares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227"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quota share reinsurance treaties are on a July 1 through June 30 fiscal year basis; therefore, for year to date fiscal periods after June 30, two separate treaties will be included in such periods.</w:t>
      </w:r>
    </w:p>
    <w:p>
      <w:pPr>
        <w:spacing w:after="0" w:line="170"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Our quota share reinsurance treaty in effect for the six months ended June 30, 2016 for our personal lines business, which primarily consists of homeowners’ policies, was covered under the 2015/2016 Treaty. Our quota share reinsurance treaty in effect for the six months ended June 30, 2015 for our personal lines business, which primarily consists of homeowners’ policies, was covered under the 2014/2015 Treaty. We entered into new annual treaties with different terms effective July 1, 2016. Our quota share reinsurance treaty in effect as of July 1, 2016 will be covered under the July 1, 2016/June 30, 2017 treaty year (“2016/2017 Treaty”).</w:t>
      </w:r>
    </w:p>
    <w:p>
      <w:pPr>
        <w:spacing w:after="0" w:line="152"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6"/>
          <w:szCs w:val="16"/>
          <w:color w:val="auto"/>
        </w:rPr>
        <w:t>Our personal lines quota share treaty that covered the July 1, 2013/June 30, 2014 treaty year was a two year treaty that expired on June 30, 2015. Effective July 1, 2014, we exercised our contractual option to reduce the ceding percentage in the personal lines quota share treaty from 75% to 55%.</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2014/2015 Treaty, 2015/2016 Treaty and 2016/2017 Treaty provide for the following material terms: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6"/>
              </w:rPr>
              <w:t>Treaty Year</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right="296"/>
              <w:spacing w:after="0" w:line="144" w:lineRule="exact"/>
              <w:rPr>
                <w:sz w:val="20"/>
                <w:szCs w:val="20"/>
                <w:color w:val="auto"/>
              </w:rPr>
            </w:pPr>
            <w:r>
              <w:rPr>
                <w:rFonts w:ascii="Arial" w:cs="Arial" w:eastAsia="Arial" w:hAnsi="Arial"/>
                <w:sz w:val="14"/>
                <w:szCs w:val="14"/>
                <w:b w:val="1"/>
                <w:bCs w:val="1"/>
                <w:color w:val="auto"/>
                <w:w w:val="94"/>
              </w:rPr>
              <w:t>July 1, 2016</w:t>
            </w:r>
          </w:p>
        </w:tc>
        <w:tc>
          <w:tcPr>
            <w:tcW w:w="240" w:type="dxa"/>
            <w:vAlign w:val="bottom"/>
          </w:tcPr>
          <w:p>
            <w:pPr>
              <w:spacing w:after="0"/>
              <w:rPr>
                <w:sz w:val="12"/>
                <w:szCs w:val="12"/>
                <w:color w:val="auto"/>
              </w:rPr>
            </w:pPr>
          </w:p>
        </w:tc>
        <w:tc>
          <w:tcPr>
            <w:tcW w:w="1360" w:type="dxa"/>
            <w:vAlign w:val="bottom"/>
          </w:tcPr>
          <w:p>
            <w:pPr>
              <w:jc w:val="center"/>
              <w:ind w:right="296"/>
              <w:spacing w:after="0" w:line="144" w:lineRule="exact"/>
              <w:rPr>
                <w:sz w:val="20"/>
                <w:szCs w:val="20"/>
                <w:color w:val="auto"/>
              </w:rPr>
            </w:pPr>
            <w:r>
              <w:rPr>
                <w:rFonts w:ascii="Arial" w:cs="Arial" w:eastAsia="Arial" w:hAnsi="Arial"/>
                <w:sz w:val="14"/>
                <w:szCs w:val="14"/>
                <w:b w:val="1"/>
                <w:bCs w:val="1"/>
                <w:color w:val="auto"/>
                <w:w w:val="94"/>
              </w:rPr>
              <w:t>July 1, 2015</w:t>
            </w:r>
          </w:p>
        </w:tc>
        <w:tc>
          <w:tcPr>
            <w:tcW w:w="240" w:type="dxa"/>
            <w:vAlign w:val="bottom"/>
          </w:tcPr>
          <w:p>
            <w:pPr>
              <w:spacing w:after="0"/>
              <w:rPr>
                <w:sz w:val="12"/>
                <w:szCs w:val="12"/>
                <w:color w:val="auto"/>
              </w:rPr>
            </w:pPr>
          </w:p>
        </w:tc>
        <w:tc>
          <w:tcPr>
            <w:tcW w:w="1280" w:type="dxa"/>
            <w:vAlign w:val="bottom"/>
          </w:tcPr>
          <w:p>
            <w:pPr>
              <w:jc w:val="center"/>
              <w:ind w:right="216"/>
              <w:spacing w:after="0" w:line="144" w:lineRule="exact"/>
              <w:rPr>
                <w:sz w:val="20"/>
                <w:szCs w:val="20"/>
                <w:color w:val="auto"/>
              </w:rPr>
            </w:pPr>
            <w:r>
              <w:rPr>
                <w:rFonts w:ascii="Arial" w:cs="Arial" w:eastAsia="Arial" w:hAnsi="Arial"/>
                <w:sz w:val="14"/>
                <w:szCs w:val="14"/>
                <w:b w:val="1"/>
                <w:bCs w:val="1"/>
                <w:color w:val="auto"/>
                <w:w w:val="94"/>
              </w:rPr>
              <w:t>July 1, 2014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right="276"/>
              <w:spacing w:after="0" w:line="157" w:lineRule="exact"/>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3"/>
                <w:szCs w:val="13"/>
                <w:color w:val="auto"/>
              </w:rPr>
            </w:pPr>
          </w:p>
        </w:tc>
        <w:tc>
          <w:tcPr>
            <w:tcW w:w="1360" w:type="dxa"/>
            <w:vAlign w:val="bottom"/>
          </w:tcPr>
          <w:p>
            <w:pPr>
              <w:jc w:val="center"/>
              <w:ind w:right="316"/>
              <w:spacing w:after="0" w:line="157" w:lineRule="exact"/>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3"/>
                <w:szCs w:val="13"/>
                <w:color w:val="auto"/>
              </w:rPr>
            </w:pPr>
          </w:p>
        </w:tc>
        <w:tc>
          <w:tcPr>
            <w:tcW w:w="1280" w:type="dxa"/>
            <w:vAlign w:val="bottom"/>
          </w:tcPr>
          <w:p>
            <w:pPr>
              <w:jc w:val="center"/>
              <w:ind w:right="236"/>
              <w:spacing w:after="0" w:line="157"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5300" w:type="dxa"/>
            <w:vAlign w:val="bottom"/>
            <w:gridSpan w:val="6"/>
          </w:tcPr>
          <w:p>
            <w:pPr>
              <w:spacing w:after="0"/>
              <w:rPr>
                <w:sz w:val="20"/>
                <w:szCs w:val="20"/>
                <w:color w:val="auto"/>
              </w:rPr>
            </w:pPr>
            <w:r>
              <w:rPr>
                <w:rFonts w:ascii="Arial" w:cs="Arial" w:eastAsia="Arial" w:hAnsi="Arial"/>
                <w:sz w:val="14"/>
                <w:szCs w:val="14"/>
                <w:b w:val="1"/>
                <w:bCs w:val="1"/>
                <w:color w:val="auto"/>
              </w:rPr>
              <w:t>Line of Busines</w:t>
            </w: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ind w:right="276"/>
              <w:spacing w:after="0"/>
              <w:rPr>
                <w:sz w:val="20"/>
                <w:szCs w:val="20"/>
                <w:color w:val="auto"/>
              </w:rPr>
            </w:pPr>
            <w:r>
              <w:rPr>
                <w:rFonts w:ascii="Arial" w:cs="Arial" w:eastAsia="Arial" w:hAnsi="Arial"/>
                <w:sz w:val="14"/>
                <w:szCs w:val="14"/>
                <w:b w:val="1"/>
                <w:bCs w:val="1"/>
                <w:color w:val="auto"/>
                <w:w w:val="92"/>
              </w:rPr>
              <w:t>June 30, 2017</w:t>
            </w:r>
          </w:p>
        </w:tc>
        <w:tc>
          <w:tcPr>
            <w:tcW w:w="240" w:type="dxa"/>
            <w:vAlign w:val="bottom"/>
          </w:tcPr>
          <w:p>
            <w:pPr>
              <w:spacing w:after="0"/>
              <w:rPr>
                <w:sz w:val="15"/>
                <w:szCs w:val="15"/>
                <w:color w:val="auto"/>
              </w:rPr>
            </w:pPr>
          </w:p>
        </w:tc>
        <w:tc>
          <w:tcPr>
            <w:tcW w:w="1360" w:type="dxa"/>
            <w:vAlign w:val="bottom"/>
          </w:tcPr>
          <w:p>
            <w:pPr>
              <w:jc w:val="center"/>
              <w:ind w:right="296"/>
              <w:spacing w:after="0"/>
              <w:rPr>
                <w:sz w:val="20"/>
                <w:szCs w:val="20"/>
                <w:color w:val="auto"/>
              </w:rPr>
            </w:pPr>
            <w:r>
              <w:rPr>
                <w:rFonts w:ascii="Arial" w:cs="Arial" w:eastAsia="Arial" w:hAnsi="Arial"/>
                <w:sz w:val="14"/>
                <w:szCs w:val="14"/>
                <w:b w:val="1"/>
                <w:bCs w:val="1"/>
                <w:color w:val="auto"/>
                <w:w w:val="90"/>
              </w:rPr>
              <w:t>June 30, 2016</w:t>
            </w:r>
          </w:p>
        </w:tc>
        <w:tc>
          <w:tcPr>
            <w:tcW w:w="240" w:type="dxa"/>
            <w:vAlign w:val="bottom"/>
          </w:tcPr>
          <w:p>
            <w:pPr>
              <w:spacing w:after="0"/>
              <w:rPr>
                <w:sz w:val="15"/>
                <w:szCs w:val="15"/>
                <w:color w:val="auto"/>
              </w:rPr>
            </w:pPr>
          </w:p>
        </w:tc>
        <w:tc>
          <w:tcPr>
            <w:tcW w:w="128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40" w:type="dxa"/>
            <w:vAlign w:val="bottom"/>
            <w:tcBorders>
              <w:bottom w:val="single" w:sz="8" w:color="auto"/>
            </w:tcBorders>
          </w:tcPr>
          <w:p>
            <w:pPr>
              <w:spacing w:after="0" w:line="170" w:lineRule="exact"/>
              <w:rPr>
                <w:sz w:val="20"/>
                <w:szCs w:val="20"/>
                <w:color w:val="auto"/>
              </w:rPr>
            </w:pPr>
            <w:r>
              <w:rPr>
                <w:rFonts w:ascii="Arial" w:cs="Arial" w:eastAsia="Arial" w:hAnsi="Arial"/>
                <w:sz w:val="17"/>
                <w:szCs w:val="17"/>
                <w:color w:val="auto"/>
                <w:w w:val="87"/>
              </w:rPr>
              <w:t>Personal Lines:</w:t>
            </w:r>
          </w:p>
        </w:tc>
        <w:tc>
          <w:tcPr>
            <w:tcW w:w="4240" w:type="dxa"/>
            <w:vAlign w:val="bottom"/>
            <w:gridSpan w:val="4"/>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Quota share treaty: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Percent ceded</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Risk retained</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450,000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360,000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w w:val="93"/>
              </w:rPr>
              <w:t>Losses per occurrence subject to quota share reinsurance coverage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833,333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750,000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Excess of loss coverage above quota share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3,666,667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3,750,000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3,200,000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in excess of</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in excess of</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833,333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750,000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4,050,000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3,640,000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76"/>
              <w:spacing w:after="0"/>
              <w:rPr>
                <w:sz w:val="20"/>
                <w:szCs w:val="20"/>
                <w:color w:val="auto"/>
              </w:rPr>
            </w:pPr>
            <w:r>
              <w:rPr>
                <w:rFonts w:ascii="Arial" w:cs="Arial" w:eastAsia="Arial" w:hAnsi="Arial"/>
                <w:sz w:val="17"/>
                <w:szCs w:val="17"/>
                <w:color w:val="auto"/>
                <w:w w:val="85"/>
              </w:rPr>
              <w:t>June 30,</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8"/>
              </w:rPr>
              <w:t>June 30,</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85"/>
              </w:rPr>
              <w:t>June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9"/>
              </w:rPr>
              <w:t>2017</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9"/>
              </w:rPr>
              <w:t>2016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9"/>
              </w:rPr>
              <w:t>2015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Quota share treaty: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Percent ceded - excess of $1,000,000 dollars of coverage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4,900,000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2,900,000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2,900,000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w w:val="93"/>
              </w:rPr>
              <w:t>Losses per occurrence subject to quota share reinsurance coverage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center"/>
              <w:ind w:right="276"/>
              <w:spacing w:after="0"/>
              <w:rPr>
                <w:sz w:val="20"/>
                <w:szCs w:val="20"/>
                <w:color w:val="auto"/>
              </w:rPr>
            </w:pPr>
            <w:r>
              <w:rPr>
                <w:rFonts w:ascii="Arial" w:cs="Arial" w:eastAsia="Arial" w:hAnsi="Arial"/>
                <w:sz w:val="17"/>
                <w:szCs w:val="17"/>
                <w:color w:val="auto"/>
                <w:w w:val="85"/>
              </w:rPr>
              <w:t>June 30,</w:t>
            </w:r>
          </w:p>
        </w:tc>
        <w:tc>
          <w:tcPr>
            <w:tcW w:w="240" w:type="dxa"/>
            <w:vAlign w:val="bottom"/>
          </w:tcPr>
          <w:p>
            <w:pPr>
              <w:spacing w:after="0"/>
              <w:rPr>
                <w:sz w:val="17"/>
                <w:szCs w:val="17"/>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88"/>
              </w:rPr>
              <w:t>June 30,</w:t>
            </w:r>
          </w:p>
        </w:tc>
        <w:tc>
          <w:tcPr>
            <w:tcW w:w="240" w:type="dxa"/>
            <w:vAlign w:val="bottom"/>
          </w:tcPr>
          <w:p>
            <w:pPr>
              <w:spacing w:after="0"/>
              <w:rPr>
                <w:sz w:val="17"/>
                <w:szCs w:val="17"/>
                <w:color w:val="auto"/>
              </w:rPr>
            </w:pPr>
          </w:p>
        </w:tc>
        <w:tc>
          <w:tcPr>
            <w:tcW w:w="1280" w:type="dxa"/>
            <w:vAlign w:val="bottom"/>
          </w:tcPr>
          <w:p>
            <w:pPr>
              <w:jc w:val="center"/>
              <w:ind w:right="236"/>
              <w:spacing w:after="0"/>
              <w:rPr>
                <w:sz w:val="20"/>
                <w:szCs w:val="20"/>
                <w:color w:val="auto"/>
              </w:rPr>
            </w:pPr>
            <w:r>
              <w:rPr>
                <w:rFonts w:ascii="Arial" w:cs="Arial" w:eastAsia="Arial" w:hAnsi="Arial"/>
                <w:sz w:val="17"/>
                <w:szCs w:val="17"/>
                <w:color w:val="auto"/>
                <w:w w:val="85"/>
              </w:rPr>
              <w:t>June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Expiration date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89"/>
              </w:rPr>
              <w:t>2017</w:t>
            </w:r>
          </w:p>
        </w:tc>
        <w:tc>
          <w:tcPr>
            <w:tcW w:w="240" w:type="dxa"/>
            <w:vAlign w:val="bottom"/>
          </w:tcPr>
          <w:p>
            <w:pPr>
              <w:spacing w:after="0"/>
              <w:rPr>
                <w:sz w:val="18"/>
                <w:szCs w:val="18"/>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89"/>
              </w:rPr>
              <w:t>2016</w:t>
            </w:r>
          </w:p>
        </w:tc>
        <w:tc>
          <w:tcPr>
            <w:tcW w:w="240" w:type="dxa"/>
            <w:vAlign w:val="bottom"/>
          </w:tcPr>
          <w:p>
            <w:pPr>
              <w:spacing w:after="0"/>
              <w:rPr>
                <w:sz w:val="18"/>
                <w:szCs w:val="18"/>
                <w:color w:val="auto"/>
              </w:rPr>
            </w:pPr>
          </w:p>
        </w:tc>
        <w:tc>
          <w:tcPr>
            <w:tcW w:w="1280" w:type="dxa"/>
            <w:vAlign w:val="bottom"/>
          </w:tcPr>
          <w:p>
            <w:pPr>
              <w:jc w:val="center"/>
              <w:ind w:right="216"/>
              <w:spacing w:after="0"/>
              <w:rPr>
                <w:sz w:val="20"/>
                <w:szCs w:val="20"/>
                <w:color w:val="auto"/>
              </w:rPr>
            </w:pPr>
            <w:r>
              <w:rPr>
                <w:rFonts w:ascii="Arial" w:cs="Arial" w:eastAsia="Arial" w:hAnsi="Arial"/>
                <w:sz w:val="17"/>
                <w:szCs w:val="17"/>
                <w:color w:val="auto"/>
                <w:w w:val="89"/>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300" w:type="dxa"/>
            <w:vAlign w:val="bottom"/>
            <w:tcBorders>
              <w:bottom w:val="single" w:sz="8" w:color="auto"/>
            </w:tcBorders>
            <w:gridSpan w:val="3"/>
          </w:tcPr>
          <w:p>
            <w:pPr>
              <w:spacing w:after="0" w:line="170" w:lineRule="exact"/>
              <w:rPr>
                <w:sz w:val="20"/>
                <w:szCs w:val="20"/>
                <w:color w:val="auto"/>
              </w:rPr>
            </w:pPr>
            <w:r>
              <w:rPr>
                <w:rFonts w:ascii="Arial" w:cs="Arial" w:eastAsia="Arial" w:hAnsi="Arial"/>
                <w:sz w:val="17"/>
                <w:szCs w:val="17"/>
                <w:color w:val="auto"/>
                <w:w w:val="90"/>
              </w:rPr>
              <w:t>Commercial Lines:</w:t>
            </w:r>
          </w:p>
        </w:tc>
        <w:tc>
          <w:tcPr>
            <w:tcW w:w="398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General liability commercial policies, except for commercial auto</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Quota share treaty: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Percent ceded (terminated effective July 1, 2014)</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93"/>
              </w:rPr>
              <w:t>None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93"/>
              </w:rPr>
              <w:t>None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Risk retained</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425,000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w w:val="93"/>
              </w:rPr>
              <w:t>Losses per occurrence subject to quota share reinsurance coverage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93"/>
              </w:rPr>
              <w:t>None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93"/>
              </w:rPr>
              <w:t>None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Excess of loss coverage above quota share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4,075,000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3,600,000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in excess of</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in excess of</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425,000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4,075,000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3,600,000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7"/>
                <w:szCs w:val="17"/>
                <w:color w:val="auto"/>
              </w:rPr>
              <w:t>Commercial Umbrella</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Percent ceded - excess of $1,000,000 of coverage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rPr>
              <w:t>Risk retained</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4,900,000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460"/>
              <w:spacing w:after="0"/>
              <w:rPr>
                <w:sz w:val="20"/>
                <w:szCs w:val="20"/>
                <w:color w:val="auto"/>
              </w:rPr>
            </w:pPr>
            <w:r>
              <w:rPr>
                <w:rFonts w:ascii="Arial" w:cs="Arial" w:eastAsia="Arial" w:hAnsi="Arial"/>
                <w:sz w:val="17"/>
                <w:szCs w:val="17"/>
                <w:color w:val="auto"/>
                <w:w w:val="93"/>
              </w:rPr>
              <w:t>Losses per occurrence subject to quota share reinsurance coverage</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76"/>
              <w:spacing w:after="0"/>
              <w:rPr>
                <w:sz w:val="20"/>
                <w:szCs w:val="20"/>
                <w:color w:val="auto"/>
              </w:rPr>
            </w:pPr>
            <w:r>
              <w:rPr>
                <w:rFonts w:ascii="Arial" w:cs="Arial" w:eastAsia="Arial" w:hAnsi="Arial"/>
                <w:sz w:val="17"/>
                <w:szCs w:val="17"/>
                <w:color w:val="auto"/>
                <w:w w:val="85"/>
              </w:rPr>
              <w:t>June 30,</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9"/>
              </w:rPr>
              <w:t>2017</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color w:val="auto"/>
                <w:w w:val="91"/>
              </w:rPr>
              <w:t>Commercial Auto:</w:t>
            </w:r>
          </w:p>
        </w:tc>
        <w:tc>
          <w:tcPr>
            <w:tcW w:w="4020" w:type="dxa"/>
            <w:vAlign w:val="bottom"/>
            <w:tcBorders>
              <w:bottom w:val="single" w:sz="8" w:color="CCEEFF"/>
            </w:tcBorders>
            <w:gridSpan w:val="3"/>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Risk retained</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300,000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Excess of loss coverage in excess of risk retained</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1,700,000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1,700,000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91"/>
              </w:rPr>
              <w:t>in excess of</w:t>
            </w:r>
          </w:p>
        </w:tc>
        <w:tc>
          <w:tcPr>
            <w:tcW w:w="240" w:type="dxa"/>
            <w:vAlign w:val="bottom"/>
          </w:tcPr>
          <w:p>
            <w:pPr>
              <w:spacing w:after="0"/>
              <w:rPr>
                <w:sz w:val="18"/>
                <w:szCs w:val="18"/>
                <w:color w:val="auto"/>
              </w:rPr>
            </w:pPr>
          </w:p>
        </w:tc>
        <w:tc>
          <w:tcPr>
            <w:tcW w:w="1280" w:type="dxa"/>
            <w:vAlign w:val="bottom"/>
          </w:tcPr>
          <w:p>
            <w:pPr>
              <w:jc w:val="center"/>
              <w:ind w:right="236"/>
              <w:spacing w:after="0"/>
              <w:rPr>
                <w:sz w:val="20"/>
                <w:szCs w:val="20"/>
                <w:color w:val="auto"/>
              </w:rPr>
            </w:pPr>
            <w:r>
              <w:rPr>
                <w:rFonts w:ascii="Arial" w:cs="Arial" w:eastAsia="Arial" w:hAnsi="Arial"/>
                <w:sz w:val="17"/>
                <w:szCs w:val="17"/>
                <w:color w:val="auto"/>
                <w:w w:val="89"/>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80" w:type="dxa"/>
            <w:vAlign w:val="bottom"/>
            <w:gridSpan w:val="5"/>
          </w:tcPr>
          <w:p>
            <w:pPr>
              <w:spacing w:after="0" w:line="170" w:lineRule="exact"/>
              <w:rPr>
                <w:sz w:val="20"/>
                <w:szCs w:val="20"/>
                <w:color w:val="auto"/>
              </w:rPr>
            </w:pPr>
            <w:r>
              <w:rPr>
                <w:rFonts w:ascii="Arial" w:cs="Arial" w:eastAsia="Arial" w:hAnsi="Arial"/>
                <w:sz w:val="17"/>
                <w:szCs w:val="17"/>
                <w:color w:val="auto"/>
              </w:rPr>
              <w:t>Catastrophe Reinsurance:</w:t>
            </w: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Initial loss subject to personal lines quota share treaty</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Risk retained per catastrophe occurrence (1)</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3,000,000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6"/>
              <w:spacing w:after="0"/>
              <w:rPr>
                <w:sz w:val="20"/>
                <w:szCs w:val="20"/>
                <w:color w:val="auto"/>
              </w:rPr>
            </w:pPr>
            <w:r>
              <w:rPr>
                <w:rFonts w:ascii="Arial" w:cs="Arial" w:eastAsia="Arial" w:hAnsi="Arial"/>
                <w:sz w:val="17"/>
                <w:szCs w:val="17"/>
                <w:color w:val="auto"/>
              </w:rPr>
              <w:t>2,400,000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1,800,000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w w:val="99"/>
              </w:rPr>
              <w:t>Catastrophe loss coverage in excess of quota share coverage (2) (3)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247,000,000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176,000,000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137,000,000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tcPr>
          <w:p>
            <w:pPr>
              <w:ind w:left="140"/>
              <w:spacing w:after="0"/>
              <w:rPr>
                <w:sz w:val="20"/>
                <w:szCs w:val="20"/>
                <w:color w:val="auto"/>
              </w:rPr>
            </w:pPr>
            <w:r>
              <w:rPr>
                <w:rFonts w:ascii="Arial" w:cs="Arial" w:eastAsia="Arial" w:hAnsi="Arial"/>
                <w:sz w:val="17"/>
                <w:szCs w:val="17"/>
                <w:color w:val="auto"/>
              </w:rPr>
              <w:t>Severe winter weather aggregate (3)</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276"/>
              <w:spacing w:after="0"/>
              <w:rPr>
                <w:sz w:val="20"/>
                <w:szCs w:val="20"/>
                <w:color w:val="auto"/>
              </w:rPr>
            </w:pPr>
            <w:r>
              <w:rPr>
                <w:rFonts w:ascii="Arial" w:cs="Arial" w:eastAsia="Arial" w:hAnsi="Arial"/>
                <w:sz w:val="17"/>
                <w:szCs w:val="17"/>
                <w:color w:val="auto"/>
                <w:w w:val="91"/>
              </w:rPr>
              <w:t>No</w:t>
            </w:r>
          </w:p>
        </w:tc>
        <w:tc>
          <w:tcPr>
            <w:tcW w:w="240" w:type="dxa"/>
            <w:vAlign w:val="bottom"/>
          </w:tcPr>
          <w:p>
            <w:pPr>
              <w:spacing w:after="0"/>
              <w:rPr>
                <w:sz w:val="18"/>
                <w:szCs w:val="18"/>
                <w:color w:val="auto"/>
              </w:rPr>
            </w:pPr>
          </w:p>
        </w:tc>
        <w:tc>
          <w:tcPr>
            <w:tcW w:w="1360" w:type="dxa"/>
            <w:vAlign w:val="bottom"/>
          </w:tcPr>
          <w:p>
            <w:pPr>
              <w:jc w:val="center"/>
              <w:ind w:right="296"/>
              <w:spacing w:after="0"/>
              <w:rPr>
                <w:sz w:val="20"/>
                <w:szCs w:val="20"/>
                <w:color w:val="auto"/>
              </w:rPr>
            </w:pPr>
            <w:r>
              <w:rPr>
                <w:rFonts w:ascii="Arial" w:cs="Arial" w:eastAsia="Arial" w:hAnsi="Arial"/>
                <w:sz w:val="17"/>
                <w:szCs w:val="17"/>
                <w:color w:val="auto"/>
                <w:w w:val="88"/>
              </w:rPr>
              <w:t>Yes</w:t>
            </w:r>
          </w:p>
        </w:tc>
        <w:tc>
          <w:tcPr>
            <w:tcW w:w="240" w:type="dxa"/>
            <w:vAlign w:val="bottom"/>
          </w:tcPr>
          <w:p>
            <w:pPr>
              <w:spacing w:after="0"/>
              <w:rPr>
                <w:sz w:val="18"/>
                <w:szCs w:val="18"/>
                <w:color w:val="auto"/>
              </w:rPr>
            </w:pPr>
          </w:p>
        </w:tc>
        <w:tc>
          <w:tcPr>
            <w:tcW w:w="1280" w:type="dxa"/>
            <w:vAlign w:val="bottom"/>
          </w:tcPr>
          <w:p>
            <w:pPr>
              <w:jc w:val="center"/>
              <w:ind w:right="236"/>
              <w:spacing w:after="0"/>
              <w:rPr>
                <w:sz w:val="20"/>
                <w:szCs w:val="20"/>
                <w:color w:val="auto"/>
              </w:rPr>
            </w:pPr>
            <w:r>
              <w:rPr>
                <w:rFonts w:ascii="Arial" w:cs="Arial" w:eastAsia="Arial" w:hAnsi="Arial"/>
                <w:sz w:val="17"/>
                <w:szCs w:val="17"/>
                <w:color w:val="auto"/>
                <w:w w:val="81"/>
              </w:rPr>
              <w:t>Yes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Reinstatement premium protection (4)</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76"/>
              <w:spacing w:after="0"/>
              <w:rPr>
                <w:sz w:val="20"/>
                <w:szCs w:val="20"/>
                <w:color w:val="auto"/>
              </w:rPr>
            </w:pPr>
            <w:r>
              <w:rPr>
                <w:rFonts w:ascii="Arial" w:cs="Arial" w:eastAsia="Arial" w:hAnsi="Arial"/>
                <w:sz w:val="17"/>
                <w:szCs w:val="17"/>
                <w:color w:val="auto"/>
                <w:w w:val="81"/>
              </w:rPr>
              <w:t>Yes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6"/>
              <w:spacing w:after="0"/>
              <w:rPr>
                <w:sz w:val="20"/>
                <w:szCs w:val="20"/>
                <w:color w:val="auto"/>
              </w:rPr>
            </w:pPr>
            <w:r>
              <w:rPr>
                <w:rFonts w:ascii="Arial" w:cs="Arial" w:eastAsia="Arial" w:hAnsi="Arial"/>
                <w:sz w:val="17"/>
                <w:szCs w:val="17"/>
                <w:color w:val="auto"/>
                <w:w w:val="88"/>
              </w:rPr>
              <w:t>Yes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91"/>
              </w:rPr>
              <w:t>No</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rPr>
              <w:t>64</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2" w:right="239" w:bottom="1440" w:gutter="0" w:footer="0" w:header="0"/>
        </w:sectPr>
      </w:pPr>
    </w:p>
    <w:bookmarkStart w:id="66" w:name="page67"/>
    <w:bookmarkEnd w:id="66"/>
    <w:p>
      <w:pPr>
        <w:ind w:left="640" w:hanging="321"/>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20" w:lineRule="exact"/>
        <w:rPr>
          <w:rFonts w:ascii="Arial" w:cs="Arial" w:eastAsia="Arial" w:hAnsi="Arial"/>
          <w:sz w:val="17"/>
          <w:szCs w:val="17"/>
          <w:color w:val="auto"/>
        </w:rPr>
      </w:pPr>
    </w:p>
    <w:p>
      <w:pPr>
        <w:ind w:left="640" w:hanging="321"/>
        <w:spacing w:after="0" w:line="27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640" w:hanging="321"/>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From July 1, 2014 through June 30, 2016, catastrophe treaty also covered losses caused by severe winter weather during any consecutive 28 day period.</w:t>
      </w:r>
    </w:p>
    <w:p>
      <w:pPr>
        <w:spacing w:after="0" w:line="36" w:lineRule="exact"/>
        <w:rPr>
          <w:rFonts w:ascii="Arial" w:cs="Arial" w:eastAsia="Arial" w:hAnsi="Arial"/>
          <w:sz w:val="15"/>
          <w:szCs w:val="15"/>
          <w:color w:val="auto"/>
        </w:rPr>
      </w:pPr>
    </w:p>
    <w:p>
      <w:pPr>
        <w:ind w:left="640" w:hanging="321"/>
        <w:spacing w:after="0" w:line="273"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we are subject under the treaties that expired on June 30, 2016 and 2015 are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b w:val="1"/>
                <w:bCs w:val="1"/>
                <w:color w:val="auto"/>
                <w:w w:val="92"/>
              </w:rPr>
              <w:t>July 1, 2015 - June 30, 2016</w:t>
            </w:r>
          </w:p>
        </w:tc>
        <w:tc>
          <w:tcPr>
            <w:tcW w:w="1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w w:val="97"/>
              </w:rPr>
              <w:t>July 1, 2014 - June 30, 2015</w:t>
            </w: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Treaty</w:t>
            </w:r>
          </w:p>
        </w:tc>
        <w:tc>
          <w:tcPr>
            <w:tcW w:w="220" w:type="dxa"/>
            <w:vAlign w:val="bottom"/>
          </w:tcPr>
          <w:p>
            <w:pPr>
              <w:spacing w:after="0"/>
              <w:rPr>
                <w:sz w:val="16"/>
                <w:szCs w:val="16"/>
                <w:color w:val="auto"/>
              </w:rPr>
            </w:pPr>
          </w:p>
        </w:tc>
        <w:tc>
          <w:tcPr>
            <w:tcW w:w="29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Extent of Loss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Risk Retained</w:t>
            </w:r>
          </w:p>
        </w:tc>
        <w:tc>
          <w:tcPr>
            <w:tcW w:w="240" w:type="dxa"/>
            <w:vAlign w:val="bottom"/>
          </w:tcPr>
          <w:p>
            <w:pPr>
              <w:spacing w:after="0"/>
              <w:rPr>
                <w:sz w:val="16"/>
                <w:szCs w:val="16"/>
                <w:color w:val="auto"/>
              </w:rPr>
            </w:pPr>
          </w:p>
        </w:tc>
        <w:tc>
          <w:tcPr>
            <w:tcW w:w="29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Extent of 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Risk Retained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$750,000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$800,000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$750,000 - $4,500,000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None(1)</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$800,000 - $4,000,000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$4,500,000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$1,000,000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$1,000,000 - $3,000,000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None(1)</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$1,000,000 - $3,000,000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$3,000,000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$425,000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$400,000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$425,000 - $4,500,000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None(1)</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$400,000 - $4,000,000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$4,500,000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$4,000,000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Auto</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$300,000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$300,000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$300,000 - $2,000,000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None(1)</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$300,000 - $2,000,000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$2,000,000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$2,000,000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Initial $4,000,000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7"/>
                <w:szCs w:val="17"/>
                <w:color w:val="auto"/>
              </w:rPr>
              <w:t>$4,000,000 - $180,000,000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None</w:t>
            </w:r>
          </w:p>
        </w:tc>
        <w:tc>
          <w:tcPr>
            <w:tcW w:w="3220" w:type="dxa"/>
            <w:vAlign w:val="bottom"/>
            <w:gridSpan w:val="2"/>
          </w:tcPr>
          <w:p>
            <w:pPr>
              <w:ind w:left="280"/>
              <w:spacing w:after="0"/>
              <w:rPr>
                <w:sz w:val="20"/>
                <w:szCs w:val="20"/>
                <w:color w:val="auto"/>
              </w:rPr>
            </w:pPr>
            <w:r>
              <w:rPr>
                <w:rFonts w:ascii="Arial" w:cs="Arial" w:eastAsia="Arial" w:hAnsi="Arial"/>
                <w:sz w:val="17"/>
                <w:szCs w:val="17"/>
                <w:color w:val="auto"/>
              </w:rPr>
              <w:t>$4,000,000 - $141,000,000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Over $180,000,000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$141,000,000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23" w:lineRule="exact"/>
        <w:rPr>
          <w:sz w:val="20"/>
          <w:szCs w:val="20"/>
          <w:color w:val="auto"/>
        </w:rPr>
      </w:pPr>
    </w:p>
    <w:p>
      <w:pPr>
        <w:ind w:left="240" w:hanging="235"/>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223" w:lineRule="exact"/>
        <w:rPr>
          <w:rFonts w:ascii="Arial" w:cs="Arial" w:eastAsia="Arial" w:hAnsi="Arial"/>
          <w:sz w:val="17"/>
          <w:szCs w:val="17"/>
          <w:color w:val="auto"/>
        </w:rPr>
      </w:pPr>
    </w:p>
    <w:p>
      <w:pPr>
        <w:ind w:left="240" w:hanging="235"/>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The single maximum risks per occurrence to which we are subject under the new treaties effective July 1, 2016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Treaty</w:t>
            </w:r>
          </w:p>
        </w:tc>
        <w:tc>
          <w:tcPr>
            <w:tcW w:w="340" w:type="dxa"/>
            <w:vAlign w:val="bottom"/>
            <w:vMerge w:val="restart"/>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July 1, 2016 - June 30, 2017</w:t>
            </w: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b w:val="1"/>
                <w:bCs w:val="1"/>
                <w:color w:val="auto"/>
              </w:rPr>
              <w:t>Extent of Loss</w:t>
            </w:r>
          </w:p>
        </w:tc>
        <w:tc>
          <w:tcPr>
            <w:tcW w:w="220" w:type="dxa"/>
            <w:vAlign w:val="bottom"/>
          </w:tcPr>
          <w:p>
            <w:pPr>
              <w:spacing w:after="0"/>
              <w:rPr>
                <w:sz w:val="14"/>
                <w:szCs w:val="14"/>
                <w:color w:val="auto"/>
              </w:rPr>
            </w:pPr>
          </w:p>
        </w:tc>
        <w:tc>
          <w:tcPr>
            <w:tcW w:w="2320" w:type="dxa"/>
            <w:vAlign w:val="bottom"/>
            <w:tcBorders>
              <w:bottom w:val="single" w:sz="8" w:color="auto"/>
            </w:tcBorders>
          </w:tcPr>
          <w:p>
            <w:pPr>
              <w:jc w:val="right"/>
              <w:ind w:right="617"/>
              <w:spacing w:after="0" w:line="157"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$833,333</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$833,333 - $4,500,000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$500,000 - $4,500,000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w w:val="95"/>
              </w:rPr>
              <w:t>$5,000,000 - $252,000,000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$252,000,000</w:t>
            </w:r>
          </w:p>
        </w:tc>
        <w:tc>
          <w:tcPr>
            <w:tcW w:w="31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223" w:lineRule="exact"/>
        <w:rPr>
          <w:sz w:val="20"/>
          <w:szCs w:val="20"/>
          <w:color w:val="auto"/>
        </w:rPr>
      </w:pPr>
    </w:p>
    <w:p>
      <w:pPr>
        <w:ind w:left="240" w:hanging="235"/>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223" w:lineRule="exact"/>
        <w:rPr>
          <w:rFonts w:ascii="Arial" w:cs="Arial" w:eastAsia="Arial" w:hAnsi="Arial"/>
          <w:sz w:val="17"/>
          <w:szCs w:val="17"/>
          <w:color w:val="auto"/>
        </w:rPr>
      </w:pPr>
    </w:p>
    <w:p>
      <w:pPr>
        <w:ind w:left="240" w:hanging="235"/>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7"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 and Financial Condition</w:t>
      </w:r>
    </w:p>
    <w:p>
      <w:pPr>
        <w:spacing w:after="0" w:line="227"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Based upon the factors set forth under “Factors That May Affect Future Results and Financial Condition” in Item 7 of our Annual Report on Form 10-K for the year ended December 31, 2015,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23"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83"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2016.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23"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27" w:lineRule="exact"/>
        <w:rPr>
          <w:sz w:val="20"/>
          <w:szCs w:val="20"/>
          <w:color w:val="auto"/>
        </w:rPr>
      </w:pPr>
    </w:p>
    <w:p>
      <w:pPr>
        <w:jc w:val="center"/>
        <w:ind w:right="978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-7620</wp:posOffset>
            </wp:positionV>
            <wp:extent cx="273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227" w:lineRule="exact"/>
        <w:rPr>
          <w:sz w:val="20"/>
          <w:szCs w:val="20"/>
          <w:color w:val="auto"/>
        </w:rPr>
      </w:pPr>
    </w:p>
    <w:p>
      <w:pPr>
        <w:ind w:left="900" w:hanging="268"/>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None</w:t>
      </w:r>
    </w:p>
    <w:p>
      <w:pPr>
        <w:spacing w:after="0" w:line="223" w:lineRule="exact"/>
        <w:rPr>
          <w:rFonts w:ascii="Arial" w:cs="Arial" w:eastAsia="Arial" w:hAnsi="Arial"/>
          <w:sz w:val="17"/>
          <w:szCs w:val="17"/>
          <w:color w:val="auto"/>
        </w:rPr>
      </w:pPr>
    </w:p>
    <w:p>
      <w:pPr>
        <w:ind w:left="920" w:hanging="28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23" w:lineRule="exact"/>
        <w:rPr>
          <w:rFonts w:ascii="Arial" w:cs="Arial" w:eastAsia="Arial" w:hAnsi="Arial"/>
          <w:sz w:val="17"/>
          <w:szCs w:val="17"/>
          <w:color w:val="auto"/>
        </w:rPr>
      </w:pPr>
    </w:p>
    <w:p>
      <w:pPr>
        <w:ind w:firstLine="632"/>
        <w:spacing w:after="0" w:line="281" w:lineRule="auto"/>
        <w:tabs>
          <w:tab w:leader="none" w:pos="86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table sets forth certain information with respect to purchases of common stock made by us or any “affiliated purchaser” during the quarter ended June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Shares Purchased</w:t>
            </w:r>
          </w:p>
        </w:tc>
        <w:tc>
          <w:tcPr>
            <w:tcW w:w="13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as Part of</w:t>
            </w:r>
          </w:p>
        </w:tc>
        <w:tc>
          <w:tcPr>
            <w:tcW w:w="13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3"/>
                <w:szCs w:val="13"/>
                <w:color w:val="auto"/>
              </w:rPr>
            </w:pPr>
          </w:p>
        </w:tc>
        <w:tc>
          <w:tcPr>
            <w:tcW w:w="1080" w:type="dxa"/>
            <w:vAlign w:val="bottom"/>
          </w:tcPr>
          <w:p>
            <w:pPr>
              <w:jc w:val="center"/>
              <w:ind w:right="221"/>
              <w:spacing w:after="0" w:line="157"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Publicly</w:t>
            </w:r>
          </w:p>
        </w:tc>
        <w:tc>
          <w:tcPr>
            <w:tcW w:w="13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5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Period</w:t>
            </w:r>
          </w:p>
        </w:tc>
        <w:tc>
          <w:tcPr>
            <w:tcW w:w="112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1080" w:type="dxa"/>
            <w:vAlign w:val="bottom"/>
          </w:tcPr>
          <w:p>
            <w:pPr>
              <w:jc w:val="center"/>
              <w:ind w:right="201"/>
              <w:spacing w:after="0" w:line="157" w:lineRule="exact"/>
              <w:rPr>
                <w:sz w:val="20"/>
                <w:szCs w:val="20"/>
                <w:color w:val="auto"/>
              </w:rPr>
            </w:pPr>
            <w:r>
              <w:rPr>
                <w:rFonts w:ascii="Arial" w:cs="Arial" w:eastAsia="Arial" w:hAnsi="Arial"/>
                <w:sz w:val="14"/>
                <w:szCs w:val="14"/>
                <w:b w:val="1"/>
                <w:bCs w:val="1"/>
                <w:color w:val="auto"/>
                <w:w w:val="94"/>
              </w:rPr>
              <w:t>Price Paid</w:t>
            </w: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Announced Plans</w:t>
            </w:r>
          </w:p>
        </w:tc>
        <w:tc>
          <w:tcPr>
            <w:tcW w:w="13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vMerge w:val="continue"/>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2"/>
              </w:rPr>
              <w:t>per Share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7"/>
                <w:szCs w:val="17"/>
                <w:color w:val="auto"/>
              </w:rPr>
              <w:t>4/1/16 – 4/30/16</w:t>
            </w:r>
          </w:p>
        </w:tc>
        <w:tc>
          <w:tcPr>
            <w:tcW w:w="256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83"/>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5/1/16 – 5/31/16</w:t>
            </w:r>
          </w:p>
        </w:tc>
        <w:tc>
          <w:tcPr>
            <w:tcW w:w="2560" w:type="dxa"/>
            <w:vAlign w:val="bottom"/>
            <w:gridSpan w:val="2"/>
            <w:shd w:val="clear" w:color="auto" w:fill="CCEEFF"/>
          </w:tcPr>
          <w:p>
            <w:pPr>
              <w:jc w:val="right"/>
              <w:spacing w:after="0" w:line="209" w:lineRule="exact"/>
              <w:rPr>
                <w:sz w:val="20"/>
                <w:szCs w:val="20"/>
                <w:color w:val="auto"/>
              </w:rPr>
            </w:pPr>
            <w:r>
              <w:rPr>
                <w:rFonts w:ascii="Arial" w:cs="Arial" w:eastAsia="Arial" w:hAnsi="Arial"/>
                <w:sz w:val="17"/>
                <w:szCs w:val="17"/>
                <w:color w:val="auto"/>
              </w:rPr>
              <w:t>5,204</w:t>
            </w:r>
            <w:r>
              <w:rPr>
                <w:rFonts w:ascii="Arial" w:cs="Arial" w:eastAsia="Arial" w:hAnsi="Arial"/>
                <w:sz w:val="23"/>
                <w:szCs w:val="23"/>
                <w:color w:val="auto"/>
                <w:vertAlign w:val="subscript"/>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8.98</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7"/>
                <w:szCs w:val="17"/>
                <w:color w:val="auto"/>
              </w:rPr>
              <w:t>6/1/16 – 6/30/16</w:t>
            </w:r>
          </w:p>
        </w:tc>
        <w:tc>
          <w:tcPr>
            <w:tcW w:w="1120" w:type="dxa"/>
            <w:vAlign w:val="bottom"/>
          </w:tcPr>
          <w:p>
            <w:pPr>
              <w:spacing w:after="0"/>
              <w:rPr>
                <w:sz w:val="18"/>
                <w:szCs w:val="18"/>
                <w:color w:val="auto"/>
              </w:rPr>
            </w:pP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7"/>
                <w:szCs w:val="17"/>
                <w:color w:val="auto"/>
              </w:rPr>
              <w:t>2,000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8.65</w:t>
            </w: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2560" w:type="dxa"/>
            <w:vAlign w:val="bottom"/>
            <w:gridSpan w:val="2"/>
            <w:shd w:val="clear" w:color="auto" w:fill="CCEEFF"/>
          </w:tcPr>
          <w:p>
            <w:pPr>
              <w:jc w:val="right"/>
              <w:ind w:right="125"/>
              <w:spacing w:after="0"/>
              <w:rPr>
                <w:sz w:val="20"/>
                <w:szCs w:val="20"/>
                <w:color w:val="auto"/>
              </w:rPr>
            </w:pPr>
            <w:r>
              <w:rPr>
                <w:rFonts w:ascii="Arial" w:cs="Arial" w:eastAsia="Arial" w:hAnsi="Arial"/>
                <w:sz w:val="17"/>
                <w:szCs w:val="17"/>
                <w:color w:val="auto"/>
              </w:rPr>
              <w:t>7,204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8.89</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80" w:type="dxa"/>
            <w:vAlign w:val="bottom"/>
            <w:tcBorders>
              <w:top w:val="single" w:sz="8" w:color="CCEEFF"/>
            </w:tcBorders>
            <w:gridSpan w:val="2"/>
          </w:tcPr>
          <w:p>
            <w:pPr>
              <w:spacing w:after="0" w:line="194" w:lineRule="exact"/>
              <w:rPr>
                <w:sz w:val="20"/>
                <w:szCs w:val="20"/>
                <w:color w:val="auto"/>
              </w:rPr>
            </w:pPr>
            <w:r>
              <w:rPr>
                <w:rFonts w:ascii="Arial" w:cs="Arial" w:eastAsia="Arial" w:hAnsi="Arial"/>
                <w:sz w:val="17"/>
                <w:szCs w:val="17"/>
                <w:color w:val="auto"/>
              </w:rPr>
              <w:t>_____________</w:t>
            </w:r>
          </w:p>
        </w:tc>
        <w:tc>
          <w:tcPr>
            <w:tcW w:w="56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5"/>
          </w:tcPr>
          <w:p>
            <w:pPr>
              <w:spacing w:after="0"/>
              <w:rPr>
                <w:sz w:val="20"/>
                <w:szCs w:val="20"/>
                <w:color w:val="auto"/>
              </w:rPr>
            </w:pPr>
            <w:r>
              <w:rPr>
                <w:rFonts w:ascii="Arial" w:cs="Arial" w:eastAsia="Arial" w:hAnsi="Arial"/>
                <w:sz w:val="17"/>
                <w:szCs w:val="17"/>
                <w:color w:val="auto"/>
              </w:rPr>
              <w:t>(1) Represents shares purchased by “affiliated purchasers”.</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1"/>
        </w:trPr>
        <w:tc>
          <w:tcPr>
            <w:tcW w:w="4820" w:type="dxa"/>
            <w:vAlign w:val="bottom"/>
            <w:gridSpan w:val="5"/>
          </w:tcPr>
          <w:p>
            <w:pPr>
              <w:spacing w:after="0"/>
              <w:rPr>
                <w:sz w:val="20"/>
                <w:szCs w:val="20"/>
                <w:color w:val="auto"/>
              </w:rPr>
            </w:pPr>
            <w:r>
              <w:rPr>
                <w:rFonts w:ascii="Arial" w:cs="Arial" w:eastAsia="Arial" w:hAnsi="Arial"/>
                <w:sz w:val="17"/>
                <w:szCs w:val="17"/>
                <w:b w:val="1"/>
                <w:bCs w:val="1"/>
                <w:color w:val="auto"/>
              </w:rPr>
              <w:t>Item 3. Defaults Upon Senior Securities</w:t>
            </w:r>
            <w:r>
              <w:rPr>
                <w:rFonts w:ascii="Arial" w:cs="Arial" w:eastAsia="Arial" w:hAnsi="Arial"/>
                <w:sz w:val="17"/>
                <w:szCs w:val="17"/>
                <w:color w:val="auto"/>
              </w:rPr>
              <w:t>.</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color w:val="auto"/>
              </w:rPr>
              <w:t>None</w:t>
            </w:r>
          </w:p>
        </w:tc>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820" w:type="dxa"/>
            <w:vAlign w:val="bottom"/>
            <w:gridSpan w:val="5"/>
          </w:tcPr>
          <w:p>
            <w:pPr>
              <w:spacing w:after="0"/>
              <w:rPr>
                <w:sz w:val="20"/>
                <w:szCs w:val="20"/>
                <w:color w:val="auto"/>
              </w:rPr>
            </w:pPr>
            <w:r>
              <w:rPr>
                <w:rFonts w:ascii="Arial" w:cs="Arial" w:eastAsia="Arial" w:hAnsi="Arial"/>
                <w:sz w:val="17"/>
                <w:szCs w:val="17"/>
                <w:b w:val="1"/>
                <w:bCs w:val="1"/>
                <w:color w:val="auto"/>
              </w:rPr>
              <w:t>Item 4. Mine Safety Disclosures</w:t>
            </w:r>
            <w:r>
              <w:rPr>
                <w:rFonts w:ascii="Arial" w:cs="Arial" w:eastAsia="Arial" w:hAnsi="Arial"/>
                <w:sz w:val="17"/>
                <w:szCs w:val="17"/>
                <w:color w:val="auto"/>
              </w:rPr>
              <w:t>.</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rPr>
              <w:t>Not applicable</w:t>
            </w:r>
          </w:p>
        </w:tc>
        <w:tc>
          <w:tcPr>
            <w:tcW w:w="252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68</w:t>
            </w: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u w:val="single" w:color="auto"/>
          <w:color w:val="auto"/>
        </w:rPr>
        <w:t>Other Information</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u w:val="single" w:color="auto"/>
          <w:color w:val="auto"/>
        </w:rPr>
        <w:t>Exhibits</w:t>
      </w:r>
      <w:r>
        <w:rPr>
          <w:rFonts w:ascii="Arial" w:cs="Arial" w:eastAsia="Arial" w:hAnsi="Arial"/>
          <w:sz w:val="17"/>
          <w:szCs w:val="17"/>
          <w:color w:val="auto"/>
        </w:rPr>
        <w:t>.</w:t>
      </w:r>
    </w:p>
    <w:p>
      <w:pPr>
        <w:spacing w:after="0" w:line="227" w:lineRule="exact"/>
        <w:rPr>
          <w:sz w:val="20"/>
          <w:szCs w:val="20"/>
          <w:color w:val="auto"/>
        </w:rPr>
      </w:pPr>
    </w:p>
    <w:p>
      <w:pPr>
        <w:ind w:left="2260"/>
        <w:spacing w:after="0"/>
        <w:tabs>
          <w:tab w:leader="none" w:pos="2960" w:val="left"/>
        </w:tabs>
        <w:rPr>
          <w:sz w:val="20"/>
          <w:szCs w:val="20"/>
          <w:color w:val="auto"/>
        </w:rPr>
      </w:pPr>
      <w:r>
        <w:rPr>
          <w:rFonts w:ascii="Arial" w:cs="Arial" w:eastAsia="Arial" w:hAnsi="Arial"/>
          <w:sz w:val="17"/>
          <w:szCs w:val="17"/>
          <w:color w:val="auto"/>
        </w:rPr>
        <w:t>3(a)</w:t>
      </w:r>
      <w:r>
        <w:rPr>
          <w:sz w:val="20"/>
          <w:szCs w:val="20"/>
          <w:color w:val="auto"/>
        </w:rPr>
        <w:tab/>
      </w:r>
      <w:r>
        <w:rPr>
          <w:rFonts w:ascii="Arial" w:cs="Arial" w:eastAsia="Arial" w:hAnsi="Arial"/>
          <w:sz w:val="17"/>
          <w:szCs w:val="17"/>
          <w:color w:val="auto"/>
        </w:rPr>
        <w:t>Restated Certificate of Incorporation, as amended</w:t>
      </w:r>
      <w:r>
        <w:rPr>
          <w:rFonts w:ascii="Arial" w:cs="Arial" w:eastAsia="Arial" w:hAnsi="Arial"/>
          <w:sz w:val="11"/>
          <w:szCs w:val="11"/>
          <w:u w:val="single" w:color="auto"/>
          <w:color w:val="0000EE"/>
        </w:rPr>
        <w:t>1</w:t>
      </w:r>
    </w:p>
    <w:p>
      <w:pPr>
        <w:spacing w:after="0" w:line="223" w:lineRule="exact"/>
        <w:rPr>
          <w:sz w:val="20"/>
          <w:szCs w:val="20"/>
          <w:color w:val="auto"/>
        </w:rPr>
      </w:pPr>
    </w:p>
    <w:p>
      <w:pPr>
        <w:ind w:left="2260"/>
        <w:spacing w:after="0"/>
        <w:tabs>
          <w:tab w:leader="none" w:pos="2960" w:val="left"/>
        </w:tabs>
        <w:rPr>
          <w:sz w:val="20"/>
          <w:szCs w:val="20"/>
          <w:color w:val="auto"/>
        </w:rPr>
      </w:pPr>
      <w:r>
        <w:rPr>
          <w:rFonts w:ascii="Arial" w:cs="Arial" w:eastAsia="Arial" w:hAnsi="Arial"/>
          <w:sz w:val="17"/>
          <w:szCs w:val="17"/>
          <w:color w:val="auto"/>
        </w:rPr>
        <w:t>3(b)</w:t>
      </w:r>
      <w:r>
        <w:rPr>
          <w:sz w:val="20"/>
          <w:szCs w:val="20"/>
          <w:color w:val="auto"/>
        </w:rPr>
        <w:tab/>
      </w:r>
      <w:r>
        <w:rPr>
          <w:rFonts w:ascii="Arial" w:cs="Arial" w:eastAsia="Arial" w:hAnsi="Arial"/>
          <w:sz w:val="17"/>
          <w:szCs w:val="17"/>
          <w:color w:val="auto"/>
        </w:rPr>
        <w:t>By-laws, as amended</w:t>
      </w:r>
      <w:r>
        <w:rPr>
          <w:rFonts w:ascii="Arial" w:cs="Arial" w:eastAsia="Arial" w:hAnsi="Arial"/>
          <w:sz w:val="11"/>
          <w:szCs w:val="11"/>
          <w:u w:val="single" w:color="auto"/>
          <w:color w:val="0000EE"/>
        </w:rPr>
        <w:t>2</w:t>
      </w:r>
    </w:p>
    <w:p>
      <w:pPr>
        <w:spacing w:after="0" w:line="223" w:lineRule="exact"/>
        <w:rPr>
          <w:sz w:val="20"/>
          <w:szCs w:val="20"/>
          <w:color w:val="auto"/>
        </w:rPr>
      </w:pPr>
    </w:p>
    <w:p>
      <w:pPr>
        <w:ind w:left="2980" w:hanging="799"/>
        <w:spacing w:after="0" w:line="281" w:lineRule="auto"/>
        <w:tabs>
          <w:tab w:leader="none" w:pos="296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of Principal Executive Officer as adopted pursuant to Section 302 of the Sarbanes-Oxley Act of 2002</w:t>
      </w:r>
    </w:p>
    <w:p>
      <w:pPr>
        <w:spacing w:after="0" w:line="170" w:lineRule="exact"/>
        <w:rPr>
          <w:sz w:val="20"/>
          <w:szCs w:val="20"/>
          <w:color w:val="auto"/>
        </w:rPr>
      </w:pPr>
    </w:p>
    <w:p>
      <w:pPr>
        <w:ind w:left="2980" w:hanging="799"/>
        <w:spacing w:after="0" w:line="281" w:lineRule="auto"/>
        <w:tabs>
          <w:tab w:leader="none" w:pos="296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of Principal Financial Officer as adopted pursuant to Section 302 of the Sarbanes-Oxley Act of 2002</w:t>
      </w:r>
    </w:p>
    <w:p>
      <w:pPr>
        <w:spacing w:after="0" w:line="170" w:lineRule="exact"/>
        <w:rPr>
          <w:sz w:val="20"/>
          <w:szCs w:val="20"/>
          <w:color w:val="auto"/>
        </w:rPr>
      </w:pPr>
    </w:p>
    <w:p>
      <w:pPr>
        <w:jc w:val="both"/>
        <w:ind w:left="2980" w:hanging="608"/>
        <w:spacing w:after="0" w:line="269" w:lineRule="auto"/>
        <w:tabs>
          <w:tab w:leader="none" w:pos="2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Certification of Chief Executive Officer and Chief Financial Officer Certification of Chief Executive Officer and Chief Financial Officer Pursuant to 18 U.S.C. Section 1350, as Adopted Pursuant to Section 906 of the Sarbanes-Oxley Act of 2002</w:t>
      </w:r>
    </w:p>
    <w:p>
      <w:pPr>
        <w:spacing w:after="0" w:line="180"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860" w:type="dxa"/>
            <w:vAlign w:val="bottom"/>
          </w:tcPr>
          <w:p>
            <w:pPr>
              <w:jc w:val="right"/>
              <w:ind w:right="135"/>
              <w:spacing w:after="0"/>
              <w:rPr>
                <w:sz w:val="20"/>
                <w:szCs w:val="20"/>
                <w:color w:val="auto"/>
              </w:rPr>
            </w:pPr>
            <w:r>
              <w:rPr>
                <w:rFonts w:ascii="Arial" w:cs="Arial" w:eastAsia="Arial" w:hAnsi="Arial"/>
                <w:sz w:val="17"/>
                <w:szCs w:val="17"/>
                <w:color w:val="auto"/>
              </w:rPr>
              <w:t>101.INS</w:t>
            </w:r>
          </w:p>
        </w:tc>
        <w:tc>
          <w:tcPr>
            <w:tcW w:w="4400" w:type="dxa"/>
            <w:vAlign w:val="bottom"/>
          </w:tcPr>
          <w:p>
            <w:pPr>
              <w:ind w:left="220"/>
              <w:spacing w:after="0"/>
              <w:rPr>
                <w:sz w:val="20"/>
                <w:szCs w:val="20"/>
                <w:color w:val="auto"/>
              </w:rPr>
            </w:pPr>
            <w:r>
              <w:rPr>
                <w:rFonts w:ascii="Arial" w:cs="Arial" w:eastAsia="Arial" w:hAnsi="Arial"/>
                <w:sz w:val="17"/>
                <w:szCs w:val="17"/>
                <w:color w:val="auto"/>
              </w:rPr>
              <w:t>XBRL Instance Document</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89"/>
              </w:rPr>
              <w:t>101.SCH</w:t>
            </w:r>
          </w:p>
        </w:tc>
        <w:tc>
          <w:tcPr>
            <w:tcW w:w="4400" w:type="dxa"/>
            <w:vAlign w:val="bottom"/>
          </w:tcPr>
          <w:p>
            <w:pPr>
              <w:ind w:left="220"/>
              <w:spacing w:after="0"/>
              <w:rPr>
                <w:sz w:val="20"/>
                <w:szCs w:val="20"/>
                <w:color w:val="auto"/>
              </w:rPr>
            </w:pPr>
            <w:r>
              <w:rPr>
                <w:rFonts w:ascii="Arial" w:cs="Arial" w:eastAsia="Arial" w:hAnsi="Arial"/>
                <w:sz w:val="17"/>
                <w:szCs w:val="17"/>
                <w:color w:val="auto"/>
              </w:rPr>
              <w:t>101.SCH XBRL Taxonomy Extension Schema.</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93"/>
              </w:rPr>
              <w:t>101.CAL</w:t>
            </w:r>
          </w:p>
        </w:tc>
        <w:tc>
          <w:tcPr>
            <w:tcW w:w="4400" w:type="dxa"/>
            <w:vAlign w:val="bottom"/>
          </w:tcPr>
          <w:p>
            <w:pPr>
              <w:ind w:left="220"/>
              <w:spacing w:after="0"/>
              <w:rPr>
                <w:sz w:val="20"/>
                <w:szCs w:val="20"/>
                <w:color w:val="auto"/>
              </w:rPr>
            </w:pPr>
            <w:r>
              <w:rPr>
                <w:rFonts w:ascii="Arial" w:cs="Arial" w:eastAsia="Arial" w:hAnsi="Arial"/>
                <w:sz w:val="17"/>
                <w:szCs w:val="17"/>
                <w:color w:val="auto"/>
                <w:w w:val="93"/>
              </w:rPr>
              <w:t>101.CAL XBRL Taxonomy Extension Calculation Linkbase.</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92"/>
              </w:rPr>
              <w:t>101.DEF</w:t>
            </w:r>
          </w:p>
        </w:tc>
        <w:tc>
          <w:tcPr>
            <w:tcW w:w="4400" w:type="dxa"/>
            <w:vAlign w:val="bottom"/>
          </w:tcPr>
          <w:p>
            <w:pPr>
              <w:ind w:left="220"/>
              <w:spacing w:after="0"/>
              <w:rPr>
                <w:sz w:val="20"/>
                <w:szCs w:val="20"/>
                <w:color w:val="auto"/>
              </w:rPr>
            </w:pPr>
            <w:r>
              <w:rPr>
                <w:rFonts w:ascii="Arial" w:cs="Arial" w:eastAsia="Arial" w:hAnsi="Arial"/>
                <w:sz w:val="17"/>
                <w:szCs w:val="17"/>
                <w:color w:val="auto"/>
                <w:w w:val="96"/>
              </w:rPr>
              <w:t>101.DEF XBRL Taxonomy Extension Definition Linkbase.</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94"/>
              </w:rPr>
              <w:t>101.LAB</w:t>
            </w:r>
          </w:p>
        </w:tc>
        <w:tc>
          <w:tcPr>
            <w:tcW w:w="4400" w:type="dxa"/>
            <w:vAlign w:val="bottom"/>
          </w:tcPr>
          <w:p>
            <w:pPr>
              <w:ind w:left="220"/>
              <w:spacing w:after="0"/>
              <w:rPr>
                <w:sz w:val="20"/>
                <w:szCs w:val="20"/>
                <w:color w:val="auto"/>
              </w:rPr>
            </w:pPr>
            <w:r>
              <w:rPr>
                <w:rFonts w:ascii="Arial" w:cs="Arial" w:eastAsia="Arial" w:hAnsi="Arial"/>
                <w:sz w:val="17"/>
                <w:szCs w:val="17"/>
                <w:color w:val="auto"/>
              </w:rPr>
              <w:t>101.LAB XBRL Taxonomy Extension Label Linkbase.</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91"/>
              </w:rPr>
              <w:t>101.PRE</w:t>
            </w:r>
          </w:p>
        </w:tc>
        <w:tc>
          <w:tcPr>
            <w:tcW w:w="4400" w:type="dxa"/>
            <w:vAlign w:val="bottom"/>
          </w:tcPr>
          <w:p>
            <w:pPr>
              <w:ind w:left="220"/>
              <w:spacing w:after="0"/>
              <w:rPr>
                <w:sz w:val="20"/>
                <w:szCs w:val="20"/>
                <w:color w:val="auto"/>
              </w:rPr>
            </w:pPr>
            <w:r>
              <w:rPr>
                <w:rFonts w:ascii="Arial" w:cs="Arial" w:eastAsia="Arial" w:hAnsi="Arial"/>
                <w:sz w:val="17"/>
                <w:szCs w:val="17"/>
                <w:color w:val="auto"/>
                <w:w w:val="90"/>
              </w:rPr>
              <w:t>101.PRE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267335</wp:posOffset>
            </wp:positionV>
            <wp:extent cx="10877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Denotes document filed as Exhibit 3 (a) to our Quarterly Report on Form 10-Q for the period ended March 31, 2014 and incorporated herein by reference.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2 Denotes document filed Exhibit 3.1 to our Current Report on Form 8-K for an event dated November 5, 2009 and incorporated herein by reference.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320"/>
          </w:cols>
          <w:pgMar w:left="240" w:top="493"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u w:val="single" w:color="auto"/>
          <w:color w:val="auto"/>
        </w:rPr>
        <w:t>SIGNATURES</w:t>
      </w:r>
    </w:p>
    <w:p>
      <w:pPr>
        <w:spacing w:after="0" w:line="227" w:lineRule="exact"/>
        <w:rPr>
          <w:sz w:val="20"/>
          <w:szCs w:val="20"/>
          <w:color w:val="auto"/>
        </w:rPr>
      </w:pPr>
    </w:p>
    <w:p>
      <w:pPr>
        <w:ind w:firstLine="628"/>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6380" w:type="dxa"/>
            <w:vAlign w:val="bottom"/>
            <w:gridSpan w:val="3"/>
          </w:tcPr>
          <w:p>
            <w:pPr>
              <w:ind w:left="2040"/>
              <w:spacing w:after="0"/>
              <w:rPr>
                <w:sz w:val="20"/>
                <w:szCs w:val="20"/>
                <w:color w:val="auto"/>
              </w:rPr>
            </w:pPr>
            <w:r>
              <w:rPr>
                <w:rFonts w:ascii="Arial" w:cs="Arial" w:eastAsia="Arial" w:hAnsi="Arial"/>
                <w:sz w:val="17"/>
                <w:szCs w:val="17"/>
                <w:color w:val="auto"/>
              </w:rPr>
              <w:t>KINGSTONE COMPANIES, INC.</w:t>
            </w:r>
          </w:p>
        </w:tc>
      </w:tr>
      <w:tr>
        <w:trPr>
          <w:trHeight w:val="440"/>
        </w:trPr>
        <w:tc>
          <w:tcPr>
            <w:tcW w:w="3680" w:type="dxa"/>
            <w:vAlign w:val="bottom"/>
          </w:tcPr>
          <w:p>
            <w:pPr>
              <w:spacing w:after="0"/>
              <w:rPr>
                <w:sz w:val="20"/>
                <w:szCs w:val="20"/>
                <w:color w:val="auto"/>
              </w:rPr>
            </w:pPr>
            <w:r>
              <w:rPr>
                <w:rFonts w:ascii="Arial" w:cs="Arial" w:eastAsia="Arial" w:hAnsi="Arial"/>
                <w:sz w:val="17"/>
                <w:szCs w:val="17"/>
                <w:color w:val="auto"/>
              </w:rPr>
              <w:t>Dated: August 11, 2016</w:t>
            </w:r>
          </w:p>
        </w:tc>
        <w:tc>
          <w:tcPr>
            <w:tcW w:w="2600" w:type="dxa"/>
            <w:vAlign w:val="bottom"/>
            <w:gridSpan w:val="2"/>
          </w:tcPr>
          <w:p>
            <w:pPr>
              <w:ind w:left="2040"/>
              <w:spacing w:after="0"/>
              <w:rPr>
                <w:sz w:val="20"/>
                <w:szCs w:val="20"/>
                <w:color w:val="auto"/>
              </w:rPr>
            </w:pPr>
            <w:r>
              <w:rPr>
                <w:rFonts w:ascii="Arial" w:cs="Arial" w:eastAsia="Arial" w:hAnsi="Arial"/>
                <w:sz w:val="17"/>
                <w:szCs w:val="17"/>
                <w:color w:val="auto"/>
              </w:rPr>
              <w:t>By:  /s/</w:t>
            </w:r>
          </w:p>
        </w:tc>
        <w:tc>
          <w:tcPr>
            <w:tcW w:w="3780" w:type="dxa"/>
            <w:vAlign w:val="bottom"/>
          </w:tcPr>
          <w:p>
            <w:pPr>
              <w:ind w:left="40"/>
              <w:spacing w:after="0"/>
              <w:rPr>
                <w:sz w:val="20"/>
                <w:szCs w:val="20"/>
                <w:color w:val="auto"/>
              </w:rPr>
            </w:pPr>
            <w:r>
              <w:rPr>
                <w:rFonts w:ascii="Arial" w:cs="Arial" w:eastAsia="Arial" w:hAnsi="Arial"/>
                <w:sz w:val="17"/>
                <w:szCs w:val="17"/>
                <w:color w:val="auto"/>
              </w:rPr>
              <w:t>Barry B. Goldstein</w:t>
            </w:r>
          </w:p>
        </w:tc>
      </w:tr>
      <w:tr>
        <w:trPr>
          <w:trHeight w:val="188"/>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gridSpan w:val="2"/>
          </w:tcPr>
          <w:p>
            <w:pPr>
              <w:spacing w:after="0" w:line="188" w:lineRule="exact"/>
              <w:rPr>
                <w:sz w:val="20"/>
                <w:szCs w:val="20"/>
                <w:color w:val="auto"/>
              </w:rPr>
            </w:pPr>
            <w:r>
              <w:rPr>
                <w:rFonts w:ascii="Arial" w:cs="Arial" w:eastAsia="Arial" w:hAnsi="Arial"/>
                <w:sz w:val="17"/>
                <w:szCs w:val="17"/>
                <w:color w:val="auto"/>
              </w:rPr>
              <w:t>Barry B. Goldstein</w:t>
            </w:r>
          </w:p>
        </w:tc>
      </w:tr>
      <w:tr>
        <w:trPr>
          <w:trHeight w:val="266"/>
        </w:trPr>
        <w:tc>
          <w:tcPr>
            <w:tcW w:w="36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980" w:type="dxa"/>
            <w:vAlign w:val="bottom"/>
            <w:gridSpan w:val="2"/>
          </w:tcPr>
          <w:p>
            <w:pPr>
              <w:spacing w:after="0"/>
              <w:rPr>
                <w:sz w:val="20"/>
                <w:szCs w:val="20"/>
                <w:color w:val="auto"/>
              </w:rPr>
            </w:pPr>
            <w:r>
              <w:rPr>
                <w:rFonts w:ascii="Arial" w:cs="Arial" w:eastAsia="Arial" w:hAnsi="Arial"/>
                <w:sz w:val="21"/>
                <w:szCs w:val="21"/>
                <w:color w:val="auto"/>
              </w:rPr>
              <w:t>President</w:t>
            </w:r>
          </w:p>
        </w:tc>
      </w:tr>
      <w:tr>
        <w:trPr>
          <w:trHeight w:val="825"/>
        </w:trPr>
        <w:tc>
          <w:tcPr>
            <w:tcW w:w="3680" w:type="dxa"/>
            <w:vAlign w:val="bottom"/>
          </w:tcPr>
          <w:p>
            <w:pPr>
              <w:spacing w:after="0"/>
              <w:rPr>
                <w:sz w:val="20"/>
                <w:szCs w:val="20"/>
                <w:color w:val="auto"/>
              </w:rPr>
            </w:pPr>
            <w:r>
              <w:rPr>
                <w:rFonts w:ascii="Arial" w:cs="Arial" w:eastAsia="Arial" w:hAnsi="Arial"/>
                <w:sz w:val="17"/>
                <w:szCs w:val="17"/>
                <w:color w:val="auto"/>
              </w:rPr>
              <w:t>Dated: August 11, 2016</w:t>
            </w:r>
          </w:p>
        </w:tc>
        <w:tc>
          <w:tcPr>
            <w:tcW w:w="2600" w:type="dxa"/>
            <w:vAlign w:val="bottom"/>
            <w:gridSpan w:val="2"/>
          </w:tcPr>
          <w:p>
            <w:pPr>
              <w:ind w:left="2040"/>
              <w:spacing w:after="0"/>
              <w:rPr>
                <w:sz w:val="20"/>
                <w:szCs w:val="20"/>
                <w:color w:val="auto"/>
              </w:rPr>
            </w:pPr>
            <w:r>
              <w:rPr>
                <w:rFonts w:ascii="Arial" w:cs="Arial" w:eastAsia="Arial" w:hAnsi="Arial"/>
                <w:sz w:val="17"/>
                <w:szCs w:val="17"/>
                <w:color w:val="auto"/>
              </w:rPr>
              <w:t>By:  /s/</w:t>
            </w:r>
          </w:p>
        </w:tc>
        <w:tc>
          <w:tcPr>
            <w:tcW w:w="3780" w:type="dxa"/>
            <w:vAlign w:val="bottom"/>
          </w:tcPr>
          <w:p>
            <w:pPr>
              <w:ind w:left="40"/>
              <w:spacing w:after="0"/>
              <w:rPr>
                <w:sz w:val="20"/>
                <w:szCs w:val="20"/>
                <w:color w:val="auto"/>
              </w:rPr>
            </w:pPr>
            <w:r>
              <w:rPr>
                <w:rFonts w:ascii="Arial" w:cs="Arial" w:eastAsia="Arial" w:hAnsi="Arial"/>
                <w:sz w:val="17"/>
                <w:szCs w:val="17"/>
                <w:color w:val="auto"/>
              </w:rPr>
              <w:t>Victor Brodsky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9525</wp:posOffset>
            </wp:positionV>
            <wp:extent cx="253301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33015" cy="16510"/>
                    </a:xfrm>
                    <a:prstGeom prst="rect">
                      <a:avLst/>
                    </a:prstGeom>
                    <a:noFill/>
                  </pic:spPr>
                </pic:pic>
              </a:graphicData>
            </a:graphic>
          </wp:anchor>
        </w:drawing>
      </w:r>
    </w:p>
    <w:p>
      <w:pPr>
        <w:spacing w:after="0" w:line="1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Victor Brodsky</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2" w:name="page73"/>
    <w:bookmarkEnd w:id="72"/>
    <w:p>
      <w:pPr>
        <w:ind w:left="10500"/>
        <w:spacing w:after="0"/>
        <w:rPr>
          <w:sz w:val="20"/>
          <w:szCs w:val="20"/>
          <w:color w:val="auto"/>
        </w:rPr>
      </w:pPr>
      <w:r>
        <w:rPr>
          <w:rFonts w:ascii="Arial" w:cs="Arial" w:eastAsia="Arial" w:hAnsi="Arial"/>
          <w:sz w:val="16"/>
          <w:szCs w:val="16"/>
          <w:b w:val="1"/>
          <w:bCs w:val="1"/>
          <w:color w:val="auto"/>
        </w:rPr>
        <w:t>Exhibit 31.1</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Barry Goldstein, certify that:</w:t>
      </w:r>
    </w:p>
    <w:p>
      <w:pPr>
        <w:spacing w:after="0" w:line="171" w:lineRule="exact"/>
        <w:rPr>
          <w:sz w:val="20"/>
          <w:szCs w:val="20"/>
          <w:color w:val="auto"/>
        </w:rPr>
      </w:pPr>
    </w:p>
    <w:p>
      <w:pPr>
        <w:ind w:left="960" w:hanging="328"/>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183" w:lineRule="exact"/>
        <w:rPr>
          <w:rFonts w:ascii="Arial" w:cs="Arial" w:eastAsia="Arial" w:hAnsi="Arial"/>
          <w:sz w:val="17"/>
          <w:szCs w:val="17"/>
          <w:color w:val="auto"/>
        </w:rPr>
      </w:pPr>
    </w:p>
    <w:p>
      <w:pPr>
        <w:ind w:left="320" w:right="560" w:firstLine="312"/>
        <w:spacing w:after="0" w:line="351" w:lineRule="auto"/>
        <w:tabs>
          <w:tab w:leader="none" w:pos="971"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5"/>
          <w:szCs w:val="15"/>
          <w:color w:val="auto"/>
        </w:rPr>
      </w:pPr>
    </w:p>
    <w:p>
      <w:pPr>
        <w:ind w:left="320" w:right="520" w:firstLine="312"/>
        <w:spacing w:after="0" w:line="314" w:lineRule="auto"/>
        <w:tabs>
          <w:tab w:leader="none" w:pos="97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07" w:lineRule="exact"/>
        <w:rPr>
          <w:rFonts w:ascii="Arial" w:cs="Arial" w:eastAsia="Arial" w:hAnsi="Arial"/>
          <w:sz w:val="16"/>
          <w:szCs w:val="16"/>
          <w:color w:val="auto"/>
        </w:rPr>
      </w:pPr>
    </w:p>
    <w:p>
      <w:pPr>
        <w:jc w:val="both"/>
        <w:ind w:left="320" w:right="60" w:firstLine="312"/>
        <w:spacing w:after="0" w:line="269" w:lineRule="auto"/>
        <w:tabs>
          <w:tab w:leader="none" w:pos="9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01" w:lineRule="exact"/>
        <w:rPr>
          <w:sz w:val="20"/>
          <w:szCs w:val="20"/>
          <w:color w:val="auto"/>
        </w:rPr>
      </w:pPr>
    </w:p>
    <w:p>
      <w:pPr>
        <w:jc w:val="both"/>
        <w:ind w:left="1260" w:hanging="628"/>
        <w:spacing w:after="0" w:line="269"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7"/>
          <w:szCs w:val="17"/>
          <w:color w:val="auto"/>
        </w:rPr>
      </w:pPr>
    </w:p>
    <w:p>
      <w:pPr>
        <w:jc w:val="both"/>
        <w:ind w:left="1260" w:hanging="628"/>
        <w:spacing w:after="0" w:line="269"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7"/>
          <w:szCs w:val="17"/>
          <w:color w:val="auto"/>
        </w:rPr>
      </w:pPr>
    </w:p>
    <w:p>
      <w:pPr>
        <w:ind w:left="1260" w:hanging="628"/>
        <w:spacing w:after="0" w:line="351" w:lineRule="auto"/>
        <w:tabs>
          <w:tab w:leader="none" w:pos="12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5"/>
          <w:szCs w:val="15"/>
          <w:color w:val="auto"/>
        </w:rPr>
      </w:pPr>
    </w:p>
    <w:p>
      <w:pPr>
        <w:jc w:val="both"/>
        <w:ind w:left="1260" w:hanging="628"/>
        <w:spacing w:after="0" w:line="269"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28" w:lineRule="exact"/>
        <w:rPr>
          <w:sz w:val="20"/>
          <w:szCs w:val="20"/>
          <w:color w:val="auto"/>
        </w:rPr>
      </w:pPr>
    </w:p>
    <w:p>
      <w:pPr>
        <w:ind w:left="320" w:right="260" w:firstLine="312"/>
        <w:spacing w:after="0" w:line="269" w:lineRule="auto"/>
        <w:tabs>
          <w:tab w:leader="none" w:pos="97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14" w:lineRule="exact"/>
        <w:rPr>
          <w:sz w:val="20"/>
          <w:szCs w:val="20"/>
          <w:color w:val="auto"/>
        </w:rPr>
      </w:pPr>
    </w:p>
    <w:p>
      <w:pPr>
        <w:ind w:left="1260" w:hanging="628"/>
        <w:spacing w:after="0" w:line="314" w:lineRule="auto"/>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67" w:lineRule="exact"/>
        <w:rPr>
          <w:rFonts w:ascii="Arial" w:cs="Arial" w:eastAsia="Arial" w:hAnsi="Arial"/>
          <w:sz w:val="16"/>
          <w:szCs w:val="16"/>
          <w:color w:val="auto"/>
        </w:rPr>
      </w:pPr>
    </w:p>
    <w:p>
      <w:pPr>
        <w:ind w:left="1260" w:hanging="628"/>
        <w:spacing w:after="0" w:line="281" w:lineRule="auto"/>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Date: August 11, 2016</w:t>
      </w:r>
    </w:p>
    <w:p>
      <w:pPr>
        <w:spacing w:after="0" w:line="20"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-13970</wp:posOffset>
            </wp:positionV>
            <wp:extent cx="21355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35505"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17"/>
          <w:szCs w:val="17"/>
          <w:color w:val="auto"/>
        </w:rPr>
        <w:t>Barry B. Goldstein</w:t>
      </w:r>
    </w:p>
    <w:p>
      <w:pPr>
        <w:spacing w:after="0" w:line="14"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336" w:right="239" w:bottom="1440" w:gutter="0" w:footer="0" w:header="0"/>
        </w:sectPr>
      </w:pPr>
    </w:p>
    <w:bookmarkStart w:id="73" w:name="page74"/>
    <w:bookmarkEnd w:id="73"/>
    <w:p>
      <w:pPr>
        <w:ind w:left="10500"/>
        <w:spacing w:after="0"/>
        <w:rPr>
          <w:sz w:val="20"/>
          <w:szCs w:val="20"/>
          <w:color w:val="auto"/>
        </w:rPr>
      </w:pPr>
      <w:r>
        <w:rPr>
          <w:rFonts w:ascii="Arial" w:cs="Arial" w:eastAsia="Arial" w:hAnsi="Arial"/>
          <w:sz w:val="16"/>
          <w:szCs w:val="16"/>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Victor Brodsky, certify that:</w:t>
      </w:r>
    </w:p>
    <w:p>
      <w:pPr>
        <w:spacing w:after="0" w:line="184" w:lineRule="exact"/>
        <w:rPr>
          <w:sz w:val="20"/>
          <w:szCs w:val="20"/>
          <w:color w:val="auto"/>
        </w:rPr>
      </w:pPr>
    </w:p>
    <w:p>
      <w:pPr>
        <w:ind w:left="960" w:hanging="328"/>
        <w:spacing w:after="0"/>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170" w:lineRule="exact"/>
        <w:rPr>
          <w:rFonts w:ascii="Arial" w:cs="Arial" w:eastAsia="Arial" w:hAnsi="Arial"/>
          <w:sz w:val="17"/>
          <w:szCs w:val="17"/>
          <w:color w:val="auto"/>
        </w:rPr>
      </w:pPr>
    </w:p>
    <w:p>
      <w:pPr>
        <w:ind w:left="320" w:right="560" w:firstLine="312"/>
        <w:spacing w:after="0" w:line="351" w:lineRule="auto"/>
        <w:tabs>
          <w:tab w:leader="none" w:pos="971"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5"/>
          <w:szCs w:val="15"/>
          <w:color w:val="auto"/>
        </w:rPr>
      </w:pPr>
    </w:p>
    <w:p>
      <w:pPr>
        <w:ind w:left="320" w:right="520" w:firstLine="312"/>
        <w:spacing w:after="0" w:line="314" w:lineRule="auto"/>
        <w:tabs>
          <w:tab w:leader="none" w:pos="9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07" w:lineRule="exact"/>
        <w:rPr>
          <w:rFonts w:ascii="Arial" w:cs="Arial" w:eastAsia="Arial" w:hAnsi="Arial"/>
          <w:sz w:val="16"/>
          <w:szCs w:val="16"/>
          <w:color w:val="auto"/>
        </w:rPr>
      </w:pPr>
    </w:p>
    <w:p>
      <w:pPr>
        <w:jc w:val="both"/>
        <w:ind w:left="320" w:right="60" w:firstLine="312"/>
        <w:spacing w:after="0" w:line="269" w:lineRule="auto"/>
        <w:tabs>
          <w:tab w:leader="none" w:pos="9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14" w:lineRule="exact"/>
        <w:rPr>
          <w:rFonts w:ascii="Arial" w:cs="Arial" w:eastAsia="Arial" w:hAnsi="Arial"/>
          <w:sz w:val="17"/>
          <w:szCs w:val="17"/>
          <w:color w:val="auto"/>
        </w:rPr>
      </w:pPr>
    </w:p>
    <w:p>
      <w:pPr>
        <w:jc w:val="both"/>
        <w:ind w:left="1580" w:hanging="320"/>
        <w:spacing w:after="0" w:line="269" w:lineRule="auto"/>
        <w:tabs>
          <w:tab w:leader="none" w:pos="15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7"/>
          <w:szCs w:val="17"/>
          <w:color w:val="auto"/>
        </w:rPr>
      </w:pPr>
    </w:p>
    <w:p>
      <w:pPr>
        <w:jc w:val="both"/>
        <w:ind w:left="1580" w:hanging="320"/>
        <w:spacing w:after="0" w:line="269" w:lineRule="auto"/>
        <w:tabs>
          <w:tab w:leader="none" w:pos="15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7"/>
          <w:szCs w:val="17"/>
          <w:color w:val="auto"/>
        </w:rPr>
      </w:pPr>
    </w:p>
    <w:p>
      <w:pPr>
        <w:ind w:left="1580" w:hanging="320"/>
        <w:spacing w:after="0" w:line="351" w:lineRule="auto"/>
        <w:tabs>
          <w:tab w:leader="none" w:pos="158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5"/>
          <w:szCs w:val="15"/>
          <w:color w:val="auto"/>
        </w:rPr>
      </w:pPr>
    </w:p>
    <w:p>
      <w:pPr>
        <w:jc w:val="both"/>
        <w:ind w:left="1580" w:hanging="320"/>
        <w:spacing w:after="0" w:line="293" w:lineRule="auto"/>
        <w:tabs>
          <w:tab w:leader="none" w:pos="15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10" w:lineRule="exact"/>
        <w:rPr>
          <w:rFonts w:ascii="Arial" w:cs="Arial" w:eastAsia="Arial" w:hAnsi="Arial"/>
          <w:sz w:val="16"/>
          <w:szCs w:val="16"/>
          <w:color w:val="auto"/>
        </w:rPr>
      </w:pPr>
    </w:p>
    <w:p>
      <w:pPr>
        <w:ind w:left="320" w:right="260" w:firstLine="312"/>
        <w:spacing w:after="0" w:line="269" w:lineRule="auto"/>
        <w:tabs>
          <w:tab w:leader="none" w:pos="9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01" w:lineRule="exact"/>
        <w:rPr>
          <w:rFonts w:ascii="Arial" w:cs="Arial" w:eastAsia="Arial" w:hAnsi="Arial"/>
          <w:sz w:val="17"/>
          <w:szCs w:val="17"/>
          <w:color w:val="auto"/>
        </w:rPr>
      </w:pPr>
    </w:p>
    <w:p>
      <w:pPr>
        <w:ind w:left="1580" w:hanging="320"/>
        <w:spacing w:after="0" w:line="314" w:lineRule="auto"/>
        <w:tabs>
          <w:tab w:leader="none" w:pos="15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67" w:lineRule="exact"/>
        <w:rPr>
          <w:rFonts w:ascii="Arial" w:cs="Arial" w:eastAsia="Arial" w:hAnsi="Arial"/>
          <w:sz w:val="16"/>
          <w:szCs w:val="16"/>
          <w:color w:val="auto"/>
        </w:rPr>
      </w:pPr>
    </w:p>
    <w:p>
      <w:pPr>
        <w:ind w:left="1580" w:hanging="320"/>
        <w:spacing w:after="0" w:line="281" w:lineRule="auto"/>
        <w:tabs>
          <w:tab w:leader="none" w:pos="15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20"/>
                <w:szCs w:val="20"/>
                <w:color w:val="auto"/>
              </w:rPr>
            </w:pPr>
            <w:r>
              <w:rPr>
                <w:rFonts w:ascii="Arial" w:cs="Arial" w:eastAsia="Arial" w:hAnsi="Arial"/>
                <w:sz w:val="17"/>
                <w:szCs w:val="17"/>
                <w:color w:val="auto"/>
              </w:rPr>
              <w:t>Date: August 11, 2016</w:t>
            </w:r>
          </w:p>
        </w:tc>
        <w:tc>
          <w:tcPr>
            <w:tcW w:w="3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Victor Brodsky</w:t>
            </w:r>
          </w:p>
        </w:tc>
      </w:tr>
      <w:tr>
        <w:trPr>
          <w:trHeight w:val="220"/>
        </w:trPr>
        <w:tc>
          <w:tcPr>
            <w:tcW w:w="34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Victor Brodsky</w:t>
            </w:r>
          </w:p>
        </w:tc>
      </w:tr>
      <w:tr>
        <w:trPr>
          <w:trHeight w:val="216"/>
        </w:trPr>
        <w:tc>
          <w:tcPr>
            <w:tcW w:w="34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Principal Financial Officer</w:t>
            </w:r>
          </w:p>
        </w:tc>
      </w:tr>
    </w:tbl>
    <w:p>
      <w:pPr>
        <w:sectPr>
          <w:pgSz w:w="11900" w:h="16838" w:orient="portrait"/>
          <w:cols w:equalWidth="0" w:num="1">
            <w:col w:w="11420"/>
          </w:cols>
          <w:pgMar w:left="240" w:top="127" w:right="239" w:bottom="1440" w:gutter="0" w:footer="0" w:header="0"/>
        </w:sectPr>
      </w:pPr>
    </w:p>
    <w:bookmarkStart w:id="74" w:name="page75"/>
    <w:bookmarkEnd w:id="74"/>
    <w:p>
      <w:pPr>
        <w:ind w:left="10500"/>
        <w:spacing w:after="0"/>
        <w:rPr>
          <w:sz w:val="20"/>
          <w:szCs w:val="20"/>
          <w:color w:val="auto"/>
        </w:rPr>
      </w:pPr>
      <w:r>
        <w:rPr>
          <w:rFonts w:ascii="Arial" w:cs="Arial" w:eastAsia="Arial" w:hAnsi="Arial"/>
          <w:sz w:val="16"/>
          <w:szCs w:val="16"/>
          <w:b w:val="1"/>
          <w:bCs w:val="1"/>
          <w:color w:val="auto"/>
        </w:rPr>
        <w:t>Exhibit 32.1</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CHIEF FINANCIAL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18 U.S.C. SECTION 1350,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ADOPTED PURSUANT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2" w:lineRule="exact"/>
        <w:rPr>
          <w:sz w:val="20"/>
          <w:szCs w:val="20"/>
          <w:color w:val="auto"/>
        </w:rPr>
      </w:pPr>
    </w:p>
    <w:p>
      <w:pPr>
        <w:ind w:firstLine="628"/>
        <w:spacing w:after="0" w:line="265" w:lineRule="auto"/>
        <w:rPr>
          <w:sz w:val="20"/>
          <w:szCs w:val="20"/>
          <w:color w:val="auto"/>
        </w:rPr>
      </w:pPr>
      <w:r>
        <w:rPr>
          <w:rFonts w:ascii="Arial" w:cs="Arial" w:eastAsia="Arial" w:hAnsi="Arial"/>
          <w:sz w:val="17"/>
          <w:szCs w:val="17"/>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2016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20"/>
                <w:szCs w:val="20"/>
                <w:color w:val="auto"/>
              </w:rPr>
            </w:pPr>
            <w:r>
              <w:rPr>
                <w:rFonts w:ascii="Arial" w:cs="Arial" w:eastAsia="Arial" w:hAnsi="Arial"/>
                <w:sz w:val="17"/>
                <w:szCs w:val="17"/>
                <w:color w:val="auto"/>
              </w:rPr>
              <w:t>Date: August 11, 2016</w:t>
            </w: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Barry B. Goldstein</w:t>
            </w:r>
          </w:p>
        </w:tc>
      </w:tr>
      <w:tr>
        <w:trPr>
          <w:trHeight w:val="220"/>
        </w:trPr>
        <w:tc>
          <w:tcPr>
            <w:tcW w:w="33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Barry B. Goldstein</w:t>
            </w:r>
          </w:p>
        </w:tc>
      </w:tr>
      <w:tr>
        <w:trPr>
          <w:trHeight w:val="216"/>
        </w:trPr>
        <w:tc>
          <w:tcPr>
            <w:tcW w:w="3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382"/>
        </w:trPr>
        <w:tc>
          <w:tcPr>
            <w:tcW w:w="3320" w:type="dxa"/>
            <w:vAlign w:val="bottom"/>
          </w:tcPr>
          <w:p>
            <w:pPr>
              <w:spacing w:after="0"/>
              <w:rPr>
                <w:sz w:val="24"/>
                <w:szCs w:val="24"/>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Victor Brodsky</w:t>
            </w:r>
          </w:p>
        </w:tc>
        <w:tc>
          <w:tcPr>
            <w:tcW w:w="80" w:type="dxa"/>
            <w:vAlign w:val="bottom"/>
          </w:tcPr>
          <w:p>
            <w:pPr>
              <w:spacing w:after="0"/>
              <w:rPr>
                <w:sz w:val="24"/>
                <w:szCs w:val="24"/>
                <w:color w:val="auto"/>
              </w:rPr>
            </w:pPr>
          </w:p>
        </w:tc>
      </w:tr>
      <w:tr>
        <w:trPr>
          <w:trHeight w:val="220"/>
        </w:trPr>
        <w:tc>
          <w:tcPr>
            <w:tcW w:w="33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Victor Brodsky</w:t>
            </w:r>
          </w:p>
        </w:tc>
      </w:tr>
      <w:tr>
        <w:trPr>
          <w:trHeight w:val="216"/>
        </w:trPr>
        <w:tc>
          <w:tcPr>
            <w:tcW w:w="33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bl>
    <w:p>
      <w:pPr>
        <w:spacing w:after="0" w:line="1" w:lineRule="exact"/>
        <w:rPr>
          <w:sz w:val="20"/>
          <w:szCs w:val="20"/>
          <w:color w:val="auto"/>
        </w:rPr>
      </w:pPr>
    </w:p>
    <w:sectPr>
      <w:pgSz w:w="11900" w:h="16838" w:orient="portrait"/>
      <w:cols w:equalWidth="0" w:num="1">
        <w:col w:w="11400"/>
      </w:cols>
      <w:pgMar w:left="240" w:top="12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Roman"/>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upperLetter"/>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3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2020-01-21T03:53:56Z</dcterms:created>
  <dcterms:modified xsi:type="dcterms:W3CDTF">2020-01-21T03:53:56Z</dcterms:modified>
</cp:coreProperties>
</file>