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1"/>
          <w:szCs w:val="21"/>
          <w:b w:val="1"/>
          <w:bCs w:val="1"/>
          <w:color w:val="auto"/>
        </w:rPr>
        <w:drawing>
          <wp:anchor simplePos="0" relativeHeight="251657728" behindDoc="1" locked="0" layoutInCell="0" allowOverlap="1">
            <wp:simplePos x="0" y="0"/>
            <wp:positionH relativeFrom="page">
              <wp:posOffset>155575</wp:posOffset>
            </wp:positionH>
            <wp:positionV relativeFrom="page">
              <wp:posOffset>437515</wp:posOffset>
            </wp:positionV>
            <wp:extent cx="7251065" cy="330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1065" cy="33020"/>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537210</wp:posOffset>
            </wp:positionV>
            <wp:extent cx="725106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1065" cy="8255"/>
                    </a:xfrm>
                    <a:prstGeom prst="rect">
                      <a:avLst/>
                    </a:prstGeom>
                    <a:noFill/>
                  </pic:spPr>
                </pic:pic>
              </a:graphicData>
            </a:graphic>
          </wp:anchor>
        </w:drawing>
        <w:t>UNITED STATES</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WASHINGTON, D.C. 20549</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FORM 10-Q</w:t>
      </w:r>
    </w:p>
    <w:p>
      <w:pPr>
        <w:spacing w:after="0" w:line="133"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(Mark one)</w:t>
      </w:r>
    </w:p>
    <w:p>
      <w:pPr>
        <w:spacing w:after="0" w:line="40" w:lineRule="exact"/>
        <w:rPr>
          <w:sz w:val="24"/>
          <w:szCs w:val="24"/>
          <w:color w:val="auto"/>
        </w:rPr>
      </w:pPr>
    </w:p>
    <w:p>
      <w:pPr>
        <w:ind w:left="4000" w:right="2580" w:hanging="3995"/>
        <w:spacing w:after="0" w:line="513" w:lineRule="auto"/>
        <w:tabs>
          <w:tab w:leader="none" w:pos="213" w:val="left"/>
        </w:tabs>
        <w:numPr>
          <w:ilvl w:val="0"/>
          <w:numId w:val="1"/>
        </w:numPr>
        <w:rPr>
          <w:rFonts w:ascii="MS PGothic" w:cs="MS PGothic" w:eastAsia="MS PGothic" w:hAnsi="MS PGothic"/>
          <w:sz w:val="17"/>
          <w:szCs w:val="17"/>
          <w:color w:val="auto"/>
        </w:rPr>
      </w:pPr>
      <w:r>
        <w:rPr>
          <w:rFonts w:ascii="Arial" w:cs="Arial" w:eastAsia="Arial" w:hAnsi="Arial"/>
          <w:sz w:val="17"/>
          <w:szCs w:val="17"/>
          <w:b w:val="1"/>
          <w:bCs w:val="1"/>
          <w:color w:val="auto"/>
        </w:rPr>
        <w:t>QUARTERLY REPORT PURSUANT TO SECTION 13 OR 15(d) OF THE SECURITIES EXCHANGE ACT OF 1934 For the quarterly period ended March 31, 2019</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OR</w:t>
      </w:r>
    </w:p>
    <w:p>
      <w:pPr>
        <w:spacing w:after="0" w:line="249" w:lineRule="exact"/>
        <w:rPr>
          <w:sz w:val="24"/>
          <w:szCs w:val="24"/>
          <w:color w:val="auto"/>
        </w:rPr>
      </w:pPr>
    </w:p>
    <w:p>
      <w:pPr>
        <w:ind w:left="3740" w:right="2560" w:hanging="3735"/>
        <w:spacing w:after="0" w:line="513" w:lineRule="auto"/>
        <w:tabs>
          <w:tab w:leader="none" w:pos="217"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TRANSITION REPORT PURSUANT TO SECTION 13 OR 15(d) OF THE SECURITIES EXCHANGE ACT OF 1934 For the transition period from _________to _________</w:t>
      </w:r>
    </w:p>
    <w:p>
      <w:pPr>
        <w:spacing w:after="0" w:line="1" w:lineRule="exact"/>
        <w:rPr>
          <w:rFonts w:ascii="MS PGothic" w:cs="MS PGothic" w:eastAsia="MS PGothic" w:hAnsi="MS PGothic"/>
          <w:sz w:val="17"/>
          <w:szCs w:val="17"/>
          <w:color w:val="auto"/>
        </w:rPr>
      </w:pPr>
    </w:p>
    <w:p>
      <w:pPr>
        <w:ind w:left="4520"/>
        <w:spacing w:after="0"/>
        <w:rPr>
          <w:rFonts w:ascii="MS PGothic" w:cs="MS PGothic" w:eastAsia="MS PGothic" w:hAnsi="MS PGothic"/>
          <w:sz w:val="17"/>
          <w:szCs w:val="17"/>
          <w:color w:val="auto"/>
        </w:rPr>
      </w:pPr>
      <w:r>
        <w:rPr>
          <w:rFonts w:ascii="Arial" w:cs="Arial" w:eastAsia="Arial" w:hAnsi="Arial"/>
          <w:sz w:val="17"/>
          <w:szCs w:val="17"/>
          <w:b w:val="1"/>
          <w:bCs w:val="1"/>
          <w:color w:val="auto"/>
        </w:rPr>
        <w:t>Commission File Number 0-1665</w:t>
      </w:r>
    </w:p>
    <w:p>
      <w:pPr>
        <w:spacing w:after="0" w:line="195"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KINGSTONE COMPANIES, INC.</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(Exact name of registrant as specified in its charter)</w:t>
      </w:r>
    </w:p>
    <w:p>
      <w:pPr>
        <w:sectPr>
          <w:pgSz w:w="11900" w:h="16838" w:orient="portrait"/>
          <w:cols w:equalWidth="0" w:num="1">
            <w:col w:w="11420"/>
          </w:cols>
          <w:pgMar w:left="240" w:top="1145" w:right="239" w:bottom="1440" w:gutter="0" w:footer="0" w:header="0"/>
        </w:sectPr>
      </w:pPr>
    </w:p>
    <w:p>
      <w:pPr>
        <w:spacing w:after="0" w:line="205" w:lineRule="exact"/>
        <w:rPr>
          <w:sz w:val="24"/>
          <w:szCs w:val="24"/>
          <w:color w:val="auto"/>
        </w:rPr>
      </w:pPr>
    </w:p>
    <w:p>
      <w:pPr>
        <w:jc w:val="center"/>
        <w:ind w:right="880"/>
        <w:spacing w:after="0"/>
        <w:rPr>
          <w:sz w:val="20"/>
          <w:szCs w:val="20"/>
          <w:color w:val="auto"/>
        </w:rPr>
      </w:pPr>
      <w:r>
        <w:rPr>
          <w:rFonts w:ascii="Arial" w:cs="Arial" w:eastAsia="Arial" w:hAnsi="Arial"/>
          <w:sz w:val="17"/>
          <w:szCs w:val="17"/>
          <w:b w:val="1"/>
          <w:bCs w:val="1"/>
          <w:color w:val="auto"/>
        </w:rPr>
        <w:t>Delaware</w:t>
      </w:r>
    </w:p>
    <w:p>
      <w:pPr>
        <w:spacing w:after="0" w:line="24" w:lineRule="exact"/>
        <w:rPr>
          <w:sz w:val="24"/>
          <w:szCs w:val="24"/>
          <w:color w:val="auto"/>
        </w:rPr>
      </w:pPr>
    </w:p>
    <w:p>
      <w:pPr>
        <w:jc w:val="center"/>
        <w:ind w:right="880"/>
        <w:spacing w:after="0"/>
        <w:rPr>
          <w:sz w:val="20"/>
          <w:szCs w:val="20"/>
          <w:color w:val="auto"/>
        </w:rPr>
      </w:pPr>
      <w:r>
        <w:rPr>
          <w:rFonts w:ascii="Arial" w:cs="Arial" w:eastAsia="Arial" w:hAnsi="Arial"/>
          <w:sz w:val="15"/>
          <w:szCs w:val="15"/>
          <w:b w:val="1"/>
          <w:b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340"/>
        <w:spacing w:after="0"/>
        <w:rPr>
          <w:sz w:val="20"/>
          <w:szCs w:val="20"/>
          <w:color w:val="auto"/>
        </w:rPr>
      </w:pPr>
      <w:r>
        <w:rPr>
          <w:rFonts w:ascii="Arial" w:cs="Arial" w:eastAsia="Arial" w:hAnsi="Arial"/>
          <w:sz w:val="17"/>
          <w:szCs w:val="17"/>
          <w:b w:val="1"/>
          <w:bCs w:val="1"/>
          <w:color w:val="auto"/>
        </w:rPr>
        <w:t>36-2476480</w:t>
      </w:r>
    </w:p>
    <w:p>
      <w:pPr>
        <w:spacing w:after="0" w:line="24" w:lineRule="exact"/>
        <w:rPr>
          <w:sz w:val="24"/>
          <w:szCs w:val="24"/>
          <w:color w:val="auto"/>
        </w:rPr>
      </w:pPr>
    </w:p>
    <w:p>
      <w:pPr>
        <w:jc w:val="center"/>
        <w:ind w:right="1340"/>
        <w:spacing w:after="0"/>
        <w:rPr>
          <w:sz w:val="20"/>
          <w:szCs w:val="20"/>
          <w:color w:val="auto"/>
        </w:rPr>
      </w:pPr>
      <w:r>
        <w:rPr>
          <w:rFonts w:ascii="Arial" w:cs="Arial" w:eastAsia="Arial" w:hAnsi="Arial"/>
          <w:sz w:val="15"/>
          <w:szCs w:val="15"/>
          <w:b w:val="1"/>
          <w:bCs w:val="1"/>
          <w:color w:val="auto"/>
        </w:rPr>
        <w:t>(I.R.S. EmployerIdentification Number)</w:t>
      </w:r>
    </w:p>
    <w:p>
      <w:pPr>
        <w:spacing w:after="0" w:line="200" w:lineRule="exact"/>
        <w:rPr>
          <w:sz w:val="24"/>
          <w:szCs w:val="24"/>
          <w:color w:val="auto"/>
        </w:rPr>
      </w:pPr>
    </w:p>
    <w:p>
      <w:pPr>
        <w:sectPr>
          <w:pgSz w:w="11900" w:h="16838" w:orient="portrait"/>
          <w:cols w:equalWidth="0" w:num="2">
            <w:col w:w="6460" w:space="720"/>
            <w:col w:w="4240"/>
          </w:cols>
          <w:pgMar w:left="240" w:top="1145" w:right="239" w:bottom="1440" w:gutter="0" w:footer="0" w:header="0"/>
          <w:type w:val="continuous"/>
        </w:sectPr>
      </w:pPr>
    </w:p>
    <w:p>
      <w:pPr>
        <w:spacing w:after="0" w:line="36"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15 Joys Lane</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Kingston, NY 12401</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(Address of principal executive offices)</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(845) 802-7900</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(Registrant’s telephone number, including area code)</w:t>
      </w:r>
    </w:p>
    <w:p>
      <w:pPr>
        <w:spacing w:after="0" w:line="151" w:lineRule="exact"/>
        <w:rPr>
          <w:sz w:val="24"/>
          <w:szCs w:val="24"/>
          <w:color w:val="auto"/>
        </w:rPr>
      </w:pPr>
    </w:p>
    <w:p>
      <w:pPr>
        <w:jc w:val="both"/>
        <w:spacing w:after="0" w:line="218"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19" w:lineRule="exact"/>
        <w:rPr>
          <w:sz w:val="24"/>
          <w:szCs w:val="24"/>
          <w:color w:val="auto"/>
        </w:rPr>
      </w:pPr>
    </w:p>
    <w:p>
      <w:pPr>
        <w:ind w:right="60"/>
        <w:spacing w:after="0" w:line="223"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184" w:lineRule="exact"/>
        <w:rPr>
          <w:sz w:val="24"/>
          <w:szCs w:val="24"/>
          <w:color w:val="auto"/>
        </w:rPr>
      </w:pPr>
    </w:p>
    <w:p>
      <w:pPr>
        <w:ind w:right="20"/>
        <w:spacing w:after="0" w:line="281"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38" w:lineRule="exact"/>
        <w:rPr>
          <w:sz w:val="24"/>
          <w:szCs w:val="24"/>
          <w:color w:val="auto"/>
        </w:rPr>
      </w:pPr>
    </w:p>
    <w:tbl>
      <w:tblPr>
        <w:tblLayout w:type="fixed"/>
        <w:tblInd w:w="0" w:type="dxa"/>
        <w:tblCellMar>
          <w:top w:w="0" w:type="dxa"/>
          <w:left w:w="0" w:type="dxa"/>
          <w:bottom w:w="0" w:type="dxa"/>
          <w:right w:w="0" w:type="dxa"/>
        </w:tblCellMar>
      </w:tblPr>
      <w:tr>
        <w:trPr>
          <w:trHeight w:val="209"/>
        </w:trPr>
        <w:tc>
          <w:tcPr>
            <w:tcW w:w="2200" w:type="dxa"/>
            <w:vAlign w:val="bottom"/>
          </w:tcPr>
          <w:p>
            <w:pPr>
              <w:spacing w:after="0"/>
              <w:rPr>
                <w:sz w:val="20"/>
                <w:szCs w:val="20"/>
                <w:color w:val="auto"/>
              </w:rPr>
            </w:pPr>
            <w:r>
              <w:rPr>
                <w:rFonts w:ascii="Arial" w:cs="Arial" w:eastAsia="Arial" w:hAnsi="Arial"/>
                <w:sz w:val="17"/>
                <w:szCs w:val="17"/>
                <w:color w:val="auto"/>
              </w:rPr>
              <w:t>Large accelerated filer</w:t>
            </w:r>
          </w:p>
        </w:tc>
        <w:tc>
          <w:tcPr>
            <w:tcW w:w="2160" w:type="dxa"/>
            <w:vAlign w:val="bottom"/>
          </w:tcPr>
          <w:p>
            <w:pPr>
              <w:ind w:left="660"/>
              <w:spacing w:after="0" w:line="171" w:lineRule="exact"/>
              <w:rPr>
                <w:sz w:val="20"/>
                <w:szCs w:val="20"/>
                <w:color w:val="auto"/>
              </w:rPr>
            </w:pPr>
            <w:r>
              <w:rPr>
                <w:rFonts w:ascii="MS PGothic" w:cs="MS PGothic" w:eastAsia="MS PGothic" w:hAnsi="MS PGothic"/>
                <w:sz w:val="17"/>
                <w:szCs w:val="17"/>
                <w:color w:val="auto"/>
              </w:rPr>
              <w:t>☐</w:t>
            </w:r>
          </w:p>
        </w:tc>
        <w:tc>
          <w:tcPr>
            <w:tcW w:w="3700" w:type="dxa"/>
            <w:vAlign w:val="bottom"/>
          </w:tcPr>
          <w:p>
            <w:pPr>
              <w:ind w:left="1340"/>
              <w:spacing w:after="0"/>
              <w:rPr>
                <w:sz w:val="20"/>
                <w:szCs w:val="20"/>
                <w:color w:val="auto"/>
              </w:rPr>
            </w:pPr>
            <w:r>
              <w:rPr>
                <w:rFonts w:ascii="Arial" w:cs="Arial" w:eastAsia="Arial" w:hAnsi="Arial"/>
                <w:sz w:val="17"/>
                <w:szCs w:val="17"/>
                <w:color w:val="auto"/>
              </w:rPr>
              <w:t>Accelerated filer</w:t>
            </w:r>
          </w:p>
        </w:tc>
        <w:tc>
          <w:tcPr>
            <w:tcW w:w="660" w:type="dxa"/>
            <w:vAlign w:val="bottom"/>
          </w:tcPr>
          <w:p>
            <w:pPr>
              <w:ind w:left="50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09"/>
        </w:trPr>
        <w:tc>
          <w:tcPr>
            <w:tcW w:w="2200" w:type="dxa"/>
            <w:vAlign w:val="bottom"/>
          </w:tcPr>
          <w:p>
            <w:pPr>
              <w:spacing w:after="0"/>
              <w:rPr>
                <w:sz w:val="20"/>
                <w:szCs w:val="20"/>
                <w:color w:val="auto"/>
              </w:rPr>
            </w:pPr>
            <w:r>
              <w:rPr>
                <w:rFonts w:ascii="Arial" w:cs="Arial" w:eastAsia="Arial" w:hAnsi="Arial"/>
                <w:sz w:val="17"/>
                <w:szCs w:val="17"/>
                <w:color w:val="auto"/>
              </w:rPr>
              <w:t>Non-accelerated filer</w:t>
            </w:r>
          </w:p>
        </w:tc>
        <w:tc>
          <w:tcPr>
            <w:tcW w:w="2160" w:type="dxa"/>
            <w:vAlign w:val="bottom"/>
          </w:tcPr>
          <w:p>
            <w:pPr>
              <w:ind w:left="660"/>
              <w:spacing w:after="0" w:line="171" w:lineRule="exact"/>
              <w:rPr>
                <w:sz w:val="20"/>
                <w:szCs w:val="20"/>
                <w:color w:val="auto"/>
              </w:rPr>
            </w:pPr>
            <w:r>
              <w:rPr>
                <w:rFonts w:ascii="MS PGothic" w:cs="MS PGothic" w:eastAsia="MS PGothic" w:hAnsi="MS PGothic"/>
                <w:sz w:val="17"/>
                <w:szCs w:val="17"/>
                <w:color w:val="auto"/>
              </w:rPr>
              <w:t>☐</w:t>
            </w:r>
          </w:p>
        </w:tc>
        <w:tc>
          <w:tcPr>
            <w:tcW w:w="3700" w:type="dxa"/>
            <w:vAlign w:val="bottom"/>
          </w:tcPr>
          <w:p>
            <w:pPr>
              <w:ind w:left="1340"/>
              <w:spacing w:after="0"/>
              <w:rPr>
                <w:sz w:val="20"/>
                <w:szCs w:val="20"/>
                <w:color w:val="auto"/>
              </w:rPr>
            </w:pPr>
            <w:r>
              <w:rPr>
                <w:rFonts w:ascii="Arial" w:cs="Arial" w:eastAsia="Arial" w:hAnsi="Arial"/>
                <w:sz w:val="17"/>
                <w:szCs w:val="17"/>
                <w:color w:val="auto"/>
              </w:rPr>
              <w:t>Smaller reporting company</w:t>
            </w:r>
          </w:p>
        </w:tc>
        <w:tc>
          <w:tcPr>
            <w:tcW w:w="660" w:type="dxa"/>
            <w:vAlign w:val="bottom"/>
          </w:tcPr>
          <w:p>
            <w:pPr>
              <w:ind w:left="50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68"/>
        </w:trPr>
        <w:tc>
          <w:tcPr>
            <w:tcW w:w="2200" w:type="dxa"/>
            <w:vAlign w:val="bottom"/>
          </w:tcPr>
          <w:p>
            <w:pPr>
              <w:spacing w:after="0"/>
              <w:rPr>
                <w:sz w:val="23"/>
                <w:szCs w:val="23"/>
                <w:color w:val="auto"/>
              </w:rPr>
            </w:pPr>
          </w:p>
        </w:tc>
        <w:tc>
          <w:tcPr>
            <w:tcW w:w="2160" w:type="dxa"/>
            <w:vAlign w:val="bottom"/>
          </w:tcPr>
          <w:p>
            <w:pPr>
              <w:spacing w:after="0"/>
              <w:rPr>
                <w:sz w:val="23"/>
                <w:szCs w:val="23"/>
                <w:color w:val="auto"/>
              </w:rPr>
            </w:pPr>
          </w:p>
        </w:tc>
        <w:tc>
          <w:tcPr>
            <w:tcW w:w="3700" w:type="dxa"/>
            <w:vAlign w:val="bottom"/>
          </w:tcPr>
          <w:p>
            <w:pPr>
              <w:ind w:left="1340"/>
              <w:spacing w:after="0"/>
              <w:rPr>
                <w:sz w:val="20"/>
                <w:szCs w:val="20"/>
                <w:color w:val="auto"/>
              </w:rPr>
            </w:pPr>
            <w:r>
              <w:rPr>
                <w:rFonts w:ascii="Arial" w:cs="Arial" w:eastAsia="Arial" w:hAnsi="Arial"/>
                <w:sz w:val="17"/>
                <w:szCs w:val="17"/>
                <w:color w:val="auto"/>
              </w:rPr>
              <w:t>Emerging growth company</w:t>
            </w:r>
          </w:p>
        </w:tc>
        <w:tc>
          <w:tcPr>
            <w:tcW w:w="660" w:type="dxa"/>
            <w:vAlign w:val="bottom"/>
          </w:tcPr>
          <w:p>
            <w:pPr>
              <w:ind w:left="500"/>
              <w:spacing w:after="0" w:line="171" w:lineRule="exact"/>
              <w:rPr>
                <w:sz w:val="20"/>
                <w:szCs w:val="20"/>
                <w:color w:val="auto"/>
              </w:rPr>
            </w:pPr>
            <w:r>
              <w:rPr>
                <w:rFonts w:ascii="MS PGothic" w:cs="MS PGothic" w:eastAsia="MS PGothic" w:hAnsi="MS PGothic"/>
                <w:sz w:val="17"/>
                <w:szCs w:val="17"/>
                <w:color w:val="auto"/>
                <w:w w:val="82"/>
              </w:rPr>
              <w:t>☐</w:t>
            </w:r>
          </w:p>
        </w:tc>
      </w:tr>
    </w:tbl>
    <w:p>
      <w:pPr>
        <w:spacing w:after="0" w:line="209" w:lineRule="exact"/>
        <w:rPr>
          <w:sz w:val="24"/>
          <w:szCs w:val="24"/>
          <w:color w:val="auto"/>
        </w:rPr>
      </w:pPr>
    </w:p>
    <w:p>
      <w:pPr>
        <w:ind w:right="240"/>
        <w:spacing w:after="0" w:line="223"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85"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255" w:lineRule="exact"/>
        <w:rPr>
          <w:sz w:val="24"/>
          <w:szCs w:val="24"/>
          <w:color w:val="auto"/>
        </w:rPr>
      </w:pPr>
    </w:p>
    <w:p>
      <w:pPr>
        <w:spacing w:after="0"/>
        <w:rPr>
          <w:sz w:val="20"/>
          <w:szCs w:val="20"/>
          <w:color w:val="auto"/>
        </w:rPr>
      </w:pPr>
      <w:r>
        <w:rPr>
          <w:rFonts w:ascii="Arial" w:cs="Arial" w:eastAsia="Arial" w:hAnsi="Arial"/>
          <w:sz w:val="17"/>
          <w:szCs w:val="17"/>
          <w:color w:val="auto"/>
        </w:rPr>
        <w:t>Securities registered pursuant to Section 12(b) of the Act:</w:t>
      </w:r>
    </w:p>
    <w:p>
      <w:pPr>
        <w:spacing w:after="0" w:line="212" w:lineRule="exact"/>
        <w:rPr>
          <w:sz w:val="24"/>
          <w:szCs w:val="24"/>
          <w:color w:val="auto"/>
        </w:rPr>
      </w:pPr>
    </w:p>
    <w:tbl>
      <w:tblPr>
        <w:tblLayout w:type="fixed"/>
        <w:tblInd w:w="0" w:type="dxa"/>
        <w:tblCellMar>
          <w:top w:w="0" w:type="dxa"/>
          <w:left w:w="0" w:type="dxa"/>
          <w:bottom w:w="0" w:type="dxa"/>
          <w:right w:w="0" w:type="dxa"/>
        </w:tblCellMar>
      </w:tblPr>
      <w:tr>
        <w:trPr>
          <w:trHeight w:val="229"/>
        </w:trPr>
        <w:tc>
          <w:tcPr>
            <w:tcW w:w="4200" w:type="dxa"/>
            <w:vAlign w:val="bottom"/>
            <w:tcBorders>
              <w:top w:val="single" w:sz="8" w:color="auto"/>
              <w:bottom w:val="single" w:sz="8" w:color="auto"/>
            </w:tcBorders>
          </w:tcPr>
          <w:p>
            <w:pPr>
              <w:jc w:val="center"/>
              <w:ind w:right="295"/>
              <w:spacing w:after="0"/>
              <w:rPr>
                <w:sz w:val="20"/>
                <w:szCs w:val="20"/>
                <w:color w:val="auto"/>
              </w:rPr>
            </w:pPr>
            <w:r>
              <w:rPr>
                <w:rFonts w:ascii="Arial" w:cs="Arial" w:eastAsia="Arial" w:hAnsi="Arial"/>
                <w:sz w:val="17"/>
                <w:szCs w:val="17"/>
                <w:color w:val="auto"/>
                <w:w w:val="89"/>
              </w:rPr>
              <w:t>Title of each class</w:t>
            </w:r>
          </w:p>
        </w:tc>
        <w:tc>
          <w:tcPr>
            <w:tcW w:w="29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7"/>
                <w:szCs w:val="17"/>
                <w:color w:val="auto"/>
                <w:w w:val="92"/>
              </w:rPr>
              <w:t>Trading Symbol(s)</w:t>
            </w:r>
          </w:p>
        </w:tc>
        <w:tc>
          <w:tcPr>
            <w:tcW w:w="4240" w:type="dxa"/>
            <w:vAlign w:val="bottom"/>
            <w:tcBorders>
              <w:top w:val="single" w:sz="8" w:color="auto"/>
              <w:bottom w:val="single" w:sz="8" w:color="auto"/>
            </w:tcBorders>
          </w:tcPr>
          <w:p>
            <w:pPr>
              <w:jc w:val="center"/>
              <w:ind w:left="355"/>
              <w:spacing w:after="0"/>
              <w:rPr>
                <w:sz w:val="20"/>
                <w:szCs w:val="20"/>
                <w:color w:val="auto"/>
              </w:rPr>
            </w:pPr>
            <w:r>
              <w:rPr>
                <w:rFonts w:ascii="Arial" w:cs="Arial" w:eastAsia="Arial" w:hAnsi="Arial"/>
                <w:sz w:val="17"/>
                <w:szCs w:val="17"/>
                <w:color w:val="auto"/>
                <w:w w:val="89"/>
              </w:rPr>
              <w:t>Name of each exchange on which registered</w:t>
            </w:r>
          </w:p>
        </w:tc>
      </w:tr>
      <w:tr>
        <w:trPr>
          <w:trHeight w:val="215"/>
        </w:trPr>
        <w:tc>
          <w:tcPr>
            <w:tcW w:w="4200" w:type="dxa"/>
            <w:vAlign w:val="bottom"/>
            <w:tcBorders>
              <w:bottom w:val="single" w:sz="8" w:color="auto"/>
            </w:tcBorders>
          </w:tcPr>
          <w:p>
            <w:pPr>
              <w:jc w:val="center"/>
              <w:ind w:right="295"/>
              <w:spacing w:after="0"/>
              <w:rPr>
                <w:sz w:val="20"/>
                <w:szCs w:val="20"/>
                <w:color w:val="auto"/>
              </w:rPr>
            </w:pPr>
            <w:r>
              <w:rPr>
                <w:rFonts w:ascii="Arial" w:cs="Arial" w:eastAsia="Arial" w:hAnsi="Arial"/>
                <w:sz w:val="17"/>
                <w:szCs w:val="17"/>
                <w:color w:val="auto"/>
                <w:w w:val="89"/>
              </w:rPr>
              <w:t>Common Stock, $0.01 par value per share</w:t>
            </w:r>
          </w:p>
        </w:tc>
        <w:tc>
          <w:tcPr>
            <w:tcW w:w="298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KINS</w:t>
            </w:r>
          </w:p>
        </w:tc>
        <w:tc>
          <w:tcPr>
            <w:tcW w:w="4240" w:type="dxa"/>
            <w:vAlign w:val="bottom"/>
            <w:tcBorders>
              <w:bottom w:val="single" w:sz="8" w:color="auto"/>
            </w:tcBorders>
          </w:tcPr>
          <w:p>
            <w:pPr>
              <w:jc w:val="center"/>
              <w:ind w:left="355"/>
              <w:spacing w:after="0"/>
              <w:rPr>
                <w:sz w:val="20"/>
                <w:szCs w:val="20"/>
                <w:color w:val="auto"/>
              </w:rPr>
            </w:pPr>
            <w:r>
              <w:rPr>
                <w:rFonts w:ascii="Arial" w:cs="Arial" w:eastAsia="Arial" w:hAnsi="Arial"/>
                <w:sz w:val="17"/>
                <w:szCs w:val="17"/>
                <w:color w:val="auto"/>
                <w:w w:val="90"/>
              </w:rPr>
              <w:t>Nasdaq Global Select Market</w:t>
            </w:r>
          </w:p>
        </w:tc>
      </w:tr>
    </w:tbl>
    <w:p>
      <w:pPr>
        <w:spacing w:after="0" w:line="201" w:lineRule="exact"/>
        <w:rPr>
          <w:sz w:val="24"/>
          <w:szCs w:val="24"/>
          <w:color w:val="auto"/>
        </w:rPr>
      </w:pPr>
    </w:p>
    <w:p>
      <w:pPr>
        <w:spacing w:after="0"/>
        <w:rPr>
          <w:sz w:val="20"/>
          <w:szCs w:val="20"/>
          <w:color w:val="auto"/>
        </w:rPr>
      </w:pPr>
      <w:r>
        <w:rPr>
          <w:rFonts w:ascii="Arial" w:cs="Arial" w:eastAsia="Arial" w:hAnsi="Arial"/>
          <w:sz w:val="17"/>
          <w:szCs w:val="17"/>
          <w:color w:val="auto"/>
        </w:rPr>
        <w:t>As of May 9, 2019, there were 10,769,372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147320</wp:posOffset>
            </wp:positionV>
            <wp:extent cx="725106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106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221615</wp:posOffset>
            </wp:positionV>
            <wp:extent cx="7251065" cy="330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1065" cy="33020"/>
                    </a:xfrm>
                    <a:prstGeom prst="rect">
                      <a:avLst/>
                    </a:prstGeom>
                    <a:noFill/>
                  </pic:spPr>
                </pic:pic>
              </a:graphicData>
            </a:graphic>
          </wp:anchor>
        </w:drawing>
      </w:r>
    </w:p>
    <w:p>
      <w:pPr>
        <w:sectPr>
          <w:pgSz w:w="11900" w:h="16838" w:orient="portrait"/>
          <w:cols w:equalWidth="0" w:num="1">
            <w:col w:w="11420"/>
          </w:cols>
          <w:pgMar w:left="240" w:top="1145"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t>KINGSTONE COMPANIES,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INDEX</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Borders>
              <w:bottom w:val="single" w:sz="8" w:color="auto"/>
            </w:tcBorders>
          </w:tcPr>
          <w:p>
            <w:pPr>
              <w:ind w:left="300"/>
              <w:spacing w:after="0"/>
              <w:rPr>
                <w:sz w:val="20"/>
                <w:szCs w:val="20"/>
                <w:color w:val="auto"/>
              </w:rPr>
            </w:pPr>
            <w:r>
              <w:rPr>
                <w:rFonts w:ascii="Arial" w:cs="Arial" w:eastAsia="Arial" w:hAnsi="Arial"/>
                <w:sz w:val="17"/>
                <w:szCs w:val="17"/>
                <w:b w:val="1"/>
                <w:bCs w:val="1"/>
                <w:color w:val="auto"/>
              </w:rPr>
              <w:t>PAGE</w:t>
            </w:r>
          </w:p>
        </w:tc>
        <w:tc>
          <w:tcPr>
            <w:tcW w:w="0" w:type="dxa"/>
            <w:vAlign w:val="bottom"/>
          </w:tcPr>
          <w:p>
            <w:pPr>
              <w:spacing w:after="0"/>
              <w:rPr>
                <w:sz w:val="1"/>
                <w:szCs w:val="1"/>
                <w:color w:val="auto"/>
              </w:rPr>
            </w:pPr>
          </w:p>
        </w:tc>
      </w:tr>
      <w:tr>
        <w:trPr>
          <w:trHeight w:val="417"/>
        </w:trPr>
        <w:tc>
          <w:tcPr>
            <w:tcW w:w="10360" w:type="dxa"/>
            <w:vAlign w:val="bottom"/>
            <w:gridSpan w:val="22"/>
          </w:tcPr>
          <w:p>
            <w:pPr>
              <w:spacing w:after="0"/>
              <w:rPr>
                <w:sz w:val="20"/>
                <w:szCs w:val="20"/>
                <w:color w:val="auto"/>
              </w:rPr>
            </w:pPr>
            <w:r>
              <w:rPr>
                <w:rFonts w:ascii="Arial" w:cs="Arial" w:eastAsia="Arial" w:hAnsi="Arial"/>
                <w:sz w:val="17"/>
                <w:szCs w:val="17"/>
                <w:b w:val="1"/>
                <w:bCs w:val="1"/>
                <w:color w:val="auto"/>
              </w:rPr>
              <w:t>PART I — FINANCIAL INFORMATION</w:t>
            </w:r>
          </w:p>
        </w:tc>
        <w:tc>
          <w:tcPr>
            <w:tcW w:w="1060" w:type="dxa"/>
            <w:vAlign w:val="bottom"/>
          </w:tcPr>
          <w:p>
            <w:pPr>
              <w:jc w:val="center"/>
              <w:spacing w:after="0"/>
              <w:rPr>
                <w:sz w:val="20"/>
                <w:szCs w:val="20"/>
                <w:color w:val="auto"/>
              </w:rPr>
            </w:pPr>
            <w:r>
              <w:rPr>
                <w:rFonts w:ascii="Arial" w:cs="Arial" w:eastAsia="Arial" w:hAnsi="Arial"/>
                <w:sz w:val="17"/>
                <w:szCs w:val="17"/>
                <w:color w:val="auto"/>
                <w:w w:val="84"/>
              </w:rPr>
              <w:t>4</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40" w:type="dxa"/>
            <w:vAlign w:val="bottom"/>
            <w:gridSpan w:val="20"/>
            <w:shd w:val="clear" w:color="auto" w:fill="CCEEFF"/>
          </w:tcPr>
          <w:p>
            <w:pPr>
              <w:spacing w:after="0" w:line="172" w:lineRule="exact"/>
              <w:rPr>
                <w:rFonts w:ascii="Arial" w:cs="Arial" w:eastAsia="Arial" w:hAnsi="Arial"/>
                <w:sz w:val="17"/>
                <w:szCs w:val="17"/>
                <w:color w:val="0000EE"/>
              </w:rPr>
            </w:pPr>
            <w:hyperlink w:anchor="page4">
              <w:r>
                <w:rPr>
                  <w:rFonts w:ascii="Arial" w:cs="Arial" w:eastAsia="Arial" w:hAnsi="Arial"/>
                  <w:sz w:val="17"/>
                  <w:szCs w:val="17"/>
                  <w:color w:val="0000EE"/>
                </w:rPr>
                <w:t>Item 1 — Financial Statements</w:t>
              </w:r>
            </w:hyperlink>
          </w:p>
        </w:tc>
        <w:tc>
          <w:tcPr>
            <w:tcW w:w="1060" w:type="dxa"/>
            <w:vAlign w:val="bottom"/>
            <w:shd w:val="clear" w:color="auto" w:fill="CCEEFF"/>
          </w:tcPr>
          <w:p>
            <w:pPr>
              <w:jc w:val="center"/>
              <w:spacing w:after="0" w:line="172" w:lineRule="exact"/>
              <w:rPr>
                <w:sz w:val="20"/>
                <w:szCs w:val="20"/>
                <w:color w:val="auto"/>
              </w:rPr>
            </w:pPr>
            <w:r>
              <w:rPr>
                <w:rFonts w:ascii="Arial" w:cs="Arial" w:eastAsia="Arial" w:hAnsi="Arial"/>
                <w:sz w:val="17"/>
                <w:szCs w:val="17"/>
                <w:color w:val="auto"/>
                <w:w w:val="84"/>
              </w:rPr>
              <w:t>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32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260" w:type="dxa"/>
            <w:vAlign w:val="bottom"/>
            <w:shd w:val="clear" w:color="auto" w:fill="0000EE"/>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20" w:type="dxa"/>
            <w:vAlign w:val="bottom"/>
            <w:tcBorders>
              <w:right w:val="single" w:sz="8" w:color="0000EE"/>
            </w:tcBorders>
            <w:shd w:val="clear" w:color="auto" w:fill="0000EE"/>
          </w:tcPr>
          <w:p>
            <w:pPr>
              <w:spacing w:after="0"/>
              <w:rPr>
                <w:sz w:val="3"/>
                <w:szCs w:val="3"/>
                <w:color w:val="auto"/>
              </w:rPr>
            </w:pPr>
          </w:p>
        </w:tc>
        <w:tc>
          <w:tcPr>
            <w:tcW w:w="440" w:type="dxa"/>
            <w:vAlign w:val="bottom"/>
            <w:shd w:val="clear" w:color="auto" w:fill="0000EE"/>
          </w:tcPr>
          <w:p>
            <w:pPr>
              <w:spacing w:after="0"/>
              <w:rPr>
                <w:sz w:val="3"/>
                <w:szCs w:val="3"/>
                <w:color w:val="auto"/>
              </w:rPr>
            </w:pPr>
          </w:p>
        </w:tc>
        <w:tc>
          <w:tcPr>
            <w:tcW w:w="260" w:type="dxa"/>
            <w:vAlign w:val="bottom"/>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280" w:type="dxa"/>
            <w:vAlign w:val="bottom"/>
            <w:tcBorders>
              <w:right w:val="single" w:sz="8" w:color="0000EE"/>
            </w:tcBorders>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1920" w:type="dxa"/>
            <w:vAlign w:val="bottom"/>
            <w:shd w:val="clear" w:color="auto" w:fill="CCEEFF"/>
          </w:tcPr>
          <w:p>
            <w:pPr>
              <w:spacing w:after="0"/>
              <w:rPr>
                <w:sz w:val="3"/>
                <w:szCs w:val="3"/>
                <w:color w:val="auto"/>
              </w:rPr>
            </w:pPr>
          </w:p>
        </w:tc>
        <w:tc>
          <w:tcPr>
            <w:tcW w:w="140" w:type="dxa"/>
            <w:vAlign w:val="bottom"/>
            <w:tcBorders>
              <w:left w:val="single" w:sz="8" w:color="CCEEFF"/>
            </w:tcBorders>
            <w:shd w:val="clear" w:color="auto" w:fill="CCEEFF"/>
          </w:tcPr>
          <w:p>
            <w:pPr>
              <w:spacing w:after="0"/>
              <w:rPr>
                <w:sz w:val="3"/>
                <w:szCs w:val="3"/>
                <w:color w:val="auto"/>
              </w:rPr>
            </w:pPr>
          </w:p>
        </w:tc>
        <w:tc>
          <w:tcPr>
            <w:tcW w:w="18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8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720" w:type="dxa"/>
            <w:vAlign w:val="bottom"/>
            <w:gridSpan w:val="19"/>
          </w:tcPr>
          <w:p>
            <w:pPr>
              <w:spacing w:after="0" w:line="170" w:lineRule="exact"/>
              <w:rPr>
                <w:rFonts w:ascii="Arial" w:cs="Arial" w:eastAsia="Arial" w:hAnsi="Arial"/>
                <w:sz w:val="17"/>
                <w:szCs w:val="17"/>
                <w:color w:val="0000EE"/>
              </w:rPr>
            </w:pPr>
            <w:hyperlink w:anchor="page4">
              <w:r>
                <w:rPr>
                  <w:rFonts w:ascii="Arial" w:cs="Arial" w:eastAsia="Arial" w:hAnsi="Arial"/>
                  <w:sz w:val="17"/>
                  <w:szCs w:val="17"/>
                  <w:color w:val="0000EE"/>
                </w:rPr>
                <w:t>Condensed Consolidated Balance Sheets at March 31, 2019 (Unaudited) and December 31, 2018</w:t>
              </w:r>
            </w:hyperlink>
          </w:p>
        </w:tc>
        <w:tc>
          <w:tcPr>
            <w:tcW w:w="1060" w:type="dxa"/>
            <w:vAlign w:val="bottom"/>
          </w:tcPr>
          <w:p>
            <w:pPr>
              <w:jc w:val="center"/>
              <w:spacing w:after="0" w:line="170" w:lineRule="exact"/>
              <w:rPr>
                <w:sz w:val="20"/>
                <w:szCs w:val="20"/>
                <w:color w:val="auto"/>
              </w:rPr>
            </w:pPr>
            <w:r>
              <w:rPr>
                <w:rFonts w:ascii="Arial" w:cs="Arial" w:eastAsia="Arial" w:hAnsi="Arial"/>
                <w:sz w:val="17"/>
                <w:szCs w:val="17"/>
                <w:color w:val="auto"/>
                <w:w w:val="84"/>
              </w:rPr>
              <w:t>4</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44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280" w:type="dxa"/>
            <w:vAlign w:val="bottom"/>
            <w:tcBorders>
              <w:right w:val="single" w:sz="8" w:color="0000EE"/>
            </w:tcBorders>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520" w:type="dxa"/>
            <w:vAlign w:val="bottom"/>
            <w:shd w:val="clear" w:color="auto" w:fill="0000EE"/>
          </w:tcPr>
          <w:p>
            <w:pPr>
              <w:spacing w:after="0"/>
              <w:rPr>
                <w:sz w:val="2"/>
                <w:szCs w:val="2"/>
                <w:color w:val="auto"/>
              </w:rPr>
            </w:pPr>
          </w:p>
        </w:tc>
        <w:tc>
          <w:tcPr>
            <w:tcW w:w="1920" w:type="dxa"/>
            <w:vAlign w:val="bottom"/>
            <w:shd w:val="clear" w:color="auto" w:fill="0000EE"/>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c>
          <w:tcPr>
            <w:tcW w:w="186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9360" w:type="dxa"/>
            <w:vAlign w:val="bottom"/>
            <w:tcBorders>
              <w:bottom w:val="single" w:sz="8" w:color="0000EE"/>
            </w:tcBorders>
            <w:gridSpan w:val="18"/>
            <w:shd w:val="clear" w:color="auto" w:fill="CCEEFF"/>
          </w:tcPr>
          <w:p>
            <w:pPr>
              <w:spacing w:after="0" w:line="180" w:lineRule="exact"/>
              <w:rPr>
                <w:rFonts w:ascii="Arial" w:cs="Arial" w:eastAsia="Arial" w:hAnsi="Arial"/>
                <w:sz w:val="17"/>
                <w:szCs w:val="17"/>
                <w:color w:val="0000EE"/>
                <w:w w:val="89"/>
              </w:rPr>
            </w:pPr>
            <w:hyperlink w:anchor="page5">
              <w:r>
                <w:rPr>
                  <w:rFonts w:ascii="Arial" w:cs="Arial" w:eastAsia="Arial" w:hAnsi="Arial"/>
                  <w:sz w:val="17"/>
                  <w:szCs w:val="17"/>
                  <w:color w:val="0000EE"/>
                  <w:w w:val="89"/>
                </w:rPr>
                <w:t>Condensed Consolidated Statements of Operations and Comprehensive Loss for the three months ended March 31, 2019 (Unaudited) and</w:t>
              </w:r>
            </w:hyperlink>
          </w:p>
        </w:tc>
        <w:tc>
          <w:tcPr>
            <w:tcW w:w="36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0" w:type="dxa"/>
            <w:vAlign w:val="bottom"/>
            <w:gridSpan w:val="5"/>
            <w:shd w:val="clear" w:color="auto" w:fill="CCEEFF"/>
          </w:tcPr>
          <w:p>
            <w:pPr>
              <w:ind w:left="620"/>
              <w:spacing w:after="0" w:line="189" w:lineRule="exact"/>
              <w:rPr>
                <w:rFonts w:ascii="Arial" w:cs="Arial" w:eastAsia="Arial" w:hAnsi="Arial"/>
                <w:sz w:val="17"/>
                <w:szCs w:val="17"/>
                <w:color w:val="0000EE"/>
                <w:w w:val="95"/>
              </w:rPr>
            </w:pPr>
            <w:hyperlink w:anchor="page5">
              <w:r>
                <w:rPr>
                  <w:rFonts w:ascii="Arial" w:cs="Arial" w:eastAsia="Arial" w:hAnsi="Arial"/>
                  <w:sz w:val="17"/>
                  <w:szCs w:val="17"/>
                  <w:color w:val="0000EE"/>
                  <w:w w:val="95"/>
                </w:rPr>
                <w:t>2018</w:t>
              </w:r>
            </w:hyperlink>
          </w:p>
        </w:tc>
        <w:tc>
          <w:tcPr>
            <w:tcW w:w="9340" w:type="dxa"/>
            <w:vAlign w:val="bottom"/>
            <w:gridSpan w:val="16"/>
            <w:shd w:val="clear" w:color="auto" w:fill="CCEEFF"/>
          </w:tcPr>
          <w:p>
            <w:pPr>
              <w:spacing w:after="0" w:line="189" w:lineRule="exact"/>
              <w:rPr>
                <w:rFonts w:ascii="Arial" w:cs="Arial" w:eastAsia="Arial" w:hAnsi="Arial"/>
                <w:sz w:val="17"/>
                <w:szCs w:val="17"/>
                <w:color w:val="0000EE"/>
              </w:rPr>
            </w:pPr>
            <w:hyperlink w:anchor="page5">
              <w:r>
                <w:rPr>
                  <w:rFonts w:ascii="Arial" w:cs="Arial" w:eastAsia="Arial" w:hAnsi="Arial"/>
                  <w:sz w:val="17"/>
                  <w:szCs w:val="17"/>
                  <w:color w:val="0000EE"/>
                </w:rPr>
                <w:t>(Unaudited)</w:t>
              </w:r>
            </w:hyperlink>
          </w:p>
        </w:tc>
        <w:tc>
          <w:tcPr>
            <w:tcW w:w="1060" w:type="dxa"/>
            <w:vAlign w:val="bottom"/>
            <w:shd w:val="clear" w:color="auto" w:fill="CCEEFF"/>
          </w:tcPr>
          <w:p>
            <w:pPr>
              <w:jc w:val="center"/>
              <w:spacing w:after="0" w:line="189" w:lineRule="exact"/>
              <w:rPr>
                <w:sz w:val="20"/>
                <w:szCs w:val="20"/>
                <w:color w:val="auto"/>
              </w:rPr>
            </w:pPr>
            <w:r>
              <w:rPr>
                <w:rFonts w:ascii="Arial" w:cs="Arial" w:eastAsia="Arial" w:hAnsi="Arial"/>
                <w:sz w:val="17"/>
                <w:szCs w:val="17"/>
                <w:color w:val="auto"/>
                <w:w w:val="84"/>
              </w:rPr>
              <w:t>5</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260" w:type="dxa"/>
            <w:vAlign w:val="bottom"/>
            <w:shd w:val="clear" w:color="auto" w:fill="0000EE"/>
          </w:tcPr>
          <w:p>
            <w:pPr>
              <w:spacing w:after="0"/>
              <w:rPr>
                <w:sz w:val="3"/>
                <w:szCs w:val="3"/>
                <w:color w:val="auto"/>
              </w:rPr>
            </w:pPr>
          </w:p>
        </w:tc>
        <w:tc>
          <w:tcPr>
            <w:tcW w:w="40" w:type="dxa"/>
            <w:vAlign w:val="bottom"/>
            <w:shd w:val="clear" w:color="auto" w:fill="0000EE"/>
          </w:tcPr>
          <w:p>
            <w:pPr>
              <w:spacing w:after="0"/>
              <w:rPr>
                <w:sz w:val="3"/>
                <w:szCs w:val="3"/>
                <w:color w:val="auto"/>
              </w:rPr>
            </w:pPr>
          </w:p>
        </w:tc>
        <w:tc>
          <w:tcPr>
            <w:tcW w:w="120" w:type="dxa"/>
            <w:vAlign w:val="bottom"/>
            <w:tcBorders>
              <w:right w:val="single" w:sz="8" w:color="0000EE"/>
            </w:tcBorders>
            <w:shd w:val="clear" w:color="auto" w:fill="0000EE"/>
          </w:tcPr>
          <w:p>
            <w:pPr>
              <w:spacing w:after="0"/>
              <w:rPr>
                <w:sz w:val="3"/>
                <w:szCs w:val="3"/>
                <w:color w:val="auto"/>
              </w:rPr>
            </w:pPr>
          </w:p>
        </w:tc>
        <w:tc>
          <w:tcPr>
            <w:tcW w:w="440" w:type="dxa"/>
            <w:vAlign w:val="bottom"/>
            <w:shd w:val="clear" w:color="auto" w:fill="0000EE"/>
          </w:tcPr>
          <w:p>
            <w:pPr>
              <w:spacing w:after="0"/>
              <w:rPr>
                <w:sz w:val="3"/>
                <w:szCs w:val="3"/>
                <w:color w:val="auto"/>
              </w:rPr>
            </w:pPr>
          </w:p>
        </w:tc>
        <w:tc>
          <w:tcPr>
            <w:tcW w:w="260" w:type="dxa"/>
            <w:vAlign w:val="bottom"/>
            <w:shd w:val="clear" w:color="auto" w:fill="0000EE"/>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80" w:type="dxa"/>
            <w:vAlign w:val="bottom"/>
            <w:tcBorders>
              <w:right w:val="single" w:sz="8" w:color="CCEEFF"/>
            </w:tcBorders>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1920" w:type="dxa"/>
            <w:vAlign w:val="bottom"/>
            <w:shd w:val="clear" w:color="auto" w:fill="CCEEFF"/>
          </w:tcPr>
          <w:p>
            <w:pPr>
              <w:spacing w:after="0"/>
              <w:rPr>
                <w:sz w:val="3"/>
                <w:szCs w:val="3"/>
                <w:color w:val="auto"/>
              </w:rPr>
            </w:pPr>
          </w:p>
        </w:tc>
        <w:tc>
          <w:tcPr>
            <w:tcW w:w="140" w:type="dxa"/>
            <w:vAlign w:val="bottom"/>
            <w:tcBorders>
              <w:left w:val="single" w:sz="8" w:color="CCEEFF"/>
            </w:tcBorders>
            <w:shd w:val="clear" w:color="auto" w:fill="CCEEFF"/>
          </w:tcPr>
          <w:p>
            <w:pPr>
              <w:spacing w:after="0"/>
              <w:rPr>
                <w:sz w:val="3"/>
                <w:szCs w:val="3"/>
                <w:color w:val="auto"/>
              </w:rPr>
            </w:pPr>
          </w:p>
        </w:tc>
        <w:tc>
          <w:tcPr>
            <w:tcW w:w="18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8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720" w:type="dxa"/>
            <w:vAlign w:val="bottom"/>
            <w:gridSpan w:val="19"/>
          </w:tcPr>
          <w:p>
            <w:pPr>
              <w:spacing w:after="0" w:line="170" w:lineRule="exact"/>
              <w:rPr>
                <w:rFonts w:ascii="Arial" w:cs="Arial" w:eastAsia="Arial" w:hAnsi="Arial"/>
                <w:sz w:val="17"/>
                <w:szCs w:val="17"/>
                <w:color w:val="0000EE"/>
              </w:rPr>
            </w:pPr>
            <w:hyperlink w:anchor="page6">
              <w:r>
                <w:rPr>
                  <w:rFonts w:ascii="Arial" w:cs="Arial" w:eastAsia="Arial" w:hAnsi="Arial"/>
                  <w:sz w:val="17"/>
                  <w:szCs w:val="17"/>
                  <w:color w:val="0000EE"/>
                </w:rPr>
                <w:t>Condensed Consolidated Statements of Stockholders’ Equity for the three months ended March 31, 2019 and 2018 (Unaudited)</w:t>
              </w:r>
            </w:hyperlink>
          </w:p>
        </w:tc>
        <w:tc>
          <w:tcPr>
            <w:tcW w:w="1060" w:type="dxa"/>
            <w:vAlign w:val="bottom"/>
          </w:tcPr>
          <w:p>
            <w:pPr>
              <w:jc w:val="center"/>
              <w:spacing w:after="0" w:line="170" w:lineRule="exact"/>
              <w:rPr>
                <w:sz w:val="20"/>
                <w:szCs w:val="20"/>
                <w:color w:val="auto"/>
              </w:rPr>
            </w:pPr>
            <w:r>
              <w:rPr>
                <w:rFonts w:ascii="Arial" w:cs="Arial" w:eastAsia="Arial" w:hAnsi="Arial"/>
                <w:sz w:val="17"/>
                <w:szCs w:val="17"/>
                <w:color w:val="auto"/>
                <w:w w:val="84"/>
              </w:rPr>
              <w:t>6</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44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280" w:type="dxa"/>
            <w:vAlign w:val="bottom"/>
            <w:tcBorders>
              <w:right w:val="single" w:sz="8" w:color="0000EE"/>
            </w:tcBorders>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520" w:type="dxa"/>
            <w:vAlign w:val="bottom"/>
            <w:shd w:val="clear" w:color="auto" w:fill="0000EE"/>
          </w:tcPr>
          <w:p>
            <w:pPr>
              <w:spacing w:after="0"/>
              <w:rPr>
                <w:sz w:val="2"/>
                <w:szCs w:val="2"/>
                <w:color w:val="auto"/>
              </w:rPr>
            </w:pPr>
          </w:p>
        </w:tc>
        <w:tc>
          <w:tcPr>
            <w:tcW w:w="1920" w:type="dxa"/>
            <w:vAlign w:val="bottom"/>
            <w:shd w:val="clear" w:color="auto" w:fill="0000EE"/>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c>
          <w:tcPr>
            <w:tcW w:w="186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080" w:type="dxa"/>
            <w:vAlign w:val="bottom"/>
            <w:shd w:val="clear" w:color="auto" w:fill="0000EE"/>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720" w:type="dxa"/>
            <w:vAlign w:val="bottom"/>
            <w:gridSpan w:val="19"/>
            <w:shd w:val="clear" w:color="auto" w:fill="CCEEFF"/>
          </w:tcPr>
          <w:p>
            <w:pPr>
              <w:spacing w:after="0" w:line="180" w:lineRule="exact"/>
              <w:rPr>
                <w:rFonts w:ascii="Arial" w:cs="Arial" w:eastAsia="Arial" w:hAnsi="Arial"/>
                <w:sz w:val="17"/>
                <w:szCs w:val="17"/>
                <w:color w:val="0000EE"/>
                <w:w w:val="98"/>
              </w:rPr>
            </w:pPr>
            <w:hyperlink w:anchor="page9">
              <w:r>
                <w:rPr>
                  <w:rFonts w:ascii="Arial" w:cs="Arial" w:eastAsia="Arial" w:hAnsi="Arial"/>
                  <w:sz w:val="17"/>
                  <w:szCs w:val="17"/>
                  <w:color w:val="0000EE"/>
                  <w:w w:val="98"/>
                </w:rPr>
                <w:t>Condensed Consolidated Statements of Cash Flows for the three months ended March 31, 2019 (Unaudited) and 2018 (Unaudited)</w:t>
              </w:r>
            </w:hyperlink>
          </w:p>
        </w:tc>
        <w:tc>
          <w:tcPr>
            <w:tcW w:w="1060" w:type="dxa"/>
            <w:vAlign w:val="bottom"/>
            <w:shd w:val="clear" w:color="auto" w:fill="CCEEFF"/>
          </w:tcPr>
          <w:p>
            <w:pPr>
              <w:jc w:val="center"/>
              <w:spacing w:after="0" w:line="180" w:lineRule="exact"/>
              <w:rPr>
                <w:sz w:val="20"/>
                <w:szCs w:val="20"/>
                <w:color w:val="auto"/>
              </w:rPr>
            </w:pPr>
            <w:r>
              <w:rPr>
                <w:rFonts w:ascii="Arial" w:cs="Arial" w:eastAsia="Arial" w:hAnsi="Arial"/>
                <w:sz w:val="17"/>
                <w:szCs w:val="17"/>
                <w:color w:val="auto"/>
                <w:w w:val="84"/>
              </w:rPr>
              <w:t>8</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00" w:type="dxa"/>
            <w:vAlign w:val="bottom"/>
            <w:tcBorders>
              <w:top w:val="single" w:sz="8" w:color="CCEEFF"/>
            </w:tcBorders>
          </w:tcPr>
          <w:p>
            <w:pPr>
              <w:spacing w:after="0"/>
              <w:rPr>
                <w:sz w:val="14"/>
                <w:szCs w:val="14"/>
                <w:color w:val="auto"/>
              </w:rPr>
            </w:pPr>
          </w:p>
        </w:tc>
        <w:tc>
          <w:tcPr>
            <w:tcW w:w="320" w:type="dxa"/>
            <w:vAlign w:val="bottom"/>
            <w:tcBorders>
              <w:top w:val="single" w:sz="8" w:color="CCEEFF"/>
            </w:tcBorders>
          </w:tcPr>
          <w:p>
            <w:pPr>
              <w:spacing w:after="0"/>
              <w:rPr>
                <w:sz w:val="14"/>
                <w:szCs w:val="14"/>
                <w:color w:val="auto"/>
              </w:rPr>
            </w:pPr>
          </w:p>
        </w:tc>
        <w:tc>
          <w:tcPr>
            <w:tcW w:w="8880" w:type="dxa"/>
            <w:vAlign w:val="bottom"/>
            <w:tcBorders>
              <w:top w:val="single" w:sz="8" w:color="0000EE"/>
            </w:tcBorders>
            <w:gridSpan w:val="17"/>
          </w:tcPr>
          <w:p>
            <w:pPr>
              <w:spacing w:after="0" w:line="170" w:lineRule="exact"/>
              <w:rPr>
                <w:rFonts w:ascii="Arial" w:cs="Arial" w:eastAsia="Arial" w:hAnsi="Arial"/>
                <w:sz w:val="17"/>
                <w:szCs w:val="17"/>
                <w:color w:val="0000EE"/>
              </w:rPr>
            </w:pPr>
            <w:hyperlink w:anchor="page9">
              <w:r>
                <w:rPr>
                  <w:rFonts w:ascii="Arial" w:cs="Arial" w:eastAsia="Arial" w:hAnsi="Arial"/>
                  <w:sz w:val="17"/>
                  <w:szCs w:val="17"/>
                  <w:color w:val="0000EE"/>
                </w:rPr>
                <w:t>Notes to Condensed Consolidated Financial Statements (Unaudited)</w:t>
              </w:r>
            </w:hyperlink>
          </w:p>
        </w:tc>
        <w:tc>
          <w:tcPr>
            <w:tcW w:w="840" w:type="dxa"/>
            <w:vAlign w:val="bottom"/>
            <w:tcBorders>
              <w:top w:val="single" w:sz="8" w:color="CCEEFF"/>
            </w:tcBorders>
            <w:gridSpan w:val="2"/>
          </w:tcPr>
          <w:p>
            <w:pPr>
              <w:spacing w:after="0"/>
              <w:rPr>
                <w:sz w:val="14"/>
                <w:szCs w:val="14"/>
                <w:color w:val="auto"/>
              </w:rPr>
            </w:pPr>
          </w:p>
        </w:tc>
        <w:tc>
          <w:tcPr>
            <w:tcW w:w="1060" w:type="dxa"/>
            <w:vAlign w:val="bottom"/>
            <w:tcBorders>
              <w:top w:val="single" w:sz="8" w:color="CCEEFF"/>
            </w:tcBorders>
          </w:tcPr>
          <w:p>
            <w:pPr>
              <w:jc w:val="center"/>
              <w:spacing w:after="0" w:line="170" w:lineRule="exact"/>
              <w:rPr>
                <w:sz w:val="20"/>
                <w:szCs w:val="20"/>
                <w:color w:val="auto"/>
              </w:rPr>
            </w:pPr>
            <w:r>
              <w:rPr>
                <w:rFonts w:ascii="Arial" w:cs="Arial" w:eastAsia="Arial" w:hAnsi="Arial"/>
                <w:sz w:val="17"/>
                <w:szCs w:val="17"/>
                <w:color w:val="auto"/>
                <w:w w:val="84"/>
              </w:rPr>
              <w:t>9</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44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280" w:type="dxa"/>
            <w:vAlign w:val="bottom"/>
            <w:tcBorders>
              <w:right w:val="single" w:sz="8" w:color="0000EE"/>
            </w:tcBorders>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520" w:type="dxa"/>
            <w:vAlign w:val="bottom"/>
            <w:shd w:val="clear" w:color="auto" w:fill="0000EE"/>
          </w:tcPr>
          <w:p>
            <w:pPr>
              <w:spacing w:after="0"/>
              <w:rPr>
                <w:sz w:val="2"/>
                <w:szCs w:val="2"/>
                <w:color w:val="auto"/>
              </w:rPr>
            </w:pPr>
          </w:p>
        </w:tc>
        <w:tc>
          <w:tcPr>
            <w:tcW w:w="1920" w:type="dxa"/>
            <w:vAlign w:val="bottom"/>
            <w:shd w:val="clear" w:color="auto" w:fill="0000EE"/>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40" w:type="dxa"/>
            <w:vAlign w:val="bottom"/>
            <w:gridSpan w:val="20"/>
            <w:shd w:val="clear" w:color="auto" w:fill="CCEEFF"/>
          </w:tcPr>
          <w:p>
            <w:pPr>
              <w:spacing w:after="0" w:line="180" w:lineRule="exact"/>
              <w:rPr>
                <w:rFonts w:ascii="Arial" w:cs="Arial" w:eastAsia="Arial" w:hAnsi="Arial"/>
                <w:sz w:val="17"/>
                <w:szCs w:val="17"/>
                <w:color w:val="0000EE"/>
              </w:rPr>
            </w:pPr>
            <w:hyperlink w:anchor="page39">
              <w:r>
                <w:rPr>
                  <w:rFonts w:ascii="Arial" w:cs="Arial" w:eastAsia="Arial" w:hAnsi="Arial"/>
                  <w:sz w:val="17"/>
                  <w:szCs w:val="17"/>
                  <w:color w:val="0000EE"/>
                </w:rPr>
                <w:t>Item 2 — Management’s Discussion and Analysis of Financial Condition and Results of Operations</w:t>
              </w:r>
            </w:hyperlink>
          </w:p>
        </w:tc>
        <w:tc>
          <w:tcPr>
            <w:tcW w:w="1060" w:type="dxa"/>
            <w:vAlign w:val="bottom"/>
            <w:shd w:val="clear" w:color="auto" w:fill="CCEEFF"/>
          </w:tcPr>
          <w:p>
            <w:pPr>
              <w:jc w:val="center"/>
              <w:spacing w:after="0" w:line="180" w:lineRule="exact"/>
              <w:rPr>
                <w:sz w:val="20"/>
                <w:szCs w:val="20"/>
                <w:color w:val="auto"/>
              </w:rPr>
            </w:pPr>
            <w:r>
              <w:rPr>
                <w:rFonts w:ascii="Arial" w:cs="Arial" w:eastAsia="Arial" w:hAnsi="Arial"/>
                <w:sz w:val="17"/>
                <w:szCs w:val="17"/>
                <w:color w:val="auto"/>
                <w:w w:val="94"/>
              </w:rPr>
              <w:t>39</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32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260" w:type="dxa"/>
            <w:vAlign w:val="bottom"/>
            <w:shd w:val="clear" w:color="auto" w:fill="0000EE"/>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20" w:type="dxa"/>
            <w:vAlign w:val="bottom"/>
            <w:tcBorders>
              <w:right w:val="single" w:sz="8" w:color="0000EE"/>
            </w:tcBorders>
            <w:shd w:val="clear" w:color="auto" w:fill="0000EE"/>
          </w:tcPr>
          <w:p>
            <w:pPr>
              <w:spacing w:after="0"/>
              <w:rPr>
                <w:sz w:val="3"/>
                <w:szCs w:val="3"/>
                <w:color w:val="auto"/>
              </w:rPr>
            </w:pPr>
          </w:p>
        </w:tc>
        <w:tc>
          <w:tcPr>
            <w:tcW w:w="440" w:type="dxa"/>
            <w:vAlign w:val="bottom"/>
            <w:shd w:val="clear" w:color="auto" w:fill="0000EE"/>
          </w:tcPr>
          <w:p>
            <w:pPr>
              <w:spacing w:after="0"/>
              <w:rPr>
                <w:sz w:val="3"/>
                <w:szCs w:val="3"/>
                <w:color w:val="auto"/>
              </w:rPr>
            </w:pPr>
          </w:p>
        </w:tc>
        <w:tc>
          <w:tcPr>
            <w:tcW w:w="260" w:type="dxa"/>
            <w:vAlign w:val="bottom"/>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280" w:type="dxa"/>
            <w:vAlign w:val="bottom"/>
            <w:tcBorders>
              <w:right w:val="single" w:sz="8" w:color="0000EE"/>
            </w:tcBorders>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240" w:type="dxa"/>
            <w:vAlign w:val="bottom"/>
            <w:shd w:val="clear" w:color="auto" w:fill="0000EE"/>
          </w:tcPr>
          <w:p>
            <w:pPr>
              <w:spacing w:after="0"/>
              <w:rPr>
                <w:sz w:val="3"/>
                <w:szCs w:val="3"/>
                <w:color w:val="auto"/>
              </w:rPr>
            </w:pPr>
          </w:p>
        </w:tc>
        <w:tc>
          <w:tcPr>
            <w:tcW w:w="520" w:type="dxa"/>
            <w:vAlign w:val="bottom"/>
            <w:shd w:val="clear" w:color="auto" w:fill="0000EE"/>
          </w:tcPr>
          <w:p>
            <w:pPr>
              <w:spacing w:after="0"/>
              <w:rPr>
                <w:sz w:val="3"/>
                <w:szCs w:val="3"/>
                <w:color w:val="auto"/>
              </w:rPr>
            </w:pPr>
          </w:p>
        </w:tc>
        <w:tc>
          <w:tcPr>
            <w:tcW w:w="1920" w:type="dxa"/>
            <w:vAlign w:val="bottom"/>
            <w:shd w:val="clear" w:color="auto" w:fill="0000EE"/>
          </w:tcPr>
          <w:p>
            <w:pPr>
              <w:spacing w:after="0"/>
              <w:rPr>
                <w:sz w:val="3"/>
                <w:szCs w:val="3"/>
                <w:color w:val="auto"/>
              </w:rPr>
            </w:pPr>
          </w:p>
        </w:tc>
        <w:tc>
          <w:tcPr>
            <w:tcW w:w="140" w:type="dxa"/>
            <w:vAlign w:val="bottom"/>
            <w:tcBorders>
              <w:left w:val="single" w:sz="8" w:color="0000EE"/>
            </w:tcBorders>
            <w:shd w:val="clear" w:color="auto" w:fill="0000EE"/>
          </w:tcPr>
          <w:p>
            <w:pPr>
              <w:spacing w:after="0"/>
              <w:rPr>
                <w:sz w:val="3"/>
                <w:szCs w:val="3"/>
                <w:color w:val="auto"/>
              </w:rPr>
            </w:pPr>
          </w:p>
        </w:tc>
        <w:tc>
          <w:tcPr>
            <w:tcW w:w="1860" w:type="dxa"/>
            <w:vAlign w:val="bottom"/>
            <w:shd w:val="clear" w:color="auto" w:fill="0000EE"/>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8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40" w:type="dxa"/>
            <w:vAlign w:val="bottom"/>
            <w:gridSpan w:val="20"/>
          </w:tcPr>
          <w:p>
            <w:pPr>
              <w:spacing w:after="0" w:line="170" w:lineRule="exact"/>
              <w:rPr>
                <w:rFonts w:ascii="Arial" w:cs="Arial" w:eastAsia="Arial" w:hAnsi="Arial"/>
                <w:sz w:val="17"/>
                <w:szCs w:val="17"/>
                <w:color w:val="0000EE"/>
              </w:rPr>
            </w:pPr>
            <w:hyperlink w:anchor="page67">
              <w:r>
                <w:rPr>
                  <w:rFonts w:ascii="Arial" w:cs="Arial" w:eastAsia="Arial" w:hAnsi="Arial"/>
                  <w:sz w:val="17"/>
                  <w:szCs w:val="17"/>
                  <w:color w:val="0000EE"/>
                </w:rPr>
                <w:t>Item 3 — Quantitative and Qualitative Disclosures About Market Risk</w:t>
              </w:r>
            </w:hyperlink>
          </w:p>
        </w:tc>
        <w:tc>
          <w:tcPr>
            <w:tcW w:w="1060" w:type="dxa"/>
            <w:vAlign w:val="bottom"/>
          </w:tcPr>
          <w:p>
            <w:pPr>
              <w:jc w:val="center"/>
              <w:spacing w:after="0" w:line="170" w:lineRule="exact"/>
              <w:rPr>
                <w:sz w:val="20"/>
                <w:szCs w:val="20"/>
                <w:color w:val="auto"/>
              </w:rPr>
            </w:pPr>
            <w:r>
              <w:rPr>
                <w:rFonts w:ascii="Arial" w:cs="Arial" w:eastAsia="Arial" w:hAnsi="Arial"/>
                <w:sz w:val="17"/>
                <w:szCs w:val="17"/>
                <w:color w:val="auto"/>
                <w:w w:val="94"/>
              </w:rPr>
              <w:t>67</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44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280" w:type="dxa"/>
            <w:vAlign w:val="bottom"/>
            <w:tcBorders>
              <w:right w:val="single" w:sz="8" w:color="0000EE"/>
            </w:tcBorders>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520" w:type="dxa"/>
            <w:vAlign w:val="bottom"/>
            <w:shd w:val="clear" w:color="auto" w:fill="0000EE"/>
          </w:tcPr>
          <w:p>
            <w:pPr>
              <w:spacing w:after="0"/>
              <w:rPr>
                <w:sz w:val="2"/>
                <w:szCs w:val="2"/>
                <w:color w:val="auto"/>
              </w:rPr>
            </w:pPr>
          </w:p>
        </w:tc>
        <w:tc>
          <w:tcPr>
            <w:tcW w:w="1920" w:type="dxa"/>
            <w:vAlign w:val="bottom"/>
            <w:shd w:val="clear" w:color="auto" w:fill="0000EE"/>
          </w:tcPr>
          <w:p>
            <w:pPr>
              <w:spacing w:after="0"/>
              <w:rPr>
                <w:sz w:val="2"/>
                <w:szCs w:val="2"/>
                <w:color w:val="auto"/>
              </w:rPr>
            </w:pPr>
          </w:p>
        </w:tc>
        <w:tc>
          <w:tcPr>
            <w:tcW w:w="140" w:type="dxa"/>
            <w:vAlign w:val="bottom"/>
            <w:tcBorders>
              <w:left w:val="single" w:sz="8" w:color="0000EE"/>
            </w:tcBorders>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40" w:type="dxa"/>
            <w:vAlign w:val="bottom"/>
            <w:gridSpan w:val="20"/>
            <w:shd w:val="clear" w:color="auto" w:fill="CCEEFF"/>
          </w:tcPr>
          <w:p>
            <w:pPr>
              <w:spacing w:after="0" w:line="180" w:lineRule="exact"/>
              <w:rPr>
                <w:rFonts w:ascii="Arial" w:cs="Arial" w:eastAsia="Arial" w:hAnsi="Arial"/>
                <w:sz w:val="17"/>
                <w:szCs w:val="17"/>
                <w:color w:val="0000EE"/>
              </w:rPr>
            </w:pPr>
            <w:hyperlink w:anchor="page67">
              <w:r>
                <w:rPr>
                  <w:rFonts w:ascii="Arial" w:cs="Arial" w:eastAsia="Arial" w:hAnsi="Arial"/>
                  <w:sz w:val="17"/>
                  <w:szCs w:val="17"/>
                  <w:color w:val="0000EE"/>
                </w:rPr>
                <w:t>Item 4 — Controls and Procedures</w:t>
              </w:r>
            </w:hyperlink>
          </w:p>
        </w:tc>
        <w:tc>
          <w:tcPr>
            <w:tcW w:w="1060" w:type="dxa"/>
            <w:vAlign w:val="bottom"/>
            <w:shd w:val="clear" w:color="auto" w:fill="CCEEFF"/>
          </w:tcPr>
          <w:p>
            <w:pPr>
              <w:jc w:val="center"/>
              <w:spacing w:after="0" w:line="180" w:lineRule="exact"/>
              <w:rPr>
                <w:sz w:val="20"/>
                <w:szCs w:val="20"/>
                <w:color w:val="auto"/>
              </w:rPr>
            </w:pPr>
            <w:r>
              <w:rPr>
                <w:rFonts w:ascii="Arial" w:cs="Arial" w:eastAsia="Arial" w:hAnsi="Arial"/>
                <w:sz w:val="17"/>
                <w:szCs w:val="17"/>
                <w:color w:val="auto"/>
                <w:w w:val="94"/>
              </w:rPr>
              <w:t>67</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8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10340" w:type="dxa"/>
            <w:vAlign w:val="bottom"/>
            <w:gridSpan w:val="21"/>
            <w:shd w:val="clear" w:color="auto" w:fill="CCEEFF"/>
          </w:tcPr>
          <w:p>
            <w:pPr>
              <w:spacing w:after="0"/>
              <w:rPr>
                <w:sz w:val="20"/>
                <w:szCs w:val="20"/>
                <w:color w:val="auto"/>
              </w:rPr>
            </w:pPr>
            <w:r>
              <w:rPr>
                <w:rFonts w:ascii="Arial" w:cs="Arial" w:eastAsia="Arial" w:hAnsi="Arial"/>
                <w:sz w:val="17"/>
                <w:szCs w:val="17"/>
                <w:b w:val="1"/>
                <w:bCs w:val="1"/>
                <w:color w:val="auto"/>
              </w:rPr>
              <w:t>PART II — OTHER INFORMATION</w:t>
            </w:r>
          </w:p>
        </w:tc>
        <w:tc>
          <w:tcPr>
            <w:tcW w:w="10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68</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40" w:type="dxa"/>
            <w:vAlign w:val="bottom"/>
            <w:gridSpan w:val="20"/>
          </w:tcPr>
          <w:p>
            <w:pPr>
              <w:spacing w:after="0" w:line="170" w:lineRule="exact"/>
              <w:rPr>
                <w:rFonts w:ascii="Arial" w:cs="Arial" w:eastAsia="Arial" w:hAnsi="Arial"/>
                <w:sz w:val="17"/>
                <w:szCs w:val="17"/>
                <w:color w:val="0000EE"/>
              </w:rPr>
            </w:pPr>
            <w:hyperlink w:anchor="page68">
              <w:r>
                <w:rPr>
                  <w:rFonts w:ascii="Arial" w:cs="Arial" w:eastAsia="Arial" w:hAnsi="Arial"/>
                  <w:sz w:val="17"/>
                  <w:szCs w:val="17"/>
                  <w:color w:val="0000EE"/>
                </w:rPr>
                <w:t>Item 1 — Legal Proceedings</w:t>
              </w:r>
            </w:hyperlink>
          </w:p>
        </w:tc>
        <w:tc>
          <w:tcPr>
            <w:tcW w:w="1060" w:type="dxa"/>
            <w:vAlign w:val="bottom"/>
          </w:tcPr>
          <w:p>
            <w:pPr>
              <w:jc w:val="center"/>
              <w:spacing w:after="0" w:line="170" w:lineRule="exact"/>
              <w:rPr>
                <w:sz w:val="20"/>
                <w:szCs w:val="20"/>
                <w:color w:val="auto"/>
              </w:rPr>
            </w:pPr>
            <w:r>
              <w:rPr>
                <w:rFonts w:ascii="Arial" w:cs="Arial" w:eastAsia="Arial" w:hAnsi="Arial"/>
                <w:sz w:val="17"/>
                <w:szCs w:val="17"/>
                <w:color w:val="auto"/>
                <w:w w:val="94"/>
              </w:rPr>
              <w:t>68</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44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280" w:type="dxa"/>
            <w:vAlign w:val="bottom"/>
            <w:tcBorders>
              <w:right w:val="single" w:sz="8" w:color="0000EE"/>
            </w:tcBorders>
            <w:shd w:val="clear" w:color="auto" w:fill="0000EE"/>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40" w:type="dxa"/>
            <w:vAlign w:val="bottom"/>
            <w:gridSpan w:val="20"/>
            <w:shd w:val="clear" w:color="auto" w:fill="CCEEFF"/>
          </w:tcPr>
          <w:p>
            <w:pPr>
              <w:spacing w:after="0" w:line="180" w:lineRule="exact"/>
              <w:rPr>
                <w:rFonts w:ascii="Arial" w:cs="Arial" w:eastAsia="Arial" w:hAnsi="Arial"/>
                <w:sz w:val="17"/>
                <w:szCs w:val="17"/>
                <w:color w:val="0000EE"/>
              </w:rPr>
            </w:pPr>
            <w:hyperlink w:anchor="page68">
              <w:r>
                <w:rPr>
                  <w:rFonts w:ascii="Arial" w:cs="Arial" w:eastAsia="Arial" w:hAnsi="Arial"/>
                  <w:sz w:val="17"/>
                  <w:szCs w:val="17"/>
                  <w:color w:val="0000EE"/>
                </w:rPr>
                <w:t>Item 1A — Risk Factors</w:t>
              </w:r>
            </w:hyperlink>
          </w:p>
        </w:tc>
        <w:tc>
          <w:tcPr>
            <w:tcW w:w="1060" w:type="dxa"/>
            <w:vAlign w:val="bottom"/>
            <w:shd w:val="clear" w:color="auto" w:fill="CCEEFF"/>
          </w:tcPr>
          <w:p>
            <w:pPr>
              <w:jc w:val="center"/>
              <w:spacing w:after="0" w:line="180" w:lineRule="exact"/>
              <w:rPr>
                <w:sz w:val="20"/>
                <w:szCs w:val="20"/>
                <w:color w:val="auto"/>
              </w:rPr>
            </w:pPr>
            <w:r>
              <w:rPr>
                <w:rFonts w:ascii="Arial" w:cs="Arial" w:eastAsia="Arial" w:hAnsi="Arial"/>
                <w:sz w:val="17"/>
                <w:szCs w:val="17"/>
                <w:color w:val="auto"/>
                <w:w w:val="94"/>
              </w:rPr>
              <w:t>68</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32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260" w:type="dxa"/>
            <w:vAlign w:val="bottom"/>
            <w:shd w:val="clear" w:color="auto" w:fill="0000EE"/>
          </w:tcPr>
          <w:p>
            <w:pPr>
              <w:spacing w:after="0"/>
              <w:rPr>
                <w:sz w:val="3"/>
                <w:szCs w:val="3"/>
                <w:color w:val="auto"/>
              </w:rPr>
            </w:pPr>
          </w:p>
        </w:tc>
        <w:tc>
          <w:tcPr>
            <w:tcW w:w="40" w:type="dxa"/>
            <w:vAlign w:val="bottom"/>
            <w:shd w:val="clear" w:color="auto" w:fill="0000EE"/>
          </w:tcPr>
          <w:p>
            <w:pPr>
              <w:spacing w:after="0"/>
              <w:rPr>
                <w:sz w:val="3"/>
                <w:szCs w:val="3"/>
                <w:color w:val="auto"/>
              </w:rPr>
            </w:pPr>
          </w:p>
        </w:tc>
        <w:tc>
          <w:tcPr>
            <w:tcW w:w="120" w:type="dxa"/>
            <w:vAlign w:val="bottom"/>
            <w:tcBorders>
              <w:right w:val="single" w:sz="8" w:color="CCEEFF"/>
            </w:tcBorders>
            <w:shd w:val="clear" w:color="auto" w:fill="0000EE"/>
          </w:tcPr>
          <w:p>
            <w:pPr>
              <w:spacing w:after="0"/>
              <w:rPr>
                <w:sz w:val="3"/>
                <w:szCs w:val="3"/>
                <w:color w:val="auto"/>
              </w:rPr>
            </w:pPr>
          </w:p>
        </w:tc>
        <w:tc>
          <w:tcPr>
            <w:tcW w:w="440" w:type="dxa"/>
            <w:vAlign w:val="bottom"/>
            <w:shd w:val="clear" w:color="auto" w:fill="0000EE"/>
          </w:tcPr>
          <w:p>
            <w:pPr>
              <w:spacing w:after="0"/>
              <w:rPr>
                <w:sz w:val="3"/>
                <w:szCs w:val="3"/>
                <w:color w:val="auto"/>
              </w:rPr>
            </w:pPr>
          </w:p>
        </w:tc>
        <w:tc>
          <w:tcPr>
            <w:tcW w:w="260" w:type="dxa"/>
            <w:vAlign w:val="bottom"/>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280" w:type="dxa"/>
            <w:vAlign w:val="bottom"/>
            <w:tcBorders>
              <w:right w:val="single" w:sz="8" w:color="CCEEFF"/>
            </w:tcBorders>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1920" w:type="dxa"/>
            <w:vAlign w:val="bottom"/>
            <w:shd w:val="clear" w:color="auto" w:fill="CCEEFF"/>
          </w:tcPr>
          <w:p>
            <w:pPr>
              <w:spacing w:after="0"/>
              <w:rPr>
                <w:sz w:val="3"/>
                <w:szCs w:val="3"/>
                <w:color w:val="auto"/>
              </w:rPr>
            </w:pPr>
          </w:p>
        </w:tc>
        <w:tc>
          <w:tcPr>
            <w:tcW w:w="140" w:type="dxa"/>
            <w:vAlign w:val="bottom"/>
            <w:tcBorders>
              <w:left w:val="single" w:sz="8" w:color="CCEEFF"/>
            </w:tcBorders>
            <w:shd w:val="clear" w:color="auto" w:fill="CCEEFF"/>
          </w:tcPr>
          <w:p>
            <w:pPr>
              <w:spacing w:after="0"/>
              <w:rPr>
                <w:sz w:val="3"/>
                <w:szCs w:val="3"/>
                <w:color w:val="auto"/>
              </w:rPr>
            </w:pPr>
          </w:p>
        </w:tc>
        <w:tc>
          <w:tcPr>
            <w:tcW w:w="18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8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40" w:type="dxa"/>
            <w:vAlign w:val="bottom"/>
            <w:gridSpan w:val="20"/>
          </w:tcPr>
          <w:p>
            <w:pPr>
              <w:spacing w:after="0" w:line="170" w:lineRule="exact"/>
              <w:rPr>
                <w:rFonts w:ascii="Arial" w:cs="Arial" w:eastAsia="Arial" w:hAnsi="Arial"/>
                <w:sz w:val="17"/>
                <w:szCs w:val="17"/>
                <w:color w:val="0000EE"/>
              </w:rPr>
            </w:pPr>
            <w:hyperlink w:anchor="page68">
              <w:r>
                <w:rPr>
                  <w:rFonts w:ascii="Arial" w:cs="Arial" w:eastAsia="Arial" w:hAnsi="Arial"/>
                  <w:sz w:val="17"/>
                  <w:szCs w:val="17"/>
                  <w:color w:val="0000EE"/>
                </w:rPr>
                <w:t>Item 2 — Unregistered Sales of Equity Securities and Use of Proceeds</w:t>
              </w:r>
            </w:hyperlink>
          </w:p>
        </w:tc>
        <w:tc>
          <w:tcPr>
            <w:tcW w:w="1060" w:type="dxa"/>
            <w:vAlign w:val="bottom"/>
          </w:tcPr>
          <w:p>
            <w:pPr>
              <w:jc w:val="center"/>
              <w:spacing w:after="0" w:line="170" w:lineRule="exact"/>
              <w:rPr>
                <w:sz w:val="20"/>
                <w:szCs w:val="20"/>
                <w:color w:val="auto"/>
              </w:rPr>
            </w:pPr>
            <w:r>
              <w:rPr>
                <w:rFonts w:ascii="Arial" w:cs="Arial" w:eastAsia="Arial" w:hAnsi="Arial"/>
                <w:sz w:val="17"/>
                <w:szCs w:val="17"/>
                <w:color w:val="auto"/>
                <w:w w:val="94"/>
              </w:rPr>
              <w:t>68</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44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280" w:type="dxa"/>
            <w:vAlign w:val="bottom"/>
            <w:tcBorders>
              <w:right w:val="single" w:sz="8" w:color="0000EE"/>
            </w:tcBorders>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520" w:type="dxa"/>
            <w:vAlign w:val="bottom"/>
            <w:shd w:val="clear" w:color="auto" w:fill="0000EE"/>
          </w:tcPr>
          <w:p>
            <w:pPr>
              <w:spacing w:after="0"/>
              <w:rPr>
                <w:sz w:val="2"/>
                <w:szCs w:val="2"/>
                <w:color w:val="auto"/>
              </w:rPr>
            </w:pPr>
          </w:p>
        </w:tc>
        <w:tc>
          <w:tcPr>
            <w:tcW w:w="1920" w:type="dxa"/>
            <w:vAlign w:val="bottom"/>
            <w:shd w:val="clear" w:color="auto" w:fill="0000EE"/>
          </w:tcPr>
          <w:p>
            <w:pPr>
              <w:spacing w:after="0"/>
              <w:rPr>
                <w:sz w:val="2"/>
                <w:szCs w:val="2"/>
                <w:color w:val="auto"/>
              </w:rPr>
            </w:pPr>
          </w:p>
        </w:tc>
        <w:tc>
          <w:tcPr>
            <w:tcW w:w="1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40" w:type="dxa"/>
            <w:vAlign w:val="bottom"/>
            <w:gridSpan w:val="20"/>
            <w:shd w:val="clear" w:color="auto" w:fill="CCEEFF"/>
          </w:tcPr>
          <w:p>
            <w:pPr>
              <w:spacing w:after="0" w:line="180" w:lineRule="exact"/>
              <w:rPr>
                <w:rFonts w:ascii="Arial" w:cs="Arial" w:eastAsia="Arial" w:hAnsi="Arial"/>
                <w:sz w:val="17"/>
                <w:szCs w:val="17"/>
                <w:color w:val="0000EE"/>
              </w:rPr>
            </w:pPr>
            <w:hyperlink w:anchor="page68">
              <w:r>
                <w:rPr>
                  <w:rFonts w:ascii="Arial" w:cs="Arial" w:eastAsia="Arial" w:hAnsi="Arial"/>
                  <w:sz w:val="17"/>
                  <w:szCs w:val="17"/>
                  <w:color w:val="0000EE"/>
                </w:rPr>
                <w:t>Item 3 — Defaults Upon Senior Securities</w:t>
              </w:r>
            </w:hyperlink>
          </w:p>
        </w:tc>
        <w:tc>
          <w:tcPr>
            <w:tcW w:w="1060" w:type="dxa"/>
            <w:vAlign w:val="bottom"/>
            <w:shd w:val="clear" w:color="auto" w:fill="CCEEFF"/>
          </w:tcPr>
          <w:p>
            <w:pPr>
              <w:jc w:val="center"/>
              <w:spacing w:after="0" w:line="180" w:lineRule="exact"/>
              <w:rPr>
                <w:sz w:val="20"/>
                <w:szCs w:val="20"/>
                <w:color w:val="auto"/>
              </w:rPr>
            </w:pPr>
            <w:r>
              <w:rPr>
                <w:rFonts w:ascii="Arial" w:cs="Arial" w:eastAsia="Arial" w:hAnsi="Arial"/>
                <w:sz w:val="17"/>
                <w:szCs w:val="17"/>
                <w:color w:val="auto"/>
                <w:w w:val="94"/>
              </w:rPr>
              <w:t>68</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32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260" w:type="dxa"/>
            <w:vAlign w:val="bottom"/>
            <w:shd w:val="clear" w:color="auto" w:fill="0000EE"/>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20" w:type="dxa"/>
            <w:vAlign w:val="bottom"/>
            <w:tcBorders>
              <w:right w:val="single" w:sz="8" w:color="0000EE"/>
            </w:tcBorders>
            <w:shd w:val="clear" w:color="auto" w:fill="0000EE"/>
          </w:tcPr>
          <w:p>
            <w:pPr>
              <w:spacing w:after="0"/>
              <w:rPr>
                <w:sz w:val="3"/>
                <w:szCs w:val="3"/>
                <w:color w:val="auto"/>
              </w:rPr>
            </w:pPr>
          </w:p>
        </w:tc>
        <w:tc>
          <w:tcPr>
            <w:tcW w:w="440" w:type="dxa"/>
            <w:vAlign w:val="bottom"/>
            <w:shd w:val="clear" w:color="auto" w:fill="0000EE"/>
          </w:tcPr>
          <w:p>
            <w:pPr>
              <w:spacing w:after="0"/>
              <w:rPr>
                <w:sz w:val="3"/>
                <w:szCs w:val="3"/>
                <w:color w:val="auto"/>
              </w:rPr>
            </w:pPr>
          </w:p>
        </w:tc>
        <w:tc>
          <w:tcPr>
            <w:tcW w:w="260" w:type="dxa"/>
            <w:vAlign w:val="bottom"/>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280" w:type="dxa"/>
            <w:vAlign w:val="bottom"/>
            <w:tcBorders>
              <w:right w:val="single" w:sz="8" w:color="0000EE"/>
            </w:tcBorders>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240" w:type="dxa"/>
            <w:vAlign w:val="bottom"/>
            <w:shd w:val="clear" w:color="auto" w:fill="0000EE"/>
          </w:tcPr>
          <w:p>
            <w:pPr>
              <w:spacing w:after="0"/>
              <w:rPr>
                <w:sz w:val="3"/>
                <w:szCs w:val="3"/>
                <w:color w:val="auto"/>
              </w:rPr>
            </w:pPr>
          </w:p>
        </w:tc>
        <w:tc>
          <w:tcPr>
            <w:tcW w:w="520" w:type="dxa"/>
            <w:vAlign w:val="bottom"/>
            <w:shd w:val="clear" w:color="auto" w:fill="0000EE"/>
          </w:tcPr>
          <w:p>
            <w:pPr>
              <w:spacing w:after="0"/>
              <w:rPr>
                <w:sz w:val="3"/>
                <w:szCs w:val="3"/>
                <w:color w:val="auto"/>
              </w:rPr>
            </w:pPr>
          </w:p>
        </w:tc>
        <w:tc>
          <w:tcPr>
            <w:tcW w:w="1920" w:type="dxa"/>
            <w:vAlign w:val="bottom"/>
            <w:shd w:val="clear" w:color="auto" w:fill="CCEEFF"/>
          </w:tcPr>
          <w:p>
            <w:pPr>
              <w:spacing w:after="0"/>
              <w:rPr>
                <w:sz w:val="3"/>
                <w:szCs w:val="3"/>
                <w:color w:val="auto"/>
              </w:rPr>
            </w:pPr>
          </w:p>
        </w:tc>
        <w:tc>
          <w:tcPr>
            <w:tcW w:w="140" w:type="dxa"/>
            <w:vAlign w:val="bottom"/>
            <w:tcBorders>
              <w:left w:val="single" w:sz="8" w:color="CCEEFF"/>
            </w:tcBorders>
            <w:shd w:val="clear" w:color="auto" w:fill="CCEEFF"/>
          </w:tcPr>
          <w:p>
            <w:pPr>
              <w:spacing w:after="0"/>
              <w:rPr>
                <w:sz w:val="3"/>
                <w:szCs w:val="3"/>
                <w:color w:val="auto"/>
              </w:rPr>
            </w:pPr>
          </w:p>
        </w:tc>
        <w:tc>
          <w:tcPr>
            <w:tcW w:w="18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8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40" w:type="dxa"/>
            <w:vAlign w:val="bottom"/>
            <w:gridSpan w:val="20"/>
          </w:tcPr>
          <w:p>
            <w:pPr>
              <w:spacing w:after="0" w:line="170" w:lineRule="exact"/>
              <w:rPr>
                <w:rFonts w:ascii="Arial" w:cs="Arial" w:eastAsia="Arial" w:hAnsi="Arial"/>
                <w:sz w:val="17"/>
                <w:szCs w:val="17"/>
                <w:color w:val="0000EE"/>
              </w:rPr>
            </w:pPr>
            <w:hyperlink w:anchor="page68">
              <w:r>
                <w:rPr>
                  <w:rFonts w:ascii="Arial" w:cs="Arial" w:eastAsia="Arial" w:hAnsi="Arial"/>
                  <w:sz w:val="17"/>
                  <w:szCs w:val="17"/>
                  <w:color w:val="0000EE"/>
                </w:rPr>
                <w:t>Item 4 — Mine Safety Disclosures</w:t>
              </w:r>
            </w:hyperlink>
          </w:p>
        </w:tc>
        <w:tc>
          <w:tcPr>
            <w:tcW w:w="1060" w:type="dxa"/>
            <w:vAlign w:val="bottom"/>
          </w:tcPr>
          <w:p>
            <w:pPr>
              <w:jc w:val="center"/>
              <w:spacing w:after="0" w:line="170" w:lineRule="exact"/>
              <w:rPr>
                <w:sz w:val="20"/>
                <w:szCs w:val="20"/>
                <w:color w:val="auto"/>
              </w:rPr>
            </w:pPr>
            <w:r>
              <w:rPr>
                <w:rFonts w:ascii="Arial" w:cs="Arial" w:eastAsia="Arial" w:hAnsi="Arial"/>
                <w:sz w:val="17"/>
                <w:szCs w:val="17"/>
                <w:color w:val="auto"/>
                <w:w w:val="94"/>
              </w:rPr>
              <w:t>68</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44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280" w:type="dxa"/>
            <w:vAlign w:val="bottom"/>
            <w:tcBorders>
              <w:right w:val="single" w:sz="8" w:color="0000EE"/>
            </w:tcBorders>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5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40" w:type="dxa"/>
            <w:vAlign w:val="bottom"/>
            <w:gridSpan w:val="20"/>
            <w:shd w:val="clear" w:color="auto" w:fill="CCEEFF"/>
          </w:tcPr>
          <w:p>
            <w:pPr>
              <w:spacing w:after="0" w:line="180" w:lineRule="exact"/>
              <w:rPr>
                <w:rFonts w:ascii="Arial" w:cs="Arial" w:eastAsia="Arial" w:hAnsi="Arial"/>
                <w:sz w:val="17"/>
                <w:szCs w:val="17"/>
                <w:color w:val="0000EE"/>
              </w:rPr>
            </w:pPr>
            <w:hyperlink w:anchor="page68">
              <w:r>
                <w:rPr>
                  <w:rFonts w:ascii="Arial" w:cs="Arial" w:eastAsia="Arial" w:hAnsi="Arial"/>
                  <w:sz w:val="17"/>
                  <w:szCs w:val="17"/>
                  <w:color w:val="0000EE"/>
                </w:rPr>
                <w:t>Item 5 — Other Information</w:t>
              </w:r>
            </w:hyperlink>
          </w:p>
        </w:tc>
        <w:tc>
          <w:tcPr>
            <w:tcW w:w="1060" w:type="dxa"/>
            <w:vAlign w:val="bottom"/>
            <w:shd w:val="clear" w:color="auto" w:fill="CCEEFF"/>
          </w:tcPr>
          <w:p>
            <w:pPr>
              <w:jc w:val="center"/>
              <w:spacing w:after="0" w:line="180" w:lineRule="exact"/>
              <w:rPr>
                <w:sz w:val="20"/>
                <w:szCs w:val="20"/>
                <w:color w:val="auto"/>
              </w:rPr>
            </w:pPr>
            <w:r>
              <w:rPr>
                <w:rFonts w:ascii="Arial" w:cs="Arial" w:eastAsia="Arial" w:hAnsi="Arial"/>
                <w:sz w:val="17"/>
                <w:szCs w:val="17"/>
                <w:color w:val="auto"/>
                <w:w w:val="94"/>
              </w:rPr>
              <w:t>68</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32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260" w:type="dxa"/>
            <w:vAlign w:val="bottom"/>
            <w:shd w:val="clear" w:color="auto" w:fill="0000EE"/>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20" w:type="dxa"/>
            <w:vAlign w:val="bottom"/>
            <w:tcBorders>
              <w:right w:val="single" w:sz="8" w:color="0000EE"/>
            </w:tcBorders>
            <w:shd w:val="clear" w:color="auto" w:fill="0000EE"/>
          </w:tcPr>
          <w:p>
            <w:pPr>
              <w:spacing w:after="0"/>
              <w:rPr>
                <w:sz w:val="3"/>
                <w:szCs w:val="3"/>
                <w:color w:val="auto"/>
              </w:rPr>
            </w:pPr>
          </w:p>
        </w:tc>
        <w:tc>
          <w:tcPr>
            <w:tcW w:w="440" w:type="dxa"/>
            <w:vAlign w:val="bottom"/>
            <w:shd w:val="clear" w:color="auto" w:fill="0000EE"/>
          </w:tcPr>
          <w:p>
            <w:pPr>
              <w:spacing w:after="0"/>
              <w:rPr>
                <w:sz w:val="3"/>
                <w:szCs w:val="3"/>
                <w:color w:val="auto"/>
              </w:rPr>
            </w:pPr>
          </w:p>
        </w:tc>
        <w:tc>
          <w:tcPr>
            <w:tcW w:w="260" w:type="dxa"/>
            <w:vAlign w:val="bottom"/>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280" w:type="dxa"/>
            <w:vAlign w:val="bottom"/>
            <w:tcBorders>
              <w:right w:val="single" w:sz="8" w:color="CCEEFF"/>
            </w:tcBorders>
            <w:shd w:val="clear" w:color="auto" w:fill="0000EE"/>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1920" w:type="dxa"/>
            <w:vAlign w:val="bottom"/>
            <w:shd w:val="clear" w:color="auto" w:fill="CCEEFF"/>
          </w:tcPr>
          <w:p>
            <w:pPr>
              <w:spacing w:after="0"/>
              <w:rPr>
                <w:sz w:val="3"/>
                <w:szCs w:val="3"/>
                <w:color w:val="auto"/>
              </w:rPr>
            </w:pPr>
          </w:p>
        </w:tc>
        <w:tc>
          <w:tcPr>
            <w:tcW w:w="140" w:type="dxa"/>
            <w:vAlign w:val="bottom"/>
            <w:tcBorders>
              <w:left w:val="single" w:sz="8" w:color="CCEEFF"/>
            </w:tcBorders>
            <w:shd w:val="clear" w:color="auto" w:fill="CCEEFF"/>
          </w:tcPr>
          <w:p>
            <w:pPr>
              <w:spacing w:after="0"/>
              <w:rPr>
                <w:sz w:val="3"/>
                <w:szCs w:val="3"/>
                <w:color w:val="auto"/>
              </w:rPr>
            </w:pPr>
          </w:p>
        </w:tc>
        <w:tc>
          <w:tcPr>
            <w:tcW w:w="18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8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40" w:type="dxa"/>
            <w:vAlign w:val="bottom"/>
            <w:gridSpan w:val="20"/>
          </w:tcPr>
          <w:p>
            <w:pPr>
              <w:spacing w:after="0" w:line="170" w:lineRule="exact"/>
              <w:rPr>
                <w:rFonts w:ascii="Arial" w:cs="Arial" w:eastAsia="Arial" w:hAnsi="Arial"/>
                <w:sz w:val="17"/>
                <w:szCs w:val="17"/>
                <w:color w:val="0000EE"/>
              </w:rPr>
            </w:pPr>
            <w:hyperlink w:anchor="page69">
              <w:r>
                <w:rPr>
                  <w:rFonts w:ascii="Arial" w:cs="Arial" w:eastAsia="Arial" w:hAnsi="Arial"/>
                  <w:sz w:val="17"/>
                  <w:szCs w:val="17"/>
                  <w:color w:val="0000EE"/>
                </w:rPr>
                <w:t>Item 6 — Exhibits</w:t>
              </w:r>
            </w:hyperlink>
          </w:p>
        </w:tc>
        <w:tc>
          <w:tcPr>
            <w:tcW w:w="1060" w:type="dxa"/>
            <w:vAlign w:val="bottom"/>
          </w:tcPr>
          <w:p>
            <w:pPr>
              <w:jc w:val="center"/>
              <w:spacing w:after="0" w:line="170" w:lineRule="exact"/>
              <w:rPr>
                <w:sz w:val="20"/>
                <w:szCs w:val="20"/>
                <w:color w:val="auto"/>
              </w:rPr>
            </w:pPr>
            <w:r>
              <w:rPr>
                <w:rFonts w:ascii="Arial" w:cs="Arial" w:eastAsia="Arial" w:hAnsi="Arial"/>
                <w:sz w:val="17"/>
                <w:szCs w:val="17"/>
                <w:color w:val="auto"/>
                <w:w w:val="94"/>
              </w:rPr>
              <w:t>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00" w:type="dxa"/>
            <w:vAlign w:val="bottom"/>
            <w:gridSpan w:val="5"/>
            <w:shd w:val="clear" w:color="auto" w:fill="CCEEFF"/>
          </w:tcPr>
          <w:p>
            <w:pPr>
              <w:spacing w:after="0" w:line="189" w:lineRule="exact"/>
              <w:rPr>
                <w:rFonts w:ascii="Arial" w:cs="Arial" w:eastAsia="Arial" w:hAnsi="Arial"/>
                <w:sz w:val="17"/>
                <w:szCs w:val="17"/>
                <w:color w:val="0000EE"/>
              </w:rPr>
            </w:pPr>
            <w:hyperlink w:anchor="page70">
              <w:r>
                <w:rPr>
                  <w:rFonts w:ascii="Arial" w:cs="Arial" w:eastAsia="Arial" w:hAnsi="Arial"/>
                  <w:sz w:val="17"/>
                  <w:szCs w:val="17"/>
                  <w:color w:val="0000EE"/>
                </w:rPr>
                <w:t>Signatures</w:t>
              </w:r>
            </w:hyperlink>
          </w:p>
        </w:tc>
        <w:tc>
          <w:tcPr>
            <w:tcW w:w="120" w:type="dxa"/>
            <w:vAlign w:val="bottom"/>
            <w:tcBorders>
              <w:right w:val="single" w:sz="8" w:color="CCEEFF"/>
            </w:tcBorders>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80" w:type="dxa"/>
            <w:vAlign w:val="bottom"/>
            <w:tcBorders>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920" w:type="dxa"/>
            <w:vAlign w:val="bottom"/>
            <w:shd w:val="clear" w:color="auto" w:fill="CCEEFF"/>
          </w:tcPr>
          <w:p>
            <w:pPr>
              <w:spacing w:after="0"/>
              <w:rPr>
                <w:sz w:val="16"/>
                <w:szCs w:val="16"/>
                <w:color w:val="auto"/>
              </w:rPr>
            </w:pPr>
          </w:p>
        </w:tc>
        <w:tc>
          <w:tcPr>
            <w:tcW w:w="140" w:type="dxa"/>
            <w:vAlign w:val="bottom"/>
            <w:tcBorders>
              <w:left w:val="single" w:sz="8" w:color="CCEEFF"/>
            </w:tcBorders>
            <w:shd w:val="clear" w:color="auto" w:fill="CCEEFF"/>
          </w:tcPr>
          <w:p>
            <w:pPr>
              <w:spacing w:after="0"/>
              <w:rPr>
                <w:sz w:val="16"/>
                <w:szCs w:val="16"/>
                <w:color w:val="auto"/>
              </w:rPr>
            </w:pPr>
          </w:p>
        </w:tc>
        <w:tc>
          <w:tcPr>
            <w:tcW w:w="1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60" w:type="dxa"/>
            <w:vAlign w:val="bottom"/>
            <w:shd w:val="clear" w:color="auto" w:fill="CCEEFF"/>
          </w:tcPr>
          <w:p>
            <w:pPr>
              <w:jc w:val="center"/>
              <w:spacing w:after="0" w:line="189" w:lineRule="exact"/>
              <w:rPr>
                <w:sz w:val="20"/>
                <w:szCs w:val="20"/>
                <w:color w:val="auto"/>
              </w:rPr>
            </w:pPr>
            <w:r>
              <w:rPr>
                <w:rFonts w:ascii="Arial" w:cs="Arial" w:eastAsia="Arial" w:hAnsi="Arial"/>
                <w:sz w:val="17"/>
                <w:szCs w:val="17"/>
                <w:color w:val="auto"/>
                <w:w w:val="94"/>
              </w:rPr>
              <w:t>70</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300" w:type="dxa"/>
            <w:vAlign w:val="bottom"/>
            <w:shd w:val="clear" w:color="auto" w:fill="0000EE"/>
          </w:tcPr>
          <w:p>
            <w:pPr>
              <w:spacing w:after="0"/>
              <w:rPr>
                <w:sz w:val="3"/>
                <w:szCs w:val="3"/>
                <w:color w:val="auto"/>
              </w:rPr>
            </w:pPr>
          </w:p>
        </w:tc>
        <w:tc>
          <w:tcPr>
            <w:tcW w:w="32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20" w:type="dxa"/>
            <w:vAlign w:val="bottom"/>
            <w:tcBorders>
              <w:right w:val="single" w:sz="8" w:color="CCEEFF"/>
            </w:tcBorders>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80" w:type="dxa"/>
            <w:vAlign w:val="bottom"/>
            <w:tcBorders>
              <w:right w:val="single" w:sz="8" w:color="CCEEFF"/>
            </w:tcBorders>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1920" w:type="dxa"/>
            <w:vAlign w:val="bottom"/>
            <w:shd w:val="clear" w:color="auto" w:fill="CCEEFF"/>
          </w:tcPr>
          <w:p>
            <w:pPr>
              <w:spacing w:after="0"/>
              <w:rPr>
                <w:sz w:val="3"/>
                <w:szCs w:val="3"/>
                <w:color w:val="auto"/>
              </w:rPr>
            </w:pPr>
          </w:p>
        </w:tc>
        <w:tc>
          <w:tcPr>
            <w:tcW w:w="140" w:type="dxa"/>
            <w:vAlign w:val="bottom"/>
            <w:tcBorders>
              <w:left w:val="single" w:sz="8" w:color="CCEEFF"/>
            </w:tcBorders>
            <w:shd w:val="clear" w:color="auto" w:fill="CCEEFF"/>
          </w:tcPr>
          <w:p>
            <w:pPr>
              <w:spacing w:after="0"/>
              <w:rPr>
                <w:sz w:val="3"/>
                <w:szCs w:val="3"/>
                <w:color w:val="auto"/>
              </w:rPr>
            </w:pPr>
          </w:p>
        </w:tc>
        <w:tc>
          <w:tcPr>
            <w:tcW w:w="18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8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27" w:lineRule="exact"/>
        <w:rPr>
          <w:sz w:val="20"/>
          <w:szCs w:val="20"/>
          <w:color w:val="auto"/>
        </w:rPr>
      </w:pPr>
    </w:p>
    <w:p>
      <w:pPr>
        <w:spacing w:after="0"/>
        <w:rPr>
          <w:sz w:val="20"/>
          <w:szCs w:val="20"/>
          <w:color w:val="auto"/>
        </w:rPr>
      </w:pPr>
      <w:r>
        <w:rPr>
          <w:rFonts w:ascii="Arial" w:cs="Arial" w:eastAsia="Arial" w:hAnsi="Arial"/>
          <w:sz w:val="17"/>
          <w:szCs w:val="17"/>
          <w:color w:val="auto"/>
        </w:rPr>
        <w:t>EXHIBIT 3(a)</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EXHIBIT 3(b)</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EXHIBIT 10(a)</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EXHIBIT 10(b)</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EXHIBIT 31(a)</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EXHIBIT 31(b)</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EXHIBIT 32</w:t>
      </w:r>
    </w:p>
    <w:p>
      <w:pPr>
        <w:spacing w:after="0" w:line="13" w:lineRule="exact"/>
        <w:rPr>
          <w:sz w:val="20"/>
          <w:szCs w:val="20"/>
          <w:color w:val="auto"/>
        </w:rPr>
      </w:pPr>
    </w:p>
    <w:p>
      <w:pPr>
        <w:spacing w:after="0"/>
        <w:rPr>
          <w:sz w:val="20"/>
          <w:szCs w:val="20"/>
          <w:color w:val="auto"/>
        </w:rPr>
      </w:pPr>
      <w:r>
        <w:rPr>
          <w:rFonts w:ascii="Arial" w:cs="Arial" w:eastAsia="Arial" w:hAnsi="Arial"/>
          <w:sz w:val="21"/>
          <w:szCs w:val="21"/>
          <w:color w:val="auto"/>
        </w:rPr>
        <w:t>E</w:t>
      </w:r>
      <w:r>
        <w:rPr>
          <w:rFonts w:ascii="Arial" w:cs="Arial" w:eastAsia="Arial" w:hAnsi="Arial"/>
          <w:sz w:val="17"/>
          <w:szCs w:val="17"/>
          <w:color w:val="auto"/>
        </w:rPr>
        <w:t>XHIBIT 101.INS XBRL Instance Document</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EXHIBIT 101.SCH XBRL Taxonomy Extension Schema</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EXHIBIT 101.CAL XBRL Taxonomy Extension Calculation Linkbase</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EXHIBIT 101.DEF XBRL Taxonomy Extension Definition Linkbase</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EXHIBIT 101.LAB XBRL Taxonomy Extension Label Linkbase</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EXHIBIT 101.PRE XBRL Taxonomy Extension Presentation Linkbase</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2510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ectPr>
          <w:pgSz w:w="11900" w:h="16838" w:orient="portrait"/>
          <w:cols w:equalWidth="0" w:num="1">
            <w:col w:w="11420"/>
          </w:cols>
          <w:pgMar w:left="240" w:top="493" w:right="239" w:bottom="1440" w:gutter="0" w:footer="0" w:header="0"/>
        </w:sectPr>
      </w:pPr>
    </w:p>
    <w:bookmarkStart w:id="2" w:name="page3"/>
    <w:bookmarkEnd w:id="2"/>
    <w:p>
      <w:pPr>
        <w:spacing w:after="0"/>
        <w:rPr>
          <w:sz w:val="20"/>
          <w:szCs w:val="20"/>
          <w:color w:val="auto"/>
        </w:rPr>
      </w:pPr>
      <w:r>
        <w:rPr>
          <w:rFonts w:ascii="Arial" w:cs="Arial" w:eastAsia="Arial" w:hAnsi="Arial"/>
          <w:sz w:val="17"/>
          <w:szCs w:val="17"/>
          <w:b w:val="1"/>
          <w:bCs w:val="1"/>
          <w:u w:val="single" w:color="auto"/>
          <w:color w:val="auto"/>
        </w:rPr>
        <w:t>Forward-Looking Statements</w:t>
      </w:r>
    </w:p>
    <w:p>
      <w:pPr>
        <w:spacing w:after="0" w:line="227" w:lineRule="exact"/>
        <w:rPr>
          <w:sz w:val="20"/>
          <w:szCs w:val="20"/>
          <w:color w:val="auto"/>
        </w:rPr>
      </w:pPr>
    </w:p>
    <w:p>
      <w:pPr>
        <w:ind w:right="60"/>
        <w:spacing w:after="0" w:line="278" w:lineRule="auto"/>
        <w:rPr>
          <w:sz w:val="20"/>
          <w:szCs w:val="20"/>
          <w:color w:val="auto"/>
        </w:rPr>
      </w:pPr>
      <w:r>
        <w:rPr>
          <w:rFonts w:ascii="Arial" w:cs="Arial" w:eastAsia="Arial" w:hAnsi="Arial"/>
          <w:sz w:val="16"/>
          <w:szCs w:val="16"/>
          <w:color w:val="auto"/>
        </w:rPr>
        <w:t>This Quarterly Report contains forward-looking statements within the meaning of the Private Securities Litigation Reform Act of 1995. The events described in forward-looking statements contained in this Quarterly Report may not occur. Generally, these statements relate to business plans or strategies, projected or anticipated results or other consequences of our plans or strategies, projected or anticipated results from acquisitions to be made by us, or projections involving anticipated revenues, earnings, costs or other aspects of our operating results. The words “may,” “will,” “expect,” “believe,” “anticipate,” “project,” “plan,” “intend,” “estimate,” and “continue,” and their opposites and similar expressions are intended to identify forward-looking statements. We caution you that these statements are not guarantees of future performance or events and are subject to a number of uncertainties, risks and other influences, many of which are beyond our control, which may influence the accuracy of the statements and the projections upon which the statements are based. Factors which may cause actual results and outcomes to differ materially from those contained in the forward-looking statements include, but are not limited to the risks and uncertainties discussed in Part I Item 1A of our Annual Report on Form 10-K for the year ended December 31, 2018.</w:t>
      </w:r>
    </w:p>
    <w:p>
      <w:pPr>
        <w:spacing w:after="0" w:line="109"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Any one or more of these uncertainties, risks and other influences could materially affect our results of operations and whether forward-looking statements made by us ultimately prove to be accurate. Our actual results, performance and achievements could differ materially from those expressed or implied in these forward-looking statements. We undertake no obligation to publicly update or revise any forward-looking statements, whether from new information, future events or otherwise except as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2510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ectPr>
          <w:pgSz w:w="11900" w:h="16838" w:orient="portrait"/>
          <w:cols w:equalWidth="0" w:num="1">
            <w:col w:w="11420"/>
          </w:cols>
          <w:pgMar w:left="240" w:top="572"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7"/>
          <w:szCs w:val="17"/>
          <w:b w:val="1"/>
          <w:bCs w:val="1"/>
          <w:color w:val="auto"/>
        </w:rPr>
        <w:t xml:space="preserve">PART I. </w:t>
      </w:r>
      <w:r>
        <w:rPr>
          <w:rFonts w:ascii="Arial" w:cs="Arial" w:eastAsia="Arial" w:hAnsi="Arial"/>
          <w:sz w:val="17"/>
          <w:szCs w:val="17"/>
          <w:b w:val="1"/>
          <w:bCs w:val="1"/>
          <w:u w:val="single" w:color="auto"/>
          <w:color w:val="auto"/>
        </w:rPr>
        <w:t>FINANCIAL INFORMATION</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1. </w:t>
      </w:r>
      <w:r>
        <w:rPr>
          <w:rFonts w:ascii="Arial" w:cs="Arial" w:eastAsia="Arial" w:hAnsi="Arial"/>
          <w:sz w:val="17"/>
          <w:szCs w:val="17"/>
          <w:b w:val="1"/>
          <w:bCs w:val="1"/>
          <w:u w:val="single" w:color="auto"/>
          <w:color w:val="auto"/>
        </w:rPr>
        <w:t>Financial Statements</w:t>
      </w:r>
      <w:r>
        <w:rPr>
          <w:rFonts w:ascii="Arial" w:cs="Arial" w:eastAsia="Arial" w:hAnsi="Arial"/>
          <w:sz w:val="17"/>
          <w:szCs w:val="17"/>
          <w:color w:val="auto"/>
        </w:rPr>
        <w:t>.</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KINGSTONE COMPANIES, INC. AND SUBSIDIARIES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Condensed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165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pacing w:after="0" w:line="294" w:lineRule="exact"/>
        <w:rPr>
          <w:sz w:val="20"/>
          <w:szCs w:val="20"/>
          <w:color w:val="auto"/>
        </w:rPr>
      </w:pPr>
    </w:p>
    <w:p>
      <w:pPr>
        <w:ind w:left="9400"/>
        <w:spacing w:after="0"/>
        <w:tabs>
          <w:tab w:leader="none" w:pos="10420" w:val="left"/>
        </w:tabs>
        <w:rPr>
          <w:sz w:val="20"/>
          <w:szCs w:val="20"/>
          <w:color w:val="auto"/>
        </w:rPr>
      </w:pPr>
      <w:r>
        <w:rPr>
          <w:rFonts w:ascii="Arial" w:cs="Arial" w:eastAsia="Arial" w:hAnsi="Arial"/>
          <w:sz w:val="14"/>
          <w:szCs w:val="14"/>
          <w:b w:val="1"/>
          <w:bCs w:val="1"/>
          <w:color w:val="auto"/>
        </w:rPr>
        <w:t>March 31,</w:t>
      </w:r>
      <w:r>
        <w:rPr>
          <w:sz w:val="20"/>
          <w:szCs w:val="20"/>
          <w:color w:val="auto"/>
        </w:rPr>
        <w:tab/>
      </w:r>
      <w:r>
        <w:rPr>
          <w:rFonts w:ascii="Arial" w:cs="Arial" w:eastAsia="Arial" w:hAnsi="Arial"/>
          <w:sz w:val="12"/>
          <w:szCs w:val="12"/>
          <w:b w:val="1"/>
          <w:bCs w:val="1"/>
          <w:color w:val="auto"/>
        </w:rPr>
        <w:t>December 31,</w:t>
      </w:r>
    </w:p>
    <w:p>
      <w:pPr>
        <w:spacing w:after="0" w:line="48" w:lineRule="exact"/>
        <w:rPr>
          <w:sz w:val="20"/>
          <w:szCs w:val="20"/>
          <w:color w:val="auto"/>
        </w:rPr>
      </w:pPr>
    </w:p>
    <w:p>
      <w:pPr>
        <w:ind w:left="9580"/>
        <w:spacing w:after="0"/>
        <w:tabs>
          <w:tab w:leader="none" w:pos="1070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5808345</wp:posOffset>
            </wp:positionH>
            <wp:positionV relativeFrom="paragraph">
              <wp:posOffset>5715</wp:posOffset>
            </wp:positionV>
            <wp:extent cx="1445260" cy="165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45260" cy="16510"/>
                    </a:xfrm>
                    <a:prstGeom prst="rect">
                      <a:avLst/>
                    </a:prstGeom>
                    <a:noFill/>
                  </pic:spPr>
                </pic:pic>
              </a:graphicData>
            </a:graphic>
          </wp:anchor>
        </w:drawing>
      </w:r>
    </w:p>
    <w:p>
      <w:pPr>
        <w:spacing w:after="0" w:line="58" w:lineRule="exact"/>
        <w:rPr>
          <w:sz w:val="20"/>
          <w:szCs w:val="20"/>
          <w:color w:val="auto"/>
        </w:rPr>
      </w:pPr>
    </w:p>
    <w:p>
      <w:pPr>
        <w:ind w:left="9380"/>
        <w:spacing w:after="0"/>
        <w:rPr>
          <w:sz w:val="20"/>
          <w:szCs w:val="20"/>
          <w:color w:val="auto"/>
        </w:rPr>
      </w:pPr>
      <w:r>
        <w:rPr>
          <w:rFonts w:ascii="Arial" w:cs="Arial" w:eastAsia="Arial" w:hAnsi="Arial"/>
          <w:sz w:val="14"/>
          <w:szCs w:val="14"/>
          <w:color w:val="auto"/>
        </w:rPr>
        <w:t>(unaudited)</w:t>
      </w:r>
    </w:p>
    <w:p>
      <w:pPr>
        <w:sectPr>
          <w:pgSz w:w="11900" w:h="16838" w:orient="portrait"/>
          <w:cols w:equalWidth="0" w:num="1">
            <w:col w:w="11420"/>
          </w:cols>
          <w:pgMar w:left="240" w:top="546" w:right="239" w:bottom="1440" w:gutter="0" w:footer="0" w:header="0"/>
        </w:sectPr>
      </w:pP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251065" cy="2825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1065" cy="282575"/>
                    </a:xfrm>
                    <a:prstGeom prst="rect">
                      <a:avLst/>
                    </a:prstGeom>
                    <a:noFill/>
                  </pic:spPr>
                </pic:pic>
              </a:graphicData>
            </a:graphic>
          </wp:anchor>
        </w:drawing>
      </w:r>
    </w:p>
    <w:p>
      <w:pPr>
        <w:spacing w:after="0" w:line="22" w:lineRule="exact"/>
        <w:rPr>
          <w:sz w:val="20"/>
          <w:szCs w:val="20"/>
          <w:color w:val="auto"/>
        </w:rPr>
      </w:pPr>
    </w:p>
    <w:p>
      <w:pPr>
        <w:ind w:left="320" w:right="420" w:hanging="156"/>
        <w:spacing w:after="0" w:line="273" w:lineRule="auto"/>
        <w:rPr>
          <w:sz w:val="20"/>
          <w:szCs w:val="20"/>
          <w:color w:val="auto"/>
        </w:rPr>
      </w:pPr>
      <w:r>
        <w:rPr>
          <w:rFonts w:ascii="Arial" w:cs="Arial" w:eastAsia="Arial" w:hAnsi="Arial"/>
          <w:sz w:val="17"/>
          <w:szCs w:val="17"/>
          <w:color w:val="auto"/>
        </w:rPr>
        <w:t>Fixed-maturity securities, held-to-maturity, at amortized cost (fair value of $4,076,611 at March 31, 2019 and $4,426,416 at December 31, 2018)</w:t>
      </w:r>
    </w:p>
    <w:p>
      <w:pPr>
        <w:ind w:left="320" w:hanging="156"/>
        <w:spacing w:after="0" w:line="273" w:lineRule="auto"/>
        <w:rPr>
          <w:sz w:val="20"/>
          <w:szCs w:val="20"/>
          <w:color w:val="auto"/>
        </w:rPr>
      </w:pPr>
      <w:r>
        <w:rPr>
          <w:rFonts w:ascii="Arial" w:cs="Arial" w:eastAsia="Arial" w:hAnsi="Arial"/>
          <w:sz w:val="17"/>
          <w:szCs w:val="17"/>
          <w:color w:val="auto"/>
        </w:rPr>
        <w:t>Fixed-maturity securities, available-for-sale, at fair value (amortized cost of $159,919,750 at March 31, 2019 and $155,431,261 at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wp:posOffset>
            </wp:positionV>
            <wp:extent cx="7251065" cy="1492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1065" cy="149225"/>
                    </a:xfrm>
                    <a:prstGeom prst="rect">
                      <a:avLst/>
                    </a:prstGeom>
                    <a:noFill/>
                  </pic:spPr>
                </pic:pic>
              </a:graphicData>
            </a:graphic>
          </wp:anchor>
        </w:drawing>
      </w:r>
    </w:p>
    <w:p>
      <w:pPr>
        <w:ind w:left="160" w:right="1300"/>
        <w:spacing w:after="0" w:line="273" w:lineRule="auto"/>
        <w:rPr>
          <w:sz w:val="20"/>
          <w:szCs w:val="20"/>
          <w:color w:val="auto"/>
        </w:rPr>
      </w:pPr>
      <w:r>
        <w:rPr>
          <w:rFonts w:ascii="Arial" w:cs="Arial" w:eastAsia="Arial" w:hAnsi="Arial"/>
          <w:sz w:val="17"/>
          <w:szCs w:val="17"/>
          <w:color w:val="auto"/>
        </w:rPr>
        <w:t>Equity securities, at fair value (cost of $19,646,481 at March 31, 2019 and $18,305,986 at December 31, 2018) Other investments</w:t>
      </w:r>
    </w:p>
    <w:p>
      <w:pPr>
        <w:ind w:left="320"/>
        <w:spacing w:after="0"/>
        <w:rPr>
          <w:sz w:val="20"/>
          <w:szCs w:val="20"/>
          <w:color w:val="auto"/>
        </w:rPr>
      </w:pPr>
      <w:r>
        <w:rPr>
          <w:rFonts w:ascii="Arial" w:cs="Arial" w:eastAsia="Arial" w:hAnsi="Arial"/>
          <w:sz w:val="17"/>
          <w:szCs w:val="17"/>
          <w:color w:val="auto"/>
        </w:rPr>
        <w:t>Total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-118110</wp:posOffset>
            </wp:positionV>
            <wp:extent cx="7251065" cy="132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1065" cy="132715"/>
                    </a:xfrm>
                    <a:prstGeom prst="rect">
                      <a:avLst/>
                    </a:prstGeom>
                    <a:noFill/>
                  </pic:spPr>
                </pic:pic>
              </a:graphicData>
            </a:graphic>
          </wp:anchor>
        </w:drawing>
      </w:r>
    </w:p>
    <w:p>
      <w:pPr>
        <w:ind w:left="160"/>
        <w:spacing w:after="0"/>
        <w:rPr>
          <w:sz w:val="20"/>
          <w:szCs w:val="20"/>
          <w:color w:val="auto"/>
        </w:rPr>
      </w:pPr>
      <w:r>
        <w:rPr>
          <w:rFonts w:ascii="Arial" w:cs="Arial" w:eastAsia="Arial" w:hAnsi="Arial"/>
          <w:sz w:val="17"/>
          <w:szCs w:val="17"/>
          <w:color w:val="auto"/>
        </w:rPr>
        <w:t>Cash and cash equivalents</w:t>
      </w:r>
    </w:p>
    <w:p>
      <w:pPr>
        <w:spacing w:after="0" w:line="14" w:lineRule="exact"/>
        <w:rPr>
          <w:sz w:val="20"/>
          <w:szCs w:val="20"/>
          <w:color w:val="auto"/>
        </w:rPr>
      </w:pPr>
    </w:p>
    <w:p>
      <w:pPr>
        <w:ind w:left="160"/>
        <w:spacing w:after="0"/>
        <w:rPr>
          <w:sz w:val="20"/>
          <w:szCs w:val="20"/>
          <w:color w:val="auto"/>
        </w:rPr>
      </w:pPr>
      <w:r>
        <w:rPr>
          <w:rFonts w:ascii="Arial" w:cs="Arial" w:eastAsia="Arial" w:hAnsi="Arial"/>
          <w:sz w:val="17"/>
          <w:szCs w:val="17"/>
          <w:color w:val="auto"/>
        </w:rPr>
        <w:t>Premiums receivable,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-121920</wp:posOffset>
            </wp:positionV>
            <wp:extent cx="7251065" cy="132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1065" cy="132715"/>
                    </a:xfrm>
                    <a:prstGeom prst="rect">
                      <a:avLst/>
                    </a:prstGeom>
                    <a:noFill/>
                  </pic:spPr>
                </pic:pic>
              </a:graphicData>
            </a:graphic>
          </wp:anchor>
        </w:drawing>
      </w:r>
    </w:p>
    <w:p>
      <w:pPr>
        <w:ind w:left="160"/>
        <w:spacing w:after="0"/>
        <w:rPr>
          <w:sz w:val="20"/>
          <w:szCs w:val="20"/>
          <w:color w:val="auto"/>
        </w:rPr>
      </w:pPr>
      <w:r>
        <w:rPr>
          <w:rFonts w:ascii="Arial" w:cs="Arial" w:eastAsia="Arial" w:hAnsi="Arial"/>
          <w:sz w:val="17"/>
          <w:szCs w:val="17"/>
          <w:color w:val="auto"/>
        </w:rPr>
        <w:t>Reinsurance receivables, net</w:t>
      </w:r>
    </w:p>
    <w:p>
      <w:pPr>
        <w:spacing w:after="0" w:line="14" w:lineRule="exact"/>
        <w:rPr>
          <w:sz w:val="20"/>
          <w:szCs w:val="20"/>
          <w:color w:val="auto"/>
        </w:rPr>
      </w:pPr>
    </w:p>
    <w:p>
      <w:pPr>
        <w:ind w:left="160"/>
        <w:spacing w:after="0"/>
        <w:rPr>
          <w:sz w:val="20"/>
          <w:szCs w:val="20"/>
          <w:color w:val="auto"/>
        </w:rPr>
      </w:pPr>
      <w:r>
        <w:rPr>
          <w:rFonts w:ascii="Arial" w:cs="Arial" w:eastAsia="Arial" w:hAnsi="Arial"/>
          <w:sz w:val="17"/>
          <w:szCs w:val="17"/>
          <w:color w:val="auto"/>
        </w:rPr>
        <w:t>Deferred policy acquisition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-121920</wp:posOffset>
            </wp:positionV>
            <wp:extent cx="7251065" cy="132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1065" cy="132715"/>
                    </a:xfrm>
                    <a:prstGeom prst="rect">
                      <a:avLst/>
                    </a:prstGeom>
                    <a:noFill/>
                  </pic:spPr>
                </pic:pic>
              </a:graphicData>
            </a:graphic>
          </wp:anchor>
        </w:drawing>
      </w:r>
    </w:p>
    <w:p>
      <w:pPr>
        <w:ind w:left="160"/>
        <w:spacing w:after="0"/>
        <w:rPr>
          <w:sz w:val="20"/>
          <w:szCs w:val="20"/>
          <w:color w:val="auto"/>
        </w:rPr>
      </w:pPr>
      <w:r>
        <w:rPr>
          <w:rFonts w:ascii="Arial" w:cs="Arial" w:eastAsia="Arial" w:hAnsi="Arial"/>
          <w:sz w:val="17"/>
          <w:szCs w:val="17"/>
          <w:color w:val="auto"/>
        </w:rPr>
        <w:t>Intangible assets, net</w:t>
      </w:r>
    </w:p>
    <w:p>
      <w:pPr>
        <w:spacing w:after="0" w:line="14" w:lineRule="exact"/>
        <w:rPr>
          <w:sz w:val="20"/>
          <w:szCs w:val="20"/>
          <w:color w:val="auto"/>
        </w:rPr>
      </w:pPr>
    </w:p>
    <w:p>
      <w:pPr>
        <w:ind w:left="160"/>
        <w:spacing w:after="0"/>
        <w:rPr>
          <w:sz w:val="20"/>
          <w:szCs w:val="20"/>
          <w:color w:val="auto"/>
        </w:rPr>
      </w:pPr>
      <w:r>
        <w:rPr>
          <w:rFonts w:ascii="Arial" w:cs="Arial" w:eastAsia="Arial" w:hAnsi="Arial"/>
          <w:sz w:val="17"/>
          <w:szCs w:val="17"/>
          <w:color w:val="auto"/>
        </w:rPr>
        <w:t>Property and equipment,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-121920</wp:posOffset>
            </wp:positionV>
            <wp:extent cx="7251065" cy="1327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1065" cy="132715"/>
                    </a:xfrm>
                    <a:prstGeom prst="rect">
                      <a:avLst/>
                    </a:prstGeom>
                    <a:noFill/>
                  </pic:spPr>
                </pic:pic>
              </a:graphicData>
            </a:graphic>
          </wp:anchor>
        </w:drawing>
      </w:r>
    </w:p>
    <w:p>
      <w:pPr>
        <w:ind w:left="160"/>
        <w:spacing w:after="0"/>
        <w:rPr>
          <w:sz w:val="20"/>
          <w:szCs w:val="20"/>
          <w:color w:val="auto"/>
        </w:rPr>
      </w:pPr>
      <w:r>
        <w:rPr>
          <w:rFonts w:ascii="Arial" w:cs="Arial" w:eastAsia="Arial" w:hAnsi="Arial"/>
          <w:sz w:val="17"/>
          <w:szCs w:val="17"/>
          <w:color w:val="auto"/>
        </w:rPr>
        <w:t>Deferred income taxes, net</w:t>
      </w:r>
    </w:p>
    <w:p>
      <w:pPr>
        <w:spacing w:after="0" w:line="14" w:lineRule="exact"/>
        <w:rPr>
          <w:sz w:val="20"/>
          <w:szCs w:val="20"/>
          <w:color w:val="auto"/>
        </w:rPr>
      </w:pPr>
    </w:p>
    <w:p>
      <w:pPr>
        <w:ind w:left="160"/>
        <w:spacing w:after="0"/>
        <w:rPr>
          <w:sz w:val="20"/>
          <w:szCs w:val="20"/>
          <w:color w:val="auto"/>
        </w:rPr>
      </w:pPr>
      <w:r>
        <w:rPr>
          <w:rFonts w:ascii="Arial" w:cs="Arial" w:eastAsia="Arial" w:hAnsi="Arial"/>
          <w:sz w:val="17"/>
          <w:szCs w:val="17"/>
          <w:color w:val="auto"/>
        </w:rPr>
        <w:t>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-121920</wp:posOffset>
            </wp:positionV>
            <wp:extent cx="7251065" cy="1492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1065" cy="149225"/>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Total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50165</wp:posOffset>
            </wp:positionV>
            <wp:extent cx="7251065" cy="1327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1065" cy="132715"/>
                    </a:xfrm>
                    <a:prstGeom prst="rect">
                      <a:avLst/>
                    </a:prstGeom>
                    <a:noFill/>
                  </pic:spPr>
                </pic:pic>
              </a:graphicData>
            </a:graphic>
          </wp:anchor>
        </w:drawing>
      </w: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Liabilities</w:t>
      </w:r>
    </w:p>
    <w:p>
      <w:pPr>
        <w:spacing w:after="0" w:line="24" w:lineRule="exact"/>
        <w:rPr>
          <w:sz w:val="20"/>
          <w:szCs w:val="20"/>
          <w:color w:val="auto"/>
        </w:rPr>
      </w:pPr>
    </w:p>
    <w:p>
      <w:pPr>
        <w:ind w:left="160"/>
        <w:spacing w:after="0"/>
        <w:rPr>
          <w:sz w:val="20"/>
          <w:szCs w:val="20"/>
          <w:color w:val="auto"/>
        </w:rPr>
      </w:pPr>
      <w:r>
        <w:rPr>
          <w:rFonts w:ascii="Arial" w:cs="Arial" w:eastAsia="Arial" w:hAnsi="Arial"/>
          <w:sz w:val="17"/>
          <w:szCs w:val="17"/>
          <w:color w:val="auto"/>
        </w:rPr>
        <w:t>Loss and loss adjustment expense reserves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-121920</wp:posOffset>
            </wp:positionV>
            <wp:extent cx="7251065" cy="1327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1065" cy="132715"/>
                    </a:xfrm>
                    <a:prstGeom prst="rect">
                      <a:avLst/>
                    </a:prstGeom>
                    <a:noFill/>
                  </pic:spPr>
                </pic:pic>
              </a:graphicData>
            </a:graphic>
          </wp:anchor>
        </w:drawing>
      </w:r>
    </w:p>
    <w:p>
      <w:pPr>
        <w:ind w:left="160"/>
        <w:spacing w:after="0"/>
        <w:rPr>
          <w:sz w:val="20"/>
          <w:szCs w:val="20"/>
          <w:color w:val="auto"/>
        </w:rPr>
      </w:pPr>
      <w:r>
        <w:rPr>
          <w:rFonts w:ascii="Arial" w:cs="Arial" w:eastAsia="Arial" w:hAnsi="Arial"/>
          <w:sz w:val="17"/>
          <w:szCs w:val="17"/>
          <w:color w:val="auto"/>
        </w:rPr>
        <w:t>Unearned premiums</w:t>
      </w:r>
    </w:p>
    <w:p>
      <w:pPr>
        <w:spacing w:after="0" w:line="14" w:lineRule="exact"/>
        <w:rPr>
          <w:sz w:val="20"/>
          <w:szCs w:val="20"/>
          <w:color w:val="auto"/>
        </w:rPr>
      </w:pPr>
    </w:p>
    <w:p>
      <w:pPr>
        <w:ind w:left="160"/>
        <w:spacing w:after="0"/>
        <w:rPr>
          <w:sz w:val="20"/>
          <w:szCs w:val="20"/>
          <w:color w:val="auto"/>
        </w:rPr>
      </w:pPr>
      <w:r>
        <w:rPr>
          <w:rFonts w:ascii="Arial" w:cs="Arial" w:eastAsia="Arial" w:hAnsi="Arial"/>
          <w:sz w:val="17"/>
          <w:szCs w:val="17"/>
          <w:color w:val="auto"/>
        </w:rPr>
        <w:t>Advance premiums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-121920</wp:posOffset>
            </wp:positionV>
            <wp:extent cx="7251065" cy="1327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1065" cy="132715"/>
                    </a:xfrm>
                    <a:prstGeom prst="rect">
                      <a:avLst/>
                    </a:prstGeom>
                    <a:noFill/>
                  </pic:spPr>
                </pic:pic>
              </a:graphicData>
            </a:graphic>
          </wp:anchor>
        </w:drawing>
      </w:r>
    </w:p>
    <w:p>
      <w:pPr>
        <w:ind w:left="160"/>
        <w:spacing w:after="0"/>
        <w:rPr>
          <w:sz w:val="20"/>
          <w:szCs w:val="20"/>
          <w:color w:val="auto"/>
        </w:rPr>
      </w:pPr>
      <w:r>
        <w:rPr>
          <w:rFonts w:ascii="Arial" w:cs="Arial" w:eastAsia="Arial" w:hAnsi="Arial"/>
          <w:sz w:val="17"/>
          <w:szCs w:val="17"/>
          <w:color w:val="auto"/>
        </w:rPr>
        <w:t>Reinsurance balances payable</w:t>
      </w:r>
    </w:p>
    <w:p>
      <w:pPr>
        <w:spacing w:after="0" w:line="14" w:lineRule="exact"/>
        <w:rPr>
          <w:sz w:val="20"/>
          <w:szCs w:val="20"/>
          <w:color w:val="auto"/>
        </w:rPr>
      </w:pPr>
    </w:p>
    <w:p>
      <w:pPr>
        <w:ind w:left="160"/>
        <w:spacing w:after="0"/>
        <w:rPr>
          <w:sz w:val="20"/>
          <w:szCs w:val="20"/>
          <w:color w:val="auto"/>
        </w:rPr>
      </w:pPr>
      <w:r>
        <w:rPr>
          <w:rFonts w:ascii="Arial" w:cs="Arial" w:eastAsia="Arial" w:hAnsi="Arial"/>
          <w:sz w:val="17"/>
          <w:szCs w:val="17"/>
          <w:color w:val="auto"/>
        </w:rPr>
        <w:t>Deferred ceding commission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-121920</wp:posOffset>
            </wp:positionV>
            <wp:extent cx="7251065" cy="1327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1065" cy="132715"/>
                    </a:xfrm>
                    <a:prstGeom prst="rect">
                      <a:avLst/>
                    </a:prstGeom>
                    <a:noFill/>
                  </pic:spPr>
                </pic:pic>
              </a:graphicData>
            </a:graphic>
          </wp:anchor>
        </w:drawing>
      </w:r>
    </w:p>
    <w:p>
      <w:pPr>
        <w:ind w:left="160"/>
        <w:spacing w:after="0"/>
        <w:rPr>
          <w:sz w:val="20"/>
          <w:szCs w:val="20"/>
          <w:color w:val="auto"/>
        </w:rPr>
      </w:pPr>
      <w:r>
        <w:rPr>
          <w:rFonts w:ascii="Arial" w:cs="Arial" w:eastAsia="Arial" w:hAnsi="Arial"/>
          <w:sz w:val="17"/>
          <w:szCs w:val="17"/>
          <w:color w:val="auto"/>
        </w:rPr>
        <w:t>Accounts payable, accrued expenses and other liabilities</w:t>
      </w:r>
    </w:p>
    <w:p>
      <w:pPr>
        <w:spacing w:after="0" w:line="14" w:lineRule="exact"/>
        <w:rPr>
          <w:sz w:val="20"/>
          <w:szCs w:val="20"/>
          <w:color w:val="auto"/>
        </w:rPr>
      </w:pPr>
    </w:p>
    <w:p>
      <w:pPr>
        <w:ind w:left="160"/>
        <w:spacing w:after="0"/>
        <w:rPr>
          <w:sz w:val="20"/>
          <w:szCs w:val="20"/>
          <w:color w:val="auto"/>
        </w:rPr>
      </w:pPr>
      <w:r>
        <w:rPr>
          <w:rFonts w:ascii="Arial" w:cs="Arial" w:eastAsia="Arial" w:hAnsi="Arial"/>
          <w:sz w:val="17"/>
          <w:szCs w:val="17"/>
          <w:color w:val="auto"/>
        </w:rPr>
        <w:t>Income taxes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-121920</wp:posOffset>
            </wp:positionV>
            <wp:extent cx="7251065" cy="1327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1065" cy="132715"/>
                    </a:xfrm>
                    <a:prstGeom prst="rect">
                      <a:avLst/>
                    </a:prstGeom>
                    <a:noFill/>
                  </pic:spPr>
                </pic:pic>
              </a:graphicData>
            </a:graphic>
          </wp:anchor>
        </w:drawing>
      </w:r>
    </w:p>
    <w:p>
      <w:pPr>
        <w:ind w:left="160"/>
        <w:spacing w:after="0"/>
        <w:rPr>
          <w:sz w:val="20"/>
          <w:szCs w:val="20"/>
          <w:color w:val="auto"/>
        </w:rPr>
      </w:pPr>
      <w:r>
        <w:rPr>
          <w:rFonts w:ascii="Arial" w:cs="Arial" w:eastAsia="Arial" w:hAnsi="Arial"/>
          <w:sz w:val="17"/>
          <w:szCs w:val="17"/>
          <w:color w:val="auto"/>
        </w:rPr>
        <w:t>Deferred income taxes, net</w:t>
      </w:r>
    </w:p>
    <w:p>
      <w:pPr>
        <w:spacing w:after="0" w:line="14" w:lineRule="exact"/>
        <w:rPr>
          <w:sz w:val="20"/>
          <w:szCs w:val="20"/>
          <w:color w:val="auto"/>
        </w:rPr>
      </w:pPr>
    </w:p>
    <w:p>
      <w:pPr>
        <w:ind w:left="160"/>
        <w:spacing w:after="0"/>
        <w:rPr>
          <w:sz w:val="20"/>
          <w:szCs w:val="20"/>
          <w:color w:val="auto"/>
        </w:rPr>
      </w:pPr>
      <w:r>
        <w:rPr>
          <w:rFonts w:ascii="Arial" w:cs="Arial" w:eastAsia="Arial" w:hAnsi="Arial"/>
          <w:sz w:val="17"/>
          <w:szCs w:val="17"/>
          <w:color w:val="auto"/>
        </w:rPr>
        <w:t>Long-term debt,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-121920</wp:posOffset>
            </wp:positionV>
            <wp:extent cx="7251065" cy="1492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1065" cy="149225"/>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Total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33655</wp:posOffset>
            </wp:positionV>
            <wp:extent cx="7251065" cy="1327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1065" cy="132715"/>
                    </a:xfrm>
                    <a:prstGeom prst="rect">
                      <a:avLst/>
                    </a:prstGeom>
                    <a:noFill/>
                  </pic:spPr>
                </pic:pic>
              </a:graphicData>
            </a:graphic>
          </wp:anchor>
        </w:drawing>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Commitments and Contingencies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8" w:lineRule="exact"/>
        <w:rPr>
          <w:sz w:val="20"/>
          <w:szCs w:val="20"/>
          <w:color w:val="auto"/>
        </w:rPr>
      </w:pPr>
    </w:p>
    <w:p>
      <w:pPr>
        <w:spacing w:after="0"/>
        <w:tabs>
          <w:tab w:leader="none" w:pos="220" w:val="left"/>
          <w:tab w:leader="none" w:pos="1120" w:val="left"/>
          <w:tab w:leader="none" w:pos="1340" w:val="left"/>
        </w:tabs>
        <w:rPr>
          <w:sz w:val="20"/>
          <w:szCs w:val="20"/>
          <w:color w:val="auto"/>
        </w:rPr>
      </w:pPr>
      <w:r>
        <w:rPr>
          <w:rFonts w:ascii="Arial" w:cs="Arial" w:eastAsia="Arial" w:hAnsi="Arial"/>
          <w:sz w:val="17"/>
          <w:szCs w:val="17"/>
          <w:color w:val="auto"/>
        </w:rPr>
        <w:t>$</w:t>
        <w:tab/>
        <w:t>3,824,620</w:t>
        <w:tab/>
        <w:t>$</w:t>
      </w:r>
      <w:r>
        <w:rPr>
          <w:sz w:val="20"/>
          <w:szCs w:val="20"/>
          <w:color w:val="auto"/>
        </w:rPr>
        <w:tab/>
      </w:r>
      <w:r>
        <w:rPr>
          <w:rFonts w:ascii="Arial" w:cs="Arial" w:eastAsia="Arial" w:hAnsi="Arial"/>
          <w:sz w:val="15"/>
          <w:szCs w:val="15"/>
          <w:color w:val="auto"/>
        </w:rPr>
        <w:t>4,222,855</w:t>
      </w:r>
    </w:p>
    <w:p>
      <w:pPr>
        <w:spacing w:after="0" w:line="249" w:lineRule="exact"/>
        <w:rPr>
          <w:sz w:val="20"/>
          <w:szCs w:val="20"/>
          <w:color w:val="auto"/>
        </w:rPr>
      </w:pPr>
    </w:p>
    <w:p>
      <w:pPr>
        <w:ind w:left="60"/>
        <w:spacing w:after="0"/>
        <w:tabs>
          <w:tab w:leader="none" w:pos="1180" w:val="left"/>
        </w:tabs>
        <w:rPr>
          <w:sz w:val="20"/>
          <w:szCs w:val="20"/>
          <w:color w:val="auto"/>
        </w:rPr>
      </w:pPr>
      <w:r>
        <w:rPr>
          <w:rFonts w:ascii="Arial" w:cs="Arial" w:eastAsia="Arial" w:hAnsi="Arial"/>
          <w:sz w:val="15"/>
          <w:szCs w:val="15"/>
          <w:color w:val="auto"/>
        </w:rPr>
        <w:t>160,477,152</w:t>
      </w:r>
      <w:r>
        <w:rPr>
          <w:sz w:val="20"/>
          <w:szCs w:val="20"/>
          <w:color w:val="auto"/>
        </w:rPr>
        <w:tab/>
      </w:r>
      <w:r>
        <w:rPr>
          <w:rFonts w:ascii="Arial" w:cs="Arial" w:eastAsia="Arial" w:hAnsi="Arial"/>
          <w:sz w:val="15"/>
          <w:szCs w:val="15"/>
          <w:color w:val="auto"/>
        </w:rPr>
        <w:t>151,777,516</w:t>
      </w:r>
    </w:p>
    <w:p>
      <w:pPr>
        <w:spacing w:after="0" w:line="63" w:lineRule="exact"/>
        <w:rPr>
          <w:sz w:val="20"/>
          <w:szCs w:val="20"/>
          <w:color w:val="auto"/>
        </w:rPr>
      </w:pPr>
    </w:p>
    <w:p>
      <w:pPr>
        <w:ind w:left="140"/>
        <w:spacing w:after="0"/>
        <w:tabs>
          <w:tab w:leader="none" w:pos="1260" w:val="left"/>
        </w:tabs>
        <w:rPr>
          <w:sz w:val="20"/>
          <w:szCs w:val="20"/>
          <w:color w:val="auto"/>
        </w:rPr>
      </w:pPr>
      <w:r>
        <w:rPr>
          <w:rFonts w:ascii="Arial" w:cs="Arial" w:eastAsia="Arial" w:hAnsi="Arial"/>
          <w:sz w:val="15"/>
          <w:szCs w:val="15"/>
          <w:color w:val="auto"/>
        </w:rPr>
        <w:t>19,663,987</w:t>
      </w:r>
      <w:r>
        <w:rPr>
          <w:sz w:val="20"/>
          <w:szCs w:val="20"/>
          <w:color w:val="auto"/>
        </w:rPr>
        <w:tab/>
      </w:r>
      <w:r>
        <w:rPr>
          <w:rFonts w:ascii="Arial" w:cs="Arial" w:eastAsia="Arial" w:hAnsi="Arial"/>
          <w:sz w:val="15"/>
          <w:szCs w:val="15"/>
          <w:color w:val="auto"/>
        </w:rPr>
        <w:t>16,572,616</w:t>
      </w:r>
    </w:p>
    <w:p>
      <w:pPr>
        <w:spacing w:after="0" w:line="43" w:lineRule="exact"/>
        <w:rPr>
          <w:sz w:val="20"/>
          <w:szCs w:val="20"/>
          <w:color w:val="auto"/>
        </w:rPr>
      </w:pPr>
    </w:p>
    <w:p>
      <w:pPr>
        <w:jc w:val="both"/>
        <w:ind w:left="240"/>
        <w:spacing w:after="0"/>
        <w:tabs>
          <w:tab w:leader="none" w:pos="1340" w:val="left"/>
        </w:tabs>
        <w:rPr>
          <w:sz w:val="20"/>
          <w:szCs w:val="20"/>
          <w:color w:val="auto"/>
        </w:rPr>
      </w:pPr>
      <w:r>
        <w:rPr>
          <w:rFonts w:ascii="Arial" w:cs="Arial" w:eastAsia="Arial" w:hAnsi="Arial"/>
          <w:sz w:val="17"/>
          <w:szCs w:val="17"/>
          <w:color w:val="auto"/>
        </w:rPr>
        <w:t>2,147,945</w:t>
      </w:r>
      <w:r>
        <w:rPr>
          <w:sz w:val="20"/>
          <w:szCs w:val="20"/>
          <w:color w:val="auto"/>
        </w:rPr>
        <w:tab/>
      </w:r>
      <w:r>
        <w:rPr>
          <w:rFonts w:ascii="Arial" w:cs="Arial" w:eastAsia="Arial" w:hAnsi="Arial"/>
          <w:sz w:val="17"/>
          <w:szCs w:val="17"/>
          <w:color w:val="auto"/>
        </w:rPr>
        <w:t>1,855,225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wp:posOffset>
            </wp:positionH>
            <wp:positionV relativeFrom="paragraph">
              <wp:posOffset>10160</wp:posOffset>
            </wp:positionV>
            <wp:extent cx="1445260" cy="165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445260" cy="16510"/>
                    </a:xfrm>
                    <a:prstGeom prst="rect">
                      <a:avLst/>
                    </a:prstGeom>
                    <a:noFill/>
                  </pic:spPr>
                </pic:pic>
              </a:graphicData>
            </a:graphic>
          </wp:anchor>
        </w:drawing>
      </w:r>
    </w:p>
    <w:p>
      <w:pPr>
        <w:spacing w:after="0" w:line="14" w:lineRule="exact"/>
        <w:rPr>
          <w:sz w:val="20"/>
          <w:szCs w:val="20"/>
          <w:color w:val="auto"/>
        </w:rPr>
      </w:pPr>
    </w:p>
    <w:p>
      <w:pPr>
        <w:ind w:left="60"/>
        <w:spacing w:after="0"/>
        <w:tabs>
          <w:tab w:leader="none" w:pos="1180" w:val="left"/>
        </w:tabs>
        <w:rPr>
          <w:sz w:val="20"/>
          <w:szCs w:val="20"/>
          <w:color w:val="auto"/>
        </w:rPr>
      </w:pPr>
      <w:r>
        <w:rPr>
          <w:rFonts w:ascii="Arial" w:cs="Arial" w:eastAsia="Arial" w:hAnsi="Arial"/>
          <w:sz w:val="15"/>
          <w:szCs w:val="15"/>
          <w:color w:val="auto"/>
        </w:rPr>
        <w:t>186,113,704</w:t>
      </w:r>
      <w:r>
        <w:rPr>
          <w:sz w:val="20"/>
          <w:szCs w:val="20"/>
          <w:color w:val="auto"/>
        </w:rPr>
        <w:tab/>
      </w:r>
      <w:r>
        <w:rPr>
          <w:rFonts w:ascii="Arial" w:cs="Arial" w:eastAsia="Arial" w:hAnsi="Arial"/>
          <w:sz w:val="15"/>
          <w:szCs w:val="15"/>
          <w:color w:val="auto"/>
        </w:rPr>
        <w:t>174,428,212</w:t>
      </w:r>
    </w:p>
    <w:p>
      <w:pPr>
        <w:spacing w:after="0" w:line="43" w:lineRule="exact"/>
        <w:rPr>
          <w:sz w:val="20"/>
          <w:szCs w:val="20"/>
          <w:color w:val="auto"/>
        </w:rPr>
      </w:pPr>
    </w:p>
    <w:p>
      <w:pPr>
        <w:ind w:left="140"/>
        <w:spacing w:after="0"/>
        <w:tabs>
          <w:tab w:leader="none" w:pos="1260" w:val="left"/>
        </w:tabs>
        <w:rPr>
          <w:sz w:val="20"/>
          <w:szCs w:val="20"/>
          <w:color w:val="auto"/>
        </w:rPr>
      </w:pPr>
      <w:r>
        <w:rPr>
          <w:rFonts w:ascii="Arial" w:cs="Arial" w:eastAsia="Arial" w:hAnsi="Arial"/>
          <w:sz w:val="15"/>
          <w:szCs w:val="15"/>
          <w:color w:val="auto"/>
        </w:rPr>
        <w:t>15,764,480</w:t>
      </w:r>
      <w:r>
        <w:rPr>
          <w:sz w:val="20"/>
          <w:szCs w:val="20"/>
          <w:color w:val="auto"/>
        </w:rPr>
        <w:tab/>
      </w:r>
      <w:r>
        <w:rPr>
          <w:rFonts w:ascii="Arial" w:cs="Arial" w:eastAsia="Arial" w:hAnsi="Arial"/>
          <w:sz w:val="15"/>
          <w:szCs w:val="15"/>
          <w:color w:val="auto"/>
        </w:rPr>
        <w:t>21,138,403</w:t>
      </w:r>
    </w:p>
    <w:p>
      <w:pPr>
        <w:spacing w:after="0" w:line="37" w:lineRule="exact"/>
        <w:rPr>
          <w:sz w:val="20"/>
          <w:szCs w:val="20"/>
          <w:color w:val="auto"/>
        </w:rPr>
      </w:pPr>
    </w:p>
    <w:p>
      <w:pPr>
        <w:ind w:left="160"/>
        <w:spacing w:after="0"/>
        <w:tabs>
          <w:tab w:leader="none" w:pos="1260" w:val="left"/>
        </w:tabs>
        <w:rPr>
          <w:sz w:val="20"/>
          <w:szCs w:val="20"/>
          <w:color w:val="auto"/>
        </w:rPr>
      </w:pPr>
      <w:r>
        <w:rPr>
          <w:rFonts w:ascii="Arial" w:cs="Arial" w:eastAsia="Arial" w:hAnsi="Arial"/>
          <w:sz w:val="15"/>
          <w:szCs w:val="15"/>
          <w:color w:val="auto"/>
        </w:rPr>
        <w:t>14,211,748</w:t>
      </w:r>
      <w:r>
        <w:rPr>
          <w:sz w:val="20"/>
          <w:szCs w:val="20"/>
          <w:color w:val="auto"/>
        </w:rPr>
        <w:tab/>
      </w:r>
      <w:r>
        <w:rPr>
          <w:rFonts w:ascii="Arial" w:cs="Arial" w:eastAsia="Arial" w:hAnsi="Arial"/>
          <w:sz w:val="15"/>
          <w:szCs w:val="15"/>
          <w:color w:val="auto"/>
        </w:rPr>
        <w:t>13,961,599</w:t>
      </w:r>
    </w:p>
    <w:p>
      <w:pPr>
        <w:spacing w:after="0" w:line="37" w:lineRule="exact"/>
        <w:rPr>
          <w:sz w:val="20"/>
          <w:szCs w:val="20"/>
          <w:color w:val="auto"/>
        </w:rPr>
      </w:pPr>
    </w:p>
    <w:p>
      <w:pPr>
        <w:ind w:left="140"/>
        <w:spacing w:after="0"/>
        <w:tabs>
          <w:tab w:leader="none" w:pos="1280" w:val="left"/>
        </w:tabs>
        <w:rPr>
          <w:sz w:val="20"/>
          <w:szCs w:val="20"/>
          <w:color w:val="auto"/>
        </w:rPr>
      </w:pPr>
      <w:r>
        <w:rPr>
          <w:rFonts w:ascii="Arial" w:cs="Arial" w:eastAsia="Arial" w:hAnsi="Arial"/>
          <w:sz w:val="14"/>
          <w:szCs w:val="14"/>
          <w:color w:val="auto"/>
        </w:rPr>
        <w:t>26,157,637</w:t>
      </w:r>
      <w:r>
        <w:rPr>
          <w:sz w:val="20"/>
          <w:szCs w:val="20"/>
          <w:color w:val="auto"/>
        </w:rPr>
        <w:tab/>
      </w:r>
      <w:r>
        <w:rPr>
          <w:rFonts w:ascii="Arial" w:cs="Arial" w:eastAsia="Arial" w:hAnsi="Arial"/>
          <w:sz w:val="14"/>
          <w:szCs w:val="14"/>
          <w:color w:val="auto"/>
        </w:rPr>
        <w:t>26,367,115</w:t>
      </w:r>
    </w:p>
    <w:p>
      <w:pPr>
        <w:spacing w:after="0" w:line="48" w:lineRule="exact"/>
        <w:rPr>
          <w:sz w:val="20"/>
          <w:szCs w:val="20"/>
          <w:color w:val="auto"/>
        </w:rPr>
      </w:pPr>
    </w:p>
    <w:p>
      <w:pPr>
        <w:ind w:left="140"/>
        <w:spacing w:after="0"/>
        <w:tabs>
          <w:tab w:leader="none" w:pos="1260" w:val="left"/>
        </w:tabs>
        <w:rPr>
          <w:sz w:val="20"/>
          <w:szCs w:val="20"/>
          <w:color w:val="auto"/>
        </w:rPr>
      </w:pPr>
      <w:r>
        <w:rPr>
          <w:rFonts w:ascii="Arial" w:cs="Arial" w:eastAsia="Arial" w:hAnsi="Arial"/>
          <w:sz w:val="15"/>
          <w:szCs w:val="15"/>
          <w:color w:val="auto"/>
        </w:rPr>
        <w:t>18,154,281</w:t>
      </w:r>
      <w:r>
        <w:rPr>
          <w:sz w:val="20"/>
          <w:szCs w:val="20"/>
          <w:color w:val="auto"/>
        </w:rPr>
        <w:tab/>
      </w:r>
      <w:r>
        <w:rPr>
          <w:rFonts w:ascii="Arial" w:cs="Arial" w:eastAsia="Arial" w:hAnsi="Arial"/>
          <w:sz w:val="15"/>
          <w:szCs w:val="15"/>
          <w:color w:val="auto"/>
        </w:rPr>
        <w:t>17,907,737</w:t>
      </w:r>
    </w:p>
    <w:p>
      <w:pPr>
        <w:spacing w:after="0" w:line="37" w:lineRule="exact"/>
        <w:rPr>
          <w:sz w:val="20"/>
          <w:szCs w:val="20"/>
          <w:color w:val="auto"/>
        </w:rPr>
      </w:pPr>
    </w:p>
    <w:p>
      <w:pPr>
        <w:jc w:val="both"/>
        <w:ind w:left="360"/>
        <w:spacing w:after="0"/>
        <w:tabs>
          <w:tab w:leader="none" w:pos="1480" w:val="left"/>
        </w:tabs>
        <w:rPr>
          <w:sz w:val="20"/>
          <w:szCs w:val="20"/>
          <w:color w:val="auto"/>
        </w:rPr>
      </w:pPr>
      <w:r>
        <w:rPr>
          <w:rFonts w:ascii="Arial" w:cs="Arial" w:eastAsia="Arial" w:hAnsi="Arial"/>
          <w:sz w:val="17"/>
          <w:szCs w:val="17"/>
          <w:color w:val="auto"/>
        </w:rPr>
        <w:t>585,000</w:t>
      </w:r>
      <w:r>
        <w:rPr>
          <w:sz w:val="20"/>
          <w:szCs w:val="20"/>
          <w:color w:val="auto"/>
        </w:rPr>
        <w:tab/>
      </w:r>
      <w:r>
        <w:rPr>
          <w:rFonts w:ascii="Arial" w:cs="Arial" w:eastAsia="Arial" w:hAnsi="Arial"/>
          <w:sz w:val="17"/>
          <w:szCs w:val="17"/>
          <w:color w:val="auto"/>
        </w:rPr>
        <w:t>670,000</w:t>
      </w:r>
    </w:p>
    <w:p>
      <w:pPr>
        <w:spacing w:after="0" w:line="14" w:lineRule="exact"/>
        <w:rPr>
          <w:sz w:val="20"/>
          <w:szCs w:val="20"/>
          <w:color w:val="auto"/>
        </w:rPr>
      </w:pPr>
    </w:p>
    <w:p>
      <w:pPr>
        <w:jc w:val="both"/>
        <w:ind w:left="240"/>
        <w:spacing w:after="0"/>
        <w:tabs>
          <w:tab w:leader="none" w:pos="1340" w:val="left"/>
        </w:tabs>
        <w:rPr>
          <w:sz w:val="20"/>
          <w:szCs w:val="20"/>
          <w:color w:val="auto"/>
        </w:rPr>
      </w:pPr>
      <w:r>
        <w:rPr>
          <w:rFonts w:ascii="Arial" w:cs="Arial" w:eastAsia="Arial" w:hAnsi="Arial"/>
          <w:sz w:val="17"/>
          <w:szCs w:val="17"/>
          <w:color w:val="auto"/>
        </w:rPr>
        <w:t>6,875,934</w:t>
      </w:r>
      <w:r>
        <w:rPr>
          <w:sz w:val="20"/>
          <w:szCs w:val="20"/>
          <w:color w:val="auto"/>
        </w:rPr>
        <w:tab/>
      </w:r>
      <w:r>
        <w:rPr>
          <w:rFonts w:ascii="Arial" w:cs="Arial" w:eastAsia="Arial" w:hAnsi="Arial"/>
          <w:sz w:val="17"/>
          <w:szCs w:val="17"/>
          <w:color w:val="auto"/>
        </w:rPr>
        <w:t>6,056,929</w:t>
      </w:r>
    </w:p>
    <w:p>
      <w:pPr>
        <w:spacing w:after="0" w:line="14" w:lineRule="exact"/>
        <w:rPr>
          <w:sz w:val="20"/>
          <w:szCs w:val="20"/>
          <w:color w:val="auto"/>
        </w:rPr>
      </w:pPr>
    </w:p>
    <w:p>
      <w:pPr>
        <w:ind w:left="1500" w:hanging="645"/>
        <w:spacing w:after="0"/>
        <w:tabs>
          <w:tab w:leader="none" w:pos="1500" w:val="left"/>
        </w:tabs>
        <w:numPr>
          <w:ilvl w:val="0"/>
          <w:numId w:val="3"/>
        </w:numPr>
        <w:rPr>
          <w:rFonts w:ascii="Arial" w:cs="Arial" w:eastAsia="Arial" w:hAnsi="Arial"/>
          <w:sz w:val="14"/>
          <w:szCs w:val="14"/>
          <w:color w:val="auto"/>
        </w:rPr>
      </w:pPr>
      <w:r>
        <w:rPr>
          <w:rFonts w:ascii="Arial" w:cs="Arial" w:eastAsia="Arial" w:hAnsi="Arial"/>
          <w:sz w:val="14"/>
          <w:szCs w:val="14"/>
          <w:color w:val="auto"/>
        </w:rPr>
        <w:t>354,233</w:t>
      </w:r>
    </w:p>
    <w:p>
      <w:pPr>
        <w:spacing w:after="0" w:line="48" w:lineRule="exact"/>
        <w:rPr>
          <w:rFonts w:ascii="Arial" w:cs="Arial" w:eastAsia="Arial" w:hAnsi="Arial"/>
          <w:sz w:val="14"/>
          <w:szCs w:val="14"/>
          <w:color w:val="auto"/>
        </w:rPr>
      </w:pPr>
    </w:p>
    <w:p>
      <w:pPr>
        <w:ind w:left="240"/>
        <w:spacing w:after="0"/>
        <w:rPr>
          <w:rFonts w:ascii="Arial" w:cs="Arial" w:eastAsia="Arial" w:hAnsi="Arial"/>
          <w:sz w:val="14"/>
          <w:szCs w:val="14"/>
          <w:color w:val="auto"/>
        </w:rPr>
      </w:pPr>
      <w:r>
        <w:rPr>
          <w:rFonts w:ascii="Arial" w:cs="Arial" w:eastAsia="Arial" w:hAnsi="Arial"/>
          <w:sz w:val="17"/>
          <w:szCs w:val="17"/>
          <w:color w:val="auto"/>
        </w:rPr>
        <w:t>9,525,151</w:t>
      </w:r>
      <w:r>
        <w:rPr>
          <w:rFonts w:ascii="Arial" w:cs="Arial" w:eastAsia="Arial" w:hAnsi="Arial"/>
          <w:sz w:val="15"/>
          <w:szCs w:val="15"/>
          <w:color w:val="auto"/>
        </w:rPr>
        <w:t>5,867,850</w:t>
      </w:r>
    </w:p>
    <w:p>
      <w:pPr>
        <w:spacing w:after="0" w:line="34" w:lineRule="exact"/>
        <w:rPr>
          <w:sz w:val="20"/>
          <w:szCs w:val="20"/>
          <w:color w:val="auto"/>
        </w:rPr>
      </w:pPr>
    </w:p>
    <w:p>
      <w:pPr>
        <w:spacing w:after="0"/>
        <w:tabs>
          <w:tab w:leader="none" w:pos="1120" w:val="left"/>
        </w:tabs>
        <w:rPr>
          <w:sz w:val="20"/>
          <w:szCs w:val="20"/>
          <w:color w:val="auto"/>
        </w:rPr>
      </w:pPr>
      <w:r>
        <w:rPr>
          <w:rFonts w:ascii="Arial" w:cs="Arial" w:eastAsia="Arial" w:hAnsi="Arial"/>
          <w:sz w:val="17"/>
          <w:szCs w:val="17"/>
          <w:color w:val="auto"/>
        </w:rPr>
        <w:t>$277,387,935</w:t>
      </w:r>
      <w:r>
        <w:rPr>
          <w:sz w:val="20"/>
          <w:szCs w:val="20"/>
          <w:color w:val="auto"/>
        </w:rPr>
        <w:tab/>
      </w:r>
      <w:r>
        <w:rPr>
          <w:rFonts w:ascii="Arial" w:cs="Arial" w:eastAsia="Arial" w:hAnsi="Arial"/>
          <w:sz w:val="14"/>
          <w:szCs w:val="14"/>
          <w:color w:val="auto"/>
        </w:rPr>
        <w:t>$266,752,078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wp:posOffset>
            </wp:positionH>
            <wp:positionV relativeFrom="paragraph">
              <wp:posOffset>13970</wp:posOffset>
            </wp:positionV>
            <wp:extent cx="144526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445260" cy="8255"/>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39370</wp:posOffset>
            </wp:positionV>
            <wp:extent cx="144526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445260" cy="8255"/>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1020" w:type="dxa"/>
            <w:vAlign w:val="bottom"/>
          </w:tcPr>
          <w:p>
            <w:pPr>
              <w:jc w:val="right"/>
              <w:ind w:right="15"/>
              <w:spacing w:after="0"/>
              <w:rPr>
                <w:sz w:val="20"/>
                <w:szCs w:val="20"/>
                <w:color w:val="auto"/>
              </w:rPr>
            </w:pPr>
            <w:r>
              <w:rPr>
                <w:rFonts w:ascii="Arial" w:cs="Arial" w:eastAsia="Arial" w:hAnsi="Arial"/>
                <w:sz w:val="17"/>
                <w:szCs w:val="17"/>
                <w:color w:val="auto"/>
                <w:w w:val="90"/>
              </w:rPr>
              <w:t>$ 69,110,271</w:t>
            </w:r>
          </w:p>
        </w:tc>
        <w:tc>
          <w:tcPr>
            <w:tcW w:w="1020" w:type="dxa"/>
            <w:vAlign w:val="bottom"/>
          </w:tcPr>
          <w:p>
            <w:pPr>
              <w:jc w:val="right"/>
              <w:spacing w:after="0"/>
              <w:rPr>
                <w:sz w:val="20"/>
                <w:szCs w:val="20"/>
                <w:color w:val="auto"/>
              </w:rPr>
            </w:pPr>
            <w:r>
              <w:rPr>
                <w:rFonts w:ascii="Arial" w:cs="Arial" w:eastAsia="Arial" w:hAnsi="Arial"/>
                <w:sz w:val="17"/>
                <w:szCs w:val="17"/>
                <w:color w:val="auto"/>
              </w:rPr>
              <w:t>$ 56,197,106</w:t>
            </w:r>
          </w:p>
        </w:tc>
      </w:tr>
      <w:tr>
        <w:trPr>
          <w:trHeight w:val="209"/>
        </w:trPr>
        <w:tc>
          <w:tcPr>
            <w:tcW w:w="1020" w:type="dxa"/>
            <w:vAlign w:val="bottom"/>
          </w:tcPr>
          <w:p>
            <w:pPr>
              <w:jc w:val="right"/>
              <w:ind w:right="15"/>
              <w:spacing w:after="0"/>
              <w:rPr>
                <w:sz w:val="20"/>
                <w:szCs w:val="20"/>
                <w:color w:val="auto"/>
              </w:rPr>
            </w:pPr>
            <w:r>
              <w:rPr>
                <w:rFonts w:ascii="Arial" w:cs="Arial" w:eastAsia="Arial" w:hAnsi="Arial"/>
                <w:sz w:val="17"/>
                <w:szCs w:val="17"/>
                <w:color w:val="auto"/>
              </w:rPr>
              <w:t>79,660,003</w:t>
            </w:r>
          </w:p>
        </w:tc>
        <w:tc>
          <w:tcPr>
            <w:tcW w:w="1020" w:type="dxa"/>
            <w:vAlign w:val="bottom"/>
          </w:tcPr>
          <w:p>
            <w:pPr>
              <w:jc w:val="right"/>
              <w:spacing w:after="0"/>
              <w:rPr>
                <w:sz w:val="20"/>
                <w:szCs w:val="20"/>
                <w:color w:val="auto"/>
              </w:rPr>
            </w:pPr>
            <w:r>
              <w:rPr>
                <w:rFonts w:ascii="Arial" w:cs="Arial" w:eastAsia="Arial" w:hAnsi="Arial"/>
                <w:sz w:val="17"/>
                <w:szCs w:val="17"/>
                <w:color w:val="auto"/>
              </w:rPr>
              <w:t>79,032,131</w:t>
            </w:r>
          </w:p>
        </w:tc>
      </w:tr>
      <w:tr>
        <w:trPr>
          <w:trHeight w:val="209"/>
        </w:trPr>
        <w:tc>
          <w:tcPr>
            <w:tcW w:w="1020" w:type="dxa"/>
            <w:vAlign w:val="bottom"/>
          </w:tcPr>
          <w:p>
            <w:pPr>
              <w:jc w:val="right"/>
              <w:ind w:right="15"/>
              <w:spacing w:after="0"/>
              <w:rPr>
                <w:sz w:val="20"/>
                <w:szCs w:val="20"/>
                <w:color w:val="auto"/>
              </w:rPr>
            </w:pPr>
            <w:r>
              <w:rPr>
                <w:rFonts w:ascii="Arial" w:cs="Arial" w:eastAsia="Arial" w:hAnsi="Arial"/>
                <w:sz w:val="17"/>
                <w:szCs w:val="17"/>
                <w:color w:val="auto"/>
              </w:rPr>
              <w:t>3,064,413</w:t>
            </w:r>
          </w:p>
        </w:tc>
        <w:tc>
          <w:tcPr>
            <w:tcW w:w="1020" w:type="dxa"/>
            <w:vAlign w:val="bottom"/>
          </w:tcPr>
          <w:p>
            <w:pPr>
              <w:jc w:val="right"/>
              <w:spacing w:after="0"/>
              <w:rPr>
                <w:sz w:val="20"/>
                <w:szCs w:val="20"/>
                <w:color w:val="auto"/>
              </w:rPr>
            </w:pPr>
            <w:r>
              <w:rPr>
                <w:rFonts w:ascii="Arial" w:cs="Arial" w:eastAsia="Arial" w:hAnsi="Arial"/>
                <w:sz w:val="17"/>
                <w:szCs w:val="17"/>
                <w:color w:val="auto"/>
              </w:rPr>
              <w:t>2,107,629</w:t>
            </w:r>
          </w:p>
        </w:tc>
      </w:tr>
      <w:tr>
        <w:trPr>
          <w:trHeight w:val="209"/>
        </w:trPr>
        <w:tc>
          <w:tcPr>
            <w:tcW w:w="1020" w:type="dxa"/>
            <w:vAlign w:val="bottom"/>
          </w:tcPr>
          <w:p>
            <w:pPr>
              <w:jc w:val="right"/>
              <w:ind w:right="15"/>
              <w:spacing w:after="0"/>
              <w:rPr>
                <w:sz w:val="20"/>
                <w:szCs w:val="20"/>
                <w:color w:val="auto"/>
              </w:rPr>
            </w:pPr>
            <w:r>
              <w:rPr>
                <w:rFonts w:ascii="Arial" w:cs="Arial" w:eastAsia="Arial" w:hAnsi="Arial"/>
                <w:sz w:val="17"/>
                <w:szCs w:val="17"/>
                <w:color w:val="auto"/>
              </w:rPr>
              <w:t>1,201,931</w:t>
            </w:r>
          </w:p>
        </w:tc>
        <w:tc>
          <w:tcPr>
            <w:tcW w:w="1020" w:type="dxa"/>
            <w:vAlign w:val="bottom"/>
          </w:tcPr>
          <w:p>
            <w:pPr>
              <w:jc w:val="right"/>
              <w:spacing w:after="0"/>
              <w:rPr>
                <w:sz w:val="20"/>
                <w:szCs w:val="20"/>
                <w:color w:val="auto"/>
              </w:rPr>
            </w:pPr>
            <w:r>
              <w:rPr>
                <w:rFonts w:ascii="Arial" w:cs="Arial" w:eastAsia="Arial" w:hAnsi="Arial"/>
                <w:sz w:val="17"/>
                <w:szCs w:val="17"/>
                <w:color w:val="auto"/>
              </w:rPr>
              <w:t>1,933,376</w:t>
            </w:r>
          </w:p>
        </w:tc>
      </w:tr>
      <w:tr>
        <w:trPr>
          <w:trHeight w:val="209"/>
        </w:trPr>
        <w:tc>
          <w:tcPr>
            <w:tcW w:w="1020" w:type="dxa"/>
            <w:vAlign w:val="bottom"/>
          </w:tcPr>
          <w:p>
            <w:pPr>
              <w:jc w:val="right"/>
              <w:ind w:right="15"/>
              <w:spacing w:after="0"/>
              <w:rPr>
                <w:sz w:val="20"/>
                <w:szCs w:val="20"/>
                <w:color w:val="auto"/>
              </w:rPr>
            </w:pPr>
            <w:r>
              <w:rPr>
                <w:rFonts w:ascii="Arial" w:cs="Arial" w:eastAsia="Arial" w:hAnsi="Arial"/>
                <w:sz w:val="17"/>
                <w:szCs w:val="17"/>
                <w:color w:val="auto"/>
              </w:rPr>
              <w:t>2,745,387</w:t>
            </w:r>
          </w:p>
        </w:tc>
        <w:tc>
          <w:tcPr>
            <w:tcW w:w="1020" w:type="dxa"/>
            <w:vAlign w:val="bottom"/>
          </w:tcPr>
          <w:p>
            <w:pPr>
              <w:jc w:val="right"/>
              <w:spacing w:after="0"/>
              <w:rPr>
                <w:sz w:val="20"/>
                <w:szCs w:val="20"/>
                <w:color w:val="auto"/>
              </w:rPr>
            </w:pPr>
            <w:r>
              <w:rPr>
                <w:rFonts w:ascii="Arial" w:cs="Arial" w:eastAsia="Arial" w:hAnsi="Arial"/>
                <w:sz w:val="17"/>
                <w:szCs w:val="17"/>
                <w:color w:val="auto"/>
              </w:rPr>
              <w:t>2,686,677</w:t>
            </w:r>
          </w:p>
        </w:tc>
      </w:tr>
      <w:tr>
        <w:trPr>
          <w:trHeight w:val="216"/>
        </w:trPr>
        <w:tc>
          <w:tcPr>
            <w:tcW w:w="1020" w:type="dxa"/>
            <w:vAlign w:val="bottom"/>
          </w:tcPr>
          <w:p>
            <w:pPr>
              <w:jc w:val="right"/>
              <w:ind w:right="15"/>
              <w:spacing w:after="0"/>
              <w:rPr>
                <w:sz w:val="20"/>
                <w:szCs w:val="20"/>
                <w:color w:val="auto"/>
              </w:rPr>
            </w:pPr>
            <w:r>
              <w:rPr>
                <w:rFonts w:ascii="Arial" w:cs="Arial" w:eastAsia="Arial" w:hAnsi="Arial"/>
                <w:sz w:val="17"/>
                <w:szCs w:val="17"/>
                <w:color w:val="auto"/>
              </w:rPr>
              <w:t>7,450,822</w:t>
            </w:r>
          </w:p>
        </w:tc>
        <w:tc>
          <w:tcPr>
            <w:tcW w:w="1020" w:type="dxa"/>
            <w:vAlign w:val="bottom"/>
          </w:tcPr>
          <w:p>
            <w:pPr>
              <w:jc w:val="right"/>
              <w:spacing w:after="0"/>
              <w:rPr>
                <w:sz w:val="20"/>
                <w:szCs w:val="20"/>
                <w:color w:val="auto"/>
              </w:rPr>
            </w:pPr>
            <w:r>
              <w:rPr>
                <w:rFonts w:ascii="Arial" w:cs="Arial" w:eastAsia="Arial" w:hAnsi="Arial"/>
                <w:sz w:val="17"/>
                <w:szCs w:val="17"/>
                <w:color w:val="auto"/>
              </w:rPr>
              <w:t>6,819,231</w:t>
            </w:r>
          </w:p>
        </w:tc>
      </w:tr>
    </w:tbl>
    <w:p>
      <w:pPr>
        <w:ind w:left="1580" w:hanging="725"/>
        <w:spacing w:after="0"/>
        <w:tabs>
          <w:tab w:leader="none" w:pos="1580" w:val="left"/>
        </w:tabs>
        <w:numPr>
          <w:ilvl w:val="0"/>
          <w:numId w:val="4"/>
        </w:numPr>
        <w:rPr>
          <w:rFonts w:ascii="Arial" w:cs="Arial" w:eastAsia="Arial" w:hAnsi="Arial"/>
          <w:sz w:val="15"/>
          <w:szCs w:val="15"/>
          <w:color w:val="auto"/>
        </w:rPr>
      </w:pPr>
      <w:r>
        <w:rPr>
          <w:rFonts w:ascii="Arial" w:cs="Arial" w:eastAsia="Arial" w:hAnsi="Arial"/>
          <w:sz w:val="15"/>
          <w:szCs w:val="15"/>
          <w:color w:val="auto"/>
        </w:rPr>
        <w:t>15,035</w:t>
      </w:r>
    </w:p>
    <w:p>
      <w:pPr>
        <w:spacing w:after="0" w:line="36" w:lineRule="exact"/>
        <w:rPr>
          <w:rFonts w:ascii="Arial" w:cs="Arial" w:eastAsia="Arial" w:hAnsi="Arial"/>
          <w:sz w:val="15"/>
          <w:szCs w:val="15"/>
          <w:color w:val="auto"/>
        </w:rPr>
      </w:pPr>
    </w:p>
    <w:p>
      <w:pPr>
        <w:ind w:left="240"/>
        <w:spacing w:after="0"/>
        <w:rPr>
          <w:rFonts w:ascii="Arial" w:cs="Arial" w:eastAsia="Arial" w:hAnsi="Arial"/>
          <w:sz w:val="15"/>
          <w:szCs w:val="15"/>
          <w:color w:val="auto"/>
        </w:rPr>
      </w:pPr>
      <w:r>
        <w:rPr>
          <w:rFonts w:ascii="Arial" w:cs="Arial" w:eastAsia="Arial" w:hAnsi="Arial"/>
          <w:sz w:val="17"/>
          <w:szCs w:val="17"/>
          <w:color w:val="auto"/>
        </w:rPr>
        <w:t>1,040,641</w:t>
      </w:r>
      <w:r>
        <w:rPr>
          <w:rFonts w:ascii="Arial" w:cs="Arial" w:eastAsia="Arial" w:hAnsi="Arial"/>
          <w:sz w:val="12"/>
          <w:szCs w:val="12"/>
          <w:color w:val="auto"/>
        </w:rPr>
        <w:t>-</w:t>
      </w:r>
    </w:p>
    <w:p>
      <w:pPr>
        <w:spacing w:after="0" w:line="14" w:lineRule="exact"/>
        <w:rPr>
          <w:sz w:val="20"/>
          <w:szCs w:val="20"/>
          <w:color w:val="auto"/>
        </w:rPr>
      </w:pPr>
    </w:p>
    <w:p>
      <w:pPr>
        <w:ind w:left="140"/>
        <w:spacing w:after="0"/>
        <w:tabs>
          <w:tab w:leader="none" w:pos="1260" w:val="left"/>
        </w:tabs>
        <w:rPr>
          <w:sz w:val="20"/>
          <w:szCs w:val="20"/>
          <w:color w:val="auto"/>
        </w:rPr>
      </w:pPr>
      <w:r>
        <w:rPr>
          <w:rFonts w:ascii="Arial" w:cs="Arial" w:eastAsia="Arial" w:hAnsi="Arial"/>
          <w:sz w:val="15"/>
          <w:szCs w:val="15"/>
          <w:color w:val="auto"/>
        </w:rPr>
        <w:t>29,339,296</w:t>
      </w:r>
      <w:r>
        <w:rPr>
          <w:sz w:val="20"/>
          <w:szCs w:val="20"/>
          <w:color w:val="auto"/>
        </w:rPr>
        <w:tab/>
      </w:r>
      <w:r>
        <w:rPr>
          <w:rFonts w:ascii="Arial" w:cs="Arial" w:eastAsia="Arial" w:hAnsi="Arial"/>
          <w:sz w:val="15"/>
          <w:szCs w:val="15"/>
          <w:color w:val="auto"/>
        </w:rPr>
        <w:t>29,295,251</w:t>
      </w:r>
    </w:p>
    <w:p>
      <w:pPr>
        <w:spacing w:after="0" w:line="57" w:lineRule="exact"/>
        <w:rPr>
          <w:sz w:val="20"/>
          <w:szCs w:val="20"/>
          <w:color w:val="auto"/>
        </w:rPr>
      </w:pPr>
    </w:p>
    <w:p>
      <w:pPr>
        <w:ind w:left="60"/>
        <w:spacing w:after="0"/>
        <w:tabs>
          <w:tab w:leader="none" w:pos="1180" w:val="left"/>
        </w:tabs>
        <w:rPr>
          <w:sz w:val="20"/>
          <w:szCs w:val="20"/>
          <w:color w:val="auto"/>
        </w:rPr>
      </w:pPr>
      <w:r>
        <w:rPr>
          <w:rFonts w:ascii="Arial" w:cs="Arial" w:eastAsia="Arial" w:hAnsi="Arial"/>
          <w:sz w:val="15"/>
          <w:szCs w:val="15"/>
          <w:color w:val="auto"/>
        </w:rPr>
        <w:t>193,612,764</w:t>
      </w:r>
      <w:r>
        <w:rPr>
          <w:sz w:val="20"/>
          <w:szCs w:val="20"/>
          <w:color w:val="auto"/>
        </w:rPr>
        <w:tab/>
      </w:r>
      <w:r>
        <w:rPr>
          <w:rFonts w:ascii="Arial" w:cs="Arial" w:eastAsia="Arial" w:hAnsi="Arial"/>
          <w:sz w:val="15"/>
          <w:szCs w:val="15"/>
          <w:color w:val="auto"/>
        </w:rPr>
        <w:t>178,086,436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wp:posOffset>
            </wp:positionH>
            <wp:positionV relativeFrom="paragraph">
              <wp:posOffset>28575</wp:posOffset>
            </wp:positionV>
            <wp:extent cx="1445260" cy="165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445260" cy="16510"/>
                    </a:xfrm>
                    <a:prstGeom prst="rect">
                      <a:avLst/>
                    </a:prstGeom>
                    <a:noFill/>
                  </pic:spPr>
                </pic:pic>
              </a:graphicData>
            </a:graphic>
          </wp:anchor>
        </w:drawing>
      </w:r>
    </w:p>
    <w:p>
      <w:pPr>
        <w:spacing w:after="0" w:line="507" w:lineRule="exact"/>
        <w:rPr>
          <w:sz w:val="20"/>
          <w:szCs w:val="20"/>
          <w:color w:val="auto"/>
        </w:rPr>
      </w:pPr>
    </w:p>
    <w:p>
      <w:pPr>
        <w:sectPr>
          <w:pgSz w:w="11900" w:h="16838" w:orient="portrait"/>
          <w:cols w:equalWidth="0" w:num="2">
            <w:col w:w="9020" w:space="240"/>
            <w:col w:w="2160"/>
          </w:cols>
          <w:pgMar w:left="240" w:top="546" w:right="239" w:bottom="1440" w:gutter="0" w:footer="0" w:header="0"/>
          <w:type w:val="continuous"/>
        </w:sect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91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9140" w:type="dxa"/>
            <w:vAlign w:val="bottom"/>
            <w:gridSpan w:val="2"/>
          </w:tcPr>
          <w:p>
            <w:pPr>
              <w:spacing w:after="0"/>
              <w:rPr>
                <w:sz w:val="20"/>
                <w:szCs w:val="20"/>
                <w:color w:val="auto"/>
              </w:rPr>
            </w:pPr>
            <w:r>
              <w:rPr>
                <w:rFonts w:ascii="Arial" w:cs="Arial" w:eastAsia="Arial" w:hAnsi="Arial"/>
                <w:sz w:val="17"/>
                <w:szCs w:val="17"/>
                <w:b w:val="1"/>
                <w:bCs w:val="1"/>
                <w:color w:val="auto"/>
              </w:rPr>
              <w:t>Stockholders' Equity</w:t>
            </w:r>
          </w:p>
        </w:tc>
        <w:tc>
          <w:tcPr>
            <w:tcW w:w="1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1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Preferred stock, $.01 par value; authorized 2,500,000 shares</w:t>
            </w:r>
          </w:p>
        </w:tc>
        <w:tc>
          <w:tcPr>
            <w:tcW w:w="118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9120" w:type="dxa"/>
            <w:vAlign w:val="bottom"/>
          </w:tcPr>
          <w:p>
            <w:pPr>
              <w:ind w:left="140"/>
              <w:spacing w:after="0"/>
              <w:rPr>
                <w:sz w:val="20"/>
                <w:szCs w:val="20"/>
                <w:color w:val="auto"/>
              </w:rPr>
            </w:pPr>
            <w:r>
              <w:rPr>
                <w:rFonts w:ascii="Arial" w:cs="Arial" w:eastAsia="Arial" w:hAnsi="Arial"/>
                <w:sz w:val="17"/>
                <w:szCs w:val="17"/>
                <w:color w:val="auto"/>
                <w:w w:val="94"/>
              </w:rPr>
              <w:t>Common stock, $.01 par value; authorized 20,000,000 shares; issued 11,796,188 shares at March 31, 2019 and 11,775,148 at</w:t>
            </w:r>
          </w:p>
        </w:tc>
        <w:tc>
          <w:tcPr>
            <w:tcW w:w="1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120" w:type="dxa"/>
            <w:vAlign w:val="bottom"/>
          </w:tcPr>
          <w:p>
            <w:pPr>
              <w:ind w:left="300"/>
              <w:spacing w:after="0"/>
              <w:rPr>
                <w:sz w:val="20"/>
                <w:szCs w:val="20"/>
                <w:color w:val="auto"/>
              </w:rPr>
            </w:pPr>
            <w:r>
              <w:rPr>
                <w:rFonts w:ascii="Arial" w:cs="Arial" w:eastAsia="Arial" w:hAnsi="Arial"/>
                <w:sz w:val="17"/>
                <w:szCs w:val="17"/>
                <w:color w:val="auto"/>
                <w:w w:val="99"/>
              </w:rPr>
              <w:t>December 31, 2018; outstanding 10,768,749 shares at March 31, 2019 and 10,747,709 shares at December 31, 2018</w:t>
            </w:r>
          </w:p>
        </w:tc>
        <w:tc>
          <w:tcPr>
            <w:tcW w:w="1180" w:type="dxa"/>
            <w:vAlign w:val="bottom"/>
          </w:tcPr>
          <w:p>
            <w:pPr>
              <w:jc w:val="right"/>
              <w:ind w:right="55"/>
              <w:spacing w:after="0"/>
              <w:rPr>
                <w:sz w:val="20"/>
                <w:szCs w:val="20"/>
                <w:color w:val="auto"/>
              </w:rPr>
            </w:pPr>
            <w:r>
              <w:rPr>
                <w:rFonts w:ascii="Arial" w:cs="Arial" w:eastAsia="Arial" w:hAnsi="Arial"/>
                <w:sz w:val="17"/>
                <w:szCs w:val="17"/>
                <w:color w:val="auto"/>
              </w:rPr>
              <w:t>117,962</w:t>
            </w:r>
          </w:p>
        </w:tc>
        <w:tc>
          <w:tcPr>
            <w:tcW w:w="1100" w:type="dxa"/>
            <w:vAlign w:val="bottom"/>
          </w:tcPr>
          <w:p>
            <w:pPr>
              <w:jc w:val="right"/>
              <w:ind w:right="35"/>
              <w:spacing w:after="0"/>
              <w:rPr>
                <w:sz w:val="20"/>
                <w:szCs w:val="20"/>
                <w:color w:val="auto"/>
              </w:rPr>
            </w:pPr>
            <w:r>
              <w:rPr>
                <w:rFonts w:ascii="Arial" w:cs="Arial" w:eastAsia="Arial" w:hAnsi="Arial"/>
                <w:sz w:val="17"/>
                <w:szCs w:val="17"/>
                <w:color w:val="auto"/>
              </w:rPr>
              <w:t>117,751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1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Capital in excess of par</w:t>
            </w:r>
          </w:p>
        </w:tc>
        <w:tc>
          <w:tcPr>
            <w:tcW w:w="118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67,957,604</w:t>
            </w:r>
          </w:p>
        </w:tc>
        <w:tc>
          <w:tcPr>
            <w:tcW w:w="110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67,763,940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120" w:type="dxa"/>
            <w:vAlign w:val="bottom"/>
          </w:tcPr>
          <w:p>
            <w:pPr>
              <w:ind w:left="140"/>
              <w:spacing w:after="0"/>
              <w:rPr>
                <w:sz w:val="20"/>
                <w:szCs w:val="20"/>
                <w:color w:val="auto"/>
              </w:rPr>
            </w:pPr>
            <w:r>
              <w:rPr>
                <w:rFonts w:ascii="Arial" w:cs="Arial" w:eastAsia="Arial" w:hAnsi="Arial"/>
                <w:sz w:val="17"/>
                <w:szCs w:val="17"/>
                <w:color w:val="auto"/>
              </w:rPr>
              <w:t>Accumulated other comprehensive income (loss)</w:t>
            </w:r>
          </w:p>
        </w:tc>
        <w:tc>
          <w:tcPr>
            <w:tcW w:w="1180" w:type="dxa"/>
            <w:vAlign w:val="bottom"/>
          </w:tcPr>
          <w:p>
            <w:pPr>
              <w:jc w:val="right"/>
              <w:ind w:right="55"/>
              <w:spacing w:after="0"/>
              <w:rPr>
                <w:sz w:val="20"/>
                <w:szCs w:val="20"/>
                <w:color w:val="auto"/>
              </w:rPr>
            </w:pPr>
            <w:r>
              <w:rPr>
                <w:rFonts w:ascii="Arial" w:cs="Arial" w:eastAsia="Arial" w:hAnsi="Arial"/>
                <w:sz w:val="17"/>
                <w:szCs w:val="17"/>
                <w:color w:val="auto"/>
              </w:rPr>
              <w:t>442,493</w:t>
            </w:r>
          </w:p>
        </w:tc>
        <w:tc>
          <w:tcPr>
            <w:tcW w:w="1100" w:type="dxa"/>
            <w:vAlign w:val="bottom"/>
          </w:tcPr>
          <w:p>
            <w:pPr>
              <w:jc w:val="right"/>
              <w:spacing w:after="0"/>
              <w:rPr>
                <w:sz w:val="20"/>
                <w:szCs w:val="20"/>
                <w:color w:val="auto"/>
              </w:rPr>
            </w:pPr>
            <w:r>
              <w:rPr>
                <w:rFonts w:ascii="Arial" w:cs="Arial" w:eastAsia="Arial" w:hAnsi="Arial"/>
                <w:sz w:val="17"/>
                <w:szCs w:val="17"/>
                <w:color w:val="auto"/>
              </w:rPr>
              <w:t>(2,884,313)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91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Retained earnings</w:t>
            </w:r>
          </w:p>
        </w:tc>
        <w:tc>
          <w:tcPr>
            <w:tcW w:w="118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17,969,664</w:t>
            </w:r>
          </w:p>
        </w:tc>
        <w:tc>
          <w:tcPr>
            <w:tcW w:w="11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26,380,816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120" w:type="dxa"/>
            <w:vAlign w:val="bottom"/>
          </w:tcPr>
          <w:p>
            <w:pPr>
              <w:spacing w:after="0"/>
              <w:rPr>
                <w:sz w:val="18"/>
                <w:szCs w:val="18"/>
                <w:color w:val="auto"/>
              </w:rPr>
            </w:pPr>
          </w:p>
        </w:tc>
        <w:tc>
          <w:tcPr>
            <w:tcW w:w="1180" w:type="dxa"/>
            <w:vAlign w:val="bottom"/>
          </w:tcPr>
          <w:p>
            <w:pPr>
              <w:jc w:val="right"/>
              <w:ind w:right="55"/>
              <w:spacing w:after="0"/>
              <w:rPr>
                <w:sz w:val="20"/>
                <w:szCs w:val="20"/>
                <w:color w:val="auto"/>
              </w:rPr>
            </w:pPr>
            <w:r>
              <w:rPr>
                <w:rFonts w:ascii="Arial" w:cs="Arial" w:eastAsia="Arial" w:hAnsi="Arial"/>
                <w:sz w:val="17"/>
                <w:szCs w:val="17"/>
                <w:color w:val="auto"/>
              </w:rPr>
              <w:t>86,487,723</w:t>
            </w:r>
          </w:p>
        </w:tc>
        <w:tc>
          <w:tcPr>
            <w:tcW w:w="1100" w:type="dxa"/>
            <w:vAlign w:val="bottom"/>
          </w:tcPr>
          <w:p>
            <w:pPr>
              <w:jc w:val="right"/>
              <w:ind w:right="35"/>
              <w:spacing w:after="0"/>
              <w:rPr>
                <w:sz w:val="20"/>
                <w:szCs w:val="20"/>
                <w:color w:val="auto"/>
              </w:rPr>
            </w:pPr>
            <w:r>
              <w:rPr>
                <w:rFonts w:ascii="Arial" w:cs="Arial" w:eastAsia="Arial" w:hAnsi="Arial"/>
                <w:sz w:val="17"/>
                <w:szCs w:val="17"/>
                <w:color w:val="auto"/>
              </w:rPr>
              <w:t>91,378,194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91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Treasury stock, at cost, 1,027,439 shares at March 31, 2019 and at December 31, 2018</w:t>
            </w:r>
          </w:p>
        </w:tc>
        <w:tc>
          <w:tcPr>
            <w:tcW w:w="11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(2,712,552)</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(2,712,552)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9120" w:type="dxa"/>
            <w:vAlign w:val="bottom"/>
          </w:tcPr>
          <w:p>
            <w:pPr>
              <w:spacing w:after="0"/>
              <w:rPr>
                <w:sz w:val="20"/>
                <w:szCs w:val="20"/>
                <w:color w:val="auto"/>
              </w:rPr>
            </w:pPr>
            <w:r>
              <w:rPr>
                <w:rFonts w:ascii="Arial" w:cs="Arial" w:eastAsia="Arial" w:hAnsi="Arial"/>
                <w:sz w:val="17"/>
                <w:szCs w:val="17"/>
                <w:b w:val="1"/>
                <w:bCs w:val="1"/>
                <w:color w:val="auto"/>
              </w:rPr>
              <w:t>Total stockholders' equity</w:t>
            </w:r>
          </w:p>
        </w:tc>
        <w:tc>
          <w:tcPr>
            <w:tcW w:w="118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83,775,171</w:t>
            </w:r>
          </w:p>
        </w:tc>
        <w:tc>
          <w:tcPr>
            <w:tcW w:w="110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88,665,642</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9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9120" w:type="dxa"/>
            <w:vAlign w:val="bottom"/>
          </w:tcPr>
          <w:p>
            <w:pPr>
              <w:spacing w:after="0"/>
              <w:rPr>
                <w:sz w:val="20"/>
                <w:szCs w:val="20"/>
                <w:color w:val="auto"/>
              </w:rPr>
            </w:pPr>
            <w:r>
              <w:rPr>
                <w:rFonts w:ascii="Arial" w:cs="Arial" w:eastAsia="Arial" w:hAnsi="Arial"/>
                <w:sz w:val="17"/>
                <w:szCs w:val="17"/>
                <w:b w:val="1"/>
                <w:bCs w:val="1"/>
                <w:color w:val="auto"/>
              </w:rPr>
              <w:t>Total liabilities and stockholders' equity</w:t>
            </w:r>
          </w:p>
        </w:tc>
        <w:tc>
          <w:tcPr>
            <w:tcW w:w="118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w w:val="98"/>
              </w:rPr>
              <w:t>$277,387,935</w:t>
            </w:r>
          </w:p>
        </w:tc>
        <w:tc>
          <w:tcPr>
            <w:tcW w:w="110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w w:val="92"/>
              </w:rPr>
              <w:t>$266,752,078</w:t>
            </w:r>
          </w:p>
        </w:tc>
        <w:tc>
          <w:tcPr>
            <w:tcW w:w="0" w:type="dxa"/>
            <w:vAlign w:val="bottom"/>
          </w:tcPr>
          <w:p>
            <w:pPr>
              <w:spacing w:after="0"/>
              <w:rPr>
                <w:sz w:val="1"/>
                <w:szCs w:val="1"/>
                <w:color w:val="auto"/>
              </w:rPr>
            </w:pPr>
          </w:p>
        </w:tc>
      </w:tr>
      <w:tr>
        <w:trPr>
          <w:trHeight w:val="20"/>
        </w:trPr>
        <w:tc>
          <w:tcPr>
            <w:tcW w:w="9140" w:type="dxa"/>
            <w:vAlign w:val="bottom"/>
            <w:gridSpan w:val="2"/>
            <w:vMerge w:val="restart"/>
          </w:tcPr>
          <w:p>
            <w:pPr>
              <w:spacing w:after="0"/>
              <w:rPr>
                <w:sz w:val="20"/>
                <w:szCs w:val="20"/>
                <w:color w:val="auto"/>
              </w:rPr>
            </w:pPr>
            <w:r>
              <w:rPr>
                <w:rFonts w:ascii="Arial" w:cs="Arial" w:eastAsia="Arial" w:hAnsi="Arial"/>
                <w:sz w:val="17"/>
                <w:szCs w:val="17"/>
                <w:i w:val="1"/>
                <w:iCs w:val="1"/>
                <w:color w:val="auto"/>
              </w:rPr>
              <w:t>See accompanying notes to condensed consolidated financial statements.</w:t>
            </w:r>
          </w:p>
        </w:tc>
        <w:tc>
          <w:tcPr>
            <w:tcW w:w="1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9"/>
        </w:trPr>
        <w:tc>
          <w:tcPr>
            <w:tcW w:w="9140" w:type="dxa"/>
            <w:vAlign w:val="bottom"/>
            <w:gridSpan w:val="2"/>
            <w:vMerge w:val="continue"/>
          </w:tcPr>
          <w:p>
            <w:pPr>
              <w:spacing w:after="0"/>
              <w:rPr>
                <w:sz w:val="24"/>
                <w:szCs w:val="24"/>
                <w:color w:val="auto"/>
              </w:rPr>
            </w:pPr>
          </w:p>
        </w:tc>
        <w:tc>
          <w:tcPr>
            <w:tcW w:w="1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77"/>
        </w:trPr>
        <w:tc>
          <w:tcPr>
            <w:tcW w:w="20" w:type="dxa"/>
            <w:vAlign w:val="bottom"/>
          </w:tcPr>
          <w:p>
            <w:pPr>
              <w:spacing w:after="0"/>
              <w:rPr>
                <w:sz w:val="24"/>
                <w:szCs w:val="24"/>
                <w:color w:val="auto"/>
              </w:rPr>
            </w:pPr>
          </w:p>
        </w:tc>
        <w:tc>
          <w:tcPr>
            <w:tcW w:w="9120" w:type="dxa"/>
            <w:vAlign w:val="bottom"/>
            <w:tcBorders>
              <w:bottom w:val="single" w:sz="8" w:color="auto"/>
            </w:tcBorders>
          </w:tcPr>
          <w:p>
            <w:pPr>
              <w:ind w:left="5660"/>
              <w:spacing w:after="0"/>
              <w:rPr>
                <w:sz w:val="20"/>
                <w:szCs w:val="20"/>
                <w:color w:val="auto"/>
              </w:rPr>
            </w:pPr>
            <w:r>
              <w:rPr>
                <w:rFonts w:ascii="Arial" w:cs="Arial" w:eastAsia="Arial" w:hAnsi="Arial"/>
                <w:sz w:val="17"/>
                <w:szCs w:val="17"/>
                <w:color w:val="auto"/>
              </w:rPr>
              <w:t>4</w:t>
            </w:r>
          </w:p>
        </w:tc>
        <w:tc>
          <w:tcPr>
            <w:tcW w:w="11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46" w:right="239" w:bottom="1440" w:gutter="0" w:footer="0" w:header="0"/>
          <w:type w:val="continuous"/>
        </w:sectPr>
      </w:pPr>
    </w:p>
    <w:bookmarkStart w:id="4" w:name="page5"/>
    <w:bookmarkEnd w:id="4"/>
    <w:p>
      <w:pPr>
        <w:ind w:left="7240"/>
        <w:spacing w:after="0"/>
        <w:rPr>
          <w:sz w:val="20"/>
          <w:szCs w:val="20"/>
          <w:color w:val="auto"/>
        </w:rPr>
      </w:pPr>
      <w:r>
        <w:rPr>
          <w:rFonts w:ascii="Arial" w:cs="Arial" w:eastAsia="Arial" w:hAnsi="Arial"/>
          <w:sz w:val="16"/>
          <w:szCs w:val="16"/>
          <w:b w:val="1"/>
          <w:bCs w:val="1"/>
          <w:color w:val="auto"/>
        </w:rPr>
        <w:t>KINGSTONE COMPANIES, INC. AND SUBSIDIARIES</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Condensed Consolidated Statements of Operations and Comprehensive Loss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165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9140" w:type="dxa"/>
            <w:vAlign w:val="bottom"/>
            <w:gridSpan w:val="2"/>
          </w:tcPr>
          <w:p>
            <w:pPr>
              <w:spacing w:after="0"/>
              <w:rPr>
                <w:sz w:val="20"/>
                <w:szCs w:val="20"/>
                <w:color w:val="auto"/>
              </w:rPr>
            </w:pPr>
            <w:r>
              <w:rPr>
                <w:rFonts w:ascii="Arial" w:cs="Arial" w:eastAsia="Arial" w:hAnsi="Arial"/>
                <w:sz w:val="17"/>
                <w:szCs w:val="17"/>
                <w:i w:val="1"/>
                <w:iCs w:val="1"/>
                <w:color w:val="auto"/>
              </w:rPr>
              <w:t>Three months ended March 31,</w:t>
            </w: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470"/>
        </w:trPr>
        <w:tc>
          <w:tcPr>
            <w:tcW w:w="9140" w:type="dxa"/>
            <w:vAlign w:val="bottom"/>
            <w:gridSpan w:val="2"/>
          </w:tcPr>
          <w:p>
            <w:pPr>
              <w:spacing w:after="0"/>
              <w:rPr>
                <w:sz w:val="20"/>
                <w:szCs w:val="20"/>
                <w:color w:val="auto"/>
              </w:rPr>
            </w:pPr>
            <w:r>
              <w:rPr>
                <w:rFonts w:ascii="Arial" w:cs="Arial" w:eastAsia="Arial" w:hAnsi="Arial"/>
                <w:sz w:val="17"/>
                <w:szCs w:val="17"/>
                <w:b w:val="1"/>
                <w:bCs w:val="1"/>
                <w:color w:val="auto"/>
              </w:rPr>
              <w:t>Revenues</w:t>
            </w: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1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Net premiums earned</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w w:val="91"/>
              </w:rPr>
              <w:t>29,595,889</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w w:val="89"/>
              </w:rPr>
              <w:t>22,837,617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120" w:type="dxa"/>
            <w:vAlign w:val="bottom"/>
          </w:tcPr>
          <w:p>
            <w:pPr>
              <w:ind w:left="140"/>
              <w:spacing w:after="0"/>
              <w:rPr>
                <w:sz w:val="20"/>
                <w:szCs w:val="20"/>
                <w:color w:val="auto"/>
              </w:rPr>
            </w:pPr>
            <w:r>
              <w:rPr>
                <w:rFonts w:ascii="Arial" w:cs="Arial" w:eastAsia="Arial" w:hAnsi="Arial"/>
                <w:sz w:val="17"/>
                <w:szCs w:val="17"/>
                <w:color w:val="auto"/>
              </w:rPr>
              <w:t>Ceding commission revenue</w:t>
            </w:r>
          </w:p>
        </w:tc>
        <w:tc>
          <w:tcPr>
            <w:tcW w:w="240" w:type="dxa"/>
            <w:vAlign w:val="bottom"/>
          </w:tcPr>
          <w:p>
            <w:pPr>
              <w:spacing w:after="0"/>
              <w:rPr>
                <w:sz w:val="18"/>
                <w:szCs w:val="18"/>
                <w:color w:val="auto"/>
              </w:rPr>
            </w:pPr>
          </w:p>
        </w:tc>
        <w:tc>
          <w:tcPr>
            <w:tcW w:w="940" w:type="dxa"/>
            <w:vAlign w:val="bottom"/>
          </w:tcPr>
          <w:p>
            <w:pPr>
              <w:jc w:val="right"/>
              <w:ind w:right="55"/>
              <w:spacing w:after="0"/>
              <w:rPr>
                <w:sz w:val="20"/>
                <w:szCs w:val="20"/>
                <w:color w:val="auto"/>
              </w:rPr>
            </w:pPr>
            <w:r>
              <w:rPr>
                <w:rFonts w:ascii="Arial" w:cs="Arial" w:eastAsia="Arial" w:hAnsi="Arial"/>
                <w:sz w:val="17"/>
                <w:szCs w:val="17"/>
                <w:color w:val="auto"/>
              </w:rPr>
              <w:t>1,277,683</w:t>
            </w:r>
          </w:p>
        </w:tc>
        <w:tc>
          <w:tcPr>
            <w:tcW w:w="200" w:type="dxa"/>
            <w:vAlign w:val="bottom"/>
          </w:tcPr>
          <w:p>
            <w:pPr>
              <w:spacing w:after="0"/>
              <w:rPr>
                <w:sz w:val="18"/>
                <w:szCs w:val="18"/>
                <w:color w:val="auto"/>
              </w:rPr>
            </w:pPr>
          </w:p>
        </w:tc>
        <w:tc>
          <w:tcPr>
            <w:tcW w:w="900" w:type="dxa"/>
            <w:vAlign w:val="bottom"/>
          </w:tcPr>
          <w:p>
            <w:pPr>
              <w:jc w:val="right"/>
              <w:ind w:right="35"/>
              <w:spacing w:after="0"/>
              <w:rPr>
                <w:sz w:val="20"/>
                <w:szCs w:val="20"/>
                <w:color w:val="auto"/>
              </w:rPr>
            </w:pPr>
            <w:r>
              <w:rPr>
                <w:rFonts w:ascii="Arial" w:cs="Arial" w:eastAsia="Arial" w:hAnsi="Arial"/>
                <w:sz w:val="17"/>
                <w:szCs w:val="17"/>
                <w:color w:val="auto"/>
              </w:rPr>
              <w:t>1,695,158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1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Net investment income</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1,623,712</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1,383,989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120" w:type="dxa"/>
            <w:vAlign w:val="bottom"/>
          </w:tcPr>
          <w:p>
            <w:pPr>
              <w:ind w:left="140"/>
              <w:spacing w:after="0"/>
              <w:rPr>
                <w:sz w:val="20"/>
                <w:szCs w:val="20"/>
                <w:color w:val="auto"/>
              </w:rPr>
            </w:pPr>
            <w:r>
              <w:rPr>
                <w:rFonts w:ascii="Arial" w:cs="Arial" w:eastAsia="Arial" w:hAnsi="Arial"/>
                <w:sz w:val="17"/>
                <w:szCs w:val="17"/>
                <w:color w:val="auto"/>
              </w:rPr>
              <w:t>Net gains (losses) on investments</w:t>
            </w:r>
          </w:p>
        </w:tc>
        <w:tc>
          <w:tcPr>
            <w:tcW w:w="240" w:type="dxa"/>
            <w:vAlign w:val="bottom"/>
          </w:tcPr>
          <w:p>
            <w:pPr>
              <w:spacing w:after="0"/>
              <w:rPr>
                <w:sz w:val="18"/>
                <w:szCs w:val="18"/>
                <w:color w:val="auto"/>
              </w:rPr>
            </w:pPr>
          </w:p>
        </w:tc>
        <w:tc>
          <w:tcPr>
            <w:tcW w:w="940" w:type="dxa"/>
            <w:vAlign w:val="bottom"/>
          </w:tcPr>
          <w:p>
            <w:pPr>
              <w:jc w:val="right"/>
              <w:ind w:right="55"/>
              <w:spacing w:after="0"/>
              <w:rPr>
                <w:sz w:val="20"/>
                <w:szCs w:val="20"/>
                <w:color w:val="auto"/>
              </w:rPr>
            </w:pPr>
            <w:r>
              <w:rPr>
                <w:rFonts w:ascii="Arial" w:cs="Arial" w:eastAsia="Arial" w:hAnsi="Arial"/>
                <w:sz w:val="17"/>
                <w:szCs w:val="17"/>
                <w:color w:val="auto"/>
              </w:rPr>
              <w:t>2,035,363</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(523,127)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91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Other income</w:t>
            </w:r>
          </w:p>
        </w:tc>
        <w:tc>
          <w:tcPr>
            <w:tcW w:w="2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365,901</w:t>
            </w: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308,233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9120" w:type="dxa"/>
            <w:vAlign w:val="bottom"/>
          </w:tcPr>
          <w:p>
            <w:pPr>
              <w:ind w:left="300"/>
              <w:spacing w:after="0"/>
              <w:rPr>
                <w:sz w:val="20"/>
                <w:szCs w:val="20"/>
                <w:color w:val="auto"/>
              </w:rPr>
            </w:pPr>
            <w:r>
              <w:rPr>
                <w:rFonts w:ascii="Arial" w:cs="Arial" w:eastAsia="Arial" w:hAnsi="Arial"/>
                <w:sz w:val="17"/>
                <w:szCs w:val="17"/>
                <w:color w:val="auto"/>
              </w:rPr>
              <w:t>Total revenues</w:t>
            </w: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w w:val="91"/>
              </w:rPr>
              <w:t>34,898,548</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w w:val="89"/>
              </w:rPr>
              <w:t>25,701,870</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9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9120" w:type="dxa"/>
            <w:vAlign w:val="bottom"/>
          </w:tcPr>
          <w:p>
            <w:pPr>
              <w:spacing w:after="0"/>
              <w:rPr>
                <w:sz w:val="20"/>
                <w:szCs w:val="20"/>
                <w:color w:val="auto"/>
              </w:rPr>
            </w:pPr>
            <w:r>
              <w:rPr>
                <w:rFonts w:ascii="Arial" w:cs="Arial" w:eastAsia="Arial" w:hAnsi="Arial"/>
                <w:sz w:val="17"/>
                <w:szCs w:val="17"/>
                <w:b w:val="1"/>
                <w:bCs w:val="1"/>
                <w:color w:val="auto"/>
              </w:rPr>
              <w:t>Expenses</w:t>
            </w: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1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Loss and loss adjustment expenses</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w w:val="91"/>
              </w:rPr>
              <w:t>29,134,224</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w w:val="89"/>
              </w:rPr>
              <w:t>17,266,330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120" w:type="dxa"/>
            <w:vAlign w:val="bottom"/>
          </w:tcPr>
          <w:p>
            <w:pPr>
              <w:ind w:left="140"/>
              <w:spacing w:after="0"/>
              <w:rPr>
                <w:sz w:val="20"/>
                <w:szCs w:val="20"/>
                <w:color w:val="auto"/>
              </w:rPr>
            </w:pPr>
            <w:r>
              <w:rPr>
                <w:rFonts w:ascii="Arial" w:cs="Arial" w:eastAsia="Arial" w:hAnsi="Arial"/>
                <w:sz w:val="17"/>
                <w:szCs w:val="17"/>
                <w:color w:val="auto"/>
              </w:rPr>
              <w:t>Commission expense</w:t>
            </w:r>
          </w:p>
        </w:tc>
        <w:tc>
          <w:tcPr>
            <w:tcW w:w="240" w:type="dxa"/>
            <w:vAlign w:val="bottom"/>
          </w:tcPr>
          <w:p>
            <w:pPr>
              <w:spacing w:after="0"/>
              <w:rPr>
                <w:sz w:val="18"/>
                <w:szCs w:val="18"/>
                <w:color w:val="auto"/>
              </w:rPr>
            </w:pPr>
          </w:p>
        </w:tc>
        <w:tc>
          <w:tcPr>
            <w:tcW w:w="940" w:type="dxa"/>
            <w:vAlign w:val="bottom"/>
          </w:tcPr>
          <w:p>
            <w:pPr>
              <w:jc w:val="right"/>
              <w:ind w:right="55"/>
              <w:spacing w:after="0"/>
              <w:rPr>
                <w:sz w:val="20"/>
                <w:szCs w:val="20"/>
                <w:color w:val="auto"/>
              </w:rPr>
            </w:pPr>
            <w:r>
              <w:rPr>
                <w:rFonts w:ascii="Arial" w:cs="Arial" w:eastAsia="Arial" w:hAnsi="Arial"/>
                <w:sz w:val="17"/>
                <w:szCs w:val="17"/>
                <w:color w:val="auto"/>
              </w:rPr>
              <w:t>6,853,416</w:t>
            </w:r>
          </w:p>
        </w:tc>
        <w:tc>
          <w:tcPr>
            <w:tcW w:w="200" w:type="dxa"/>
            <w:vAlign w:val="bottom"/>
          </w:tcPr>
          <w:p>
            <w:pPr>
              <w:spacing w:after="0"/>
              <w:rPr>
                <w:sz w:val="18"/>
                <w:szCs w:val="18"/>
                <w:color w:val="auto"/>
              </w:rPr>
            </w:pPr>
          </w:p>
        </w:tc>
        <w:tc>
          <w:tcPr>
            <w:tcW w:w="900" w:type="dxa"/>
            <w:vAlign w:val="bottom"/>
          </w:tcPr>
          <w:p>
            <w:pPr>
              <w:jc w:val="right"/>
              <w:ind w:right="35"/>
              <w:spacing w:after="0"/>
              <w:rPr>
                <w:sz w:val="20"/>
                <w:szCs w:val="20"/>
                <w:color w:val="auto"/>
              </w:rPr>
            </w:pPr>
            <w:r>
              <w:rPr>
                <w:rFonts w:ascii="Arial" w:cs="Arial" w:eastAsia="Arial" w:hAnsi="Arial"/>
                <w:sz w:val="17"/>
                <w:szCs w:val="17"/>
                <w:color w:val="auto"/>
              </w:rPr>
              <w:t>5,799,948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1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Other underwriting expenses</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6,135,991</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5,031,503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120" w:type="dxa"/>
            <w:vAlign w:val="bottom"/>
          </w:tcPr>
          <w:p>
            <w:pPr>
              <w:ind w:left="140"/>
              <w:spacing w:after="0"/>
              <w:rPr>
                <w:sz w:val="20"/>
                <w:szCs w:val="20"/>
                <w:color w:val="auto"/>
              </w:rPr>
            </w:pPr>
            <w:r>
              <w:rPr>
                <w:rFonts w:ascii="Arial" w:cs="Arial" w:eastAsia="Arial" w:hAnsi="Arial"/>
                <w:sz w:val="17"/>
                <w:szCs w:val="17"/>
                <w:color w:val="auto"/>
              </w:rPr>
              <w:t>Other operating expenses</w:t>
            </w:r>
          </w:p>
        </w:tc>
        <w:tc>
          <w:tcPr>
            <w:tcW w:w="240" w:type="dxa"/>
            <w:vAlign w:val="bottom"/>
          </w:tcPr>
          <w:p>
            <w:pPr>
              <w:spacing w:after="0"/>
              <w:rPr>
                <w:sz w:val="18"/>
                <w:szCs w:val="18"/>
                <w:color w:val="auto"/>
              </w:rPr>
            </w:pPr>
          </w:p>
        </w:tc>
        <w:tc>
          <w:tcPr>
            <w:tcW w:w="940" w:type="dxa"/>
            <w:vAlign w:val="bottom"/>
          </w:tcPr>
          <w:p>
            <w:pPr>
              <w:jc w:val="right"/>
              <w:ind w:right="55"/>
              <w:spacing w:after="0"/>
              <w:rPr>
                <w:sz w:val="20"/>
                <w:szCs w:val="20"/>
                <w:color w:val="auto"/>
              </w:rPr>
            </w:pPr>
            <w:r>
              <w:rPr>
                <w:rFonts w:ascii="Arial" w:cs="Arial" w:eastAsia="Arial" w:hAnsi="Arial"/>
                <w:sz w:val="17"/>
                <w:szCs w:val="17"/>
                <w:color w:val="auto"/>
              </w:rPr>
              <w:t>971,172</w:t>
            </w:r>
          </w:p>
        </w:tc>
        <w:tc>
          <w:tcPr>
            <w:tcW w:w="200" w:type="dxa"/>
            <w:vAlign w:val="bottom"/>
          </w:tcPr>
          <w:p>
            <w:pPr>
              <w:spacing w:after="0"/>
              <w:rPr>
                <w:sz w:val="18"/>
                <w:szCs w:val="18"/>
                <w:color w:val="auto"/>
              </w:rPr>
            </w:pPr>
          </w:p>
        </w:tc>
        <w:tc>
          <w:tcPr>
            <w:tcW w:w="900" w:type="dxa"/>
            <w:vAlign w:val="bottom"/>
          </w:tcPr>
          <w:p>
            <w:pPr>
              <w:jc w:val="right"/>
              <w:ind w:right="35"/>
              <w:spacing w:after="0"/>
              <w:rPr>
                <w:sz w:val="20"/>
                <w:szCs w:val="20"/>
                <w:color w:val="auto"/>
              </w:rPr>
            </w:pPr>
            <w:r>
              <w:rPr>
                <w:rFonts w:ascii="Arial" w:cs="Arial" w:eastAsia="Arial" w:hAnsi="Arial"/>
                <w:sz w:val="17"/>
                <w:szCs w:val="17"/>
                <w:color w:val="auto"/>
              </w:rPr>
              <w:t>246,858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1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Depreciation and amortization</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602,332</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409,431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9120" w:type="dxa"/>
            <w:vAlign w:val="bottom"/>
          </w:tcPr>
          <w:p>
            <w:pPr>
              <w:ind w:left="140"/>
              <w:spacing w:after="0"/>
              <w:rPr>
                <w:sz w:val="20"/>
                <w:szCs w:val="20"/>
                <w:color w:val="auto"/>
              </w:rPr>
            </w:pPr>
            <w:r>
              <w:rPr>
                <w:rFonts w:ascii="Arial" w:cs="Arial" w:eastAsia="Arial" w:hAnsi="Arial"/>
                <w:sz w:val="17"/>
                <w:szCs w:val="17"/>
                <w:color w:val="auto"/>
              </w:rPr>
              <w:t>Interest expense</w:t>
            </w: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456,545</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456,545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91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7"/>
                <w:szCs w:val="17"/>
                <w:color w:val="auto"/>
              </w:rPr>
              <w:t>Total expenses</w:t>
            </w:r>
          </w:p>
        </w:tc>
        <w:tc>
          <w:tcPr>
            <w:tcW w:w="2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w w:val="91"/>
              </w:rPr>
              <w:t>44,153,680</w:t>
            </w: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w w:val="89"/>
              </w:rPr>
              <w:t>29,210,615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1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Loss from operations before income taxes</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94"/>
              </w:rPr>
              <w:t>(9,255,132)</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4"/>
              </w:rPr>
              <w:t>(3,508,745)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9120" w:type="dxa"/>
            <w:vAlign w:val="bottom"/>
          </w:tcPr>
          <w:p>
            <w:pPr>
              <w:ind w:left="140"/>
              <w:spacing w:after="0"/>
              <w:rPr>
                <w:sz w:val="20"/>
                <w:szCs w:val="20"/>
                <w:color w:val="auto"/>
              </w:rPr>
            </w:pPr>
            <w:r>
              <w:rPr>
                <w:rFonts w:ascii="Arial" w:cs="Arial" w:eastAsia="Arial" w:hAnsi="Arial"/>
                <w:sz w:val="17"/>
                <w:szCs w:val="17"/>
                <w:color w:val="auto"/>
              </w:rPr>
              <w:t>Income tax benefit</w:t>
            </w: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w w:val="94"/>
              </w:rPr>
              <w:t>(1,919,942)</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(790,811)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9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Net loss</w:t>
            </w:r>
          </w:p>
        </w:tc>
        <w:tc>
          <w:tcPr>
            <w:tcW w:w="2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w w:val="94"/>
              </w:rPr>
              <w:t>(7,335,190)</w:t>
            </w: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4"/>
              </w:rPr>
              <w:t>(2,717,934)</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9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Other comprehensive (loss) income, net of tax</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9120" w:type="dxa"/>
            <w:vAlign w:val="bottom"/>
          </w:tcPr>
          <w:p>
            <w:pPr>
              <w:ind w:left="140"/>
              <w:spacing w:after="0"/>
              <w:rPr>
                <w:sz w:val="20"/>
                <w:szCs w:val="20"/>
                <w:color w:val="auto"/>
              </w:rPr>
            </w:pPr>
            <w:r>
              <w:rPr>
                <w:rFonts w:ascii="Arial" w:cs="Arial" w:eastAsia="Arial" w:hAnsi="Arial"/>
                <w:sz w:val="17"/>
                <w:szCs w:val="17"/>
                <w:color w:val="auto"/>
              </w:rPr>
              <w:t>Gross change in unrealized gains (losses) on available-for-sale-securities</w:t>
            </w:r>
          </w:p>
        </w:tc>
        <w:tc>
          <w:tcPr>
            <w:tcW w:w="240" w:type="dxa"/>
            <w:vAlign w:val="bottom"/>
          </w:tcPr>
          <w:p>
            <w:pPr>
              <w:spacing w:after="0"/>
              <w:rPr>
                <w:sz w:val="20"/>
                <w:szCs w:val="20"/>
                <w:color w:val="auto"/>
              </w:rPr>
            </w:pPr>
          </w:p>
        </w:tc>
        <w:tc>
          <w:tcPr>
            <w:tcW w:w="940" w:type="dxa"/>
            <w:vAlign w:val="bottom"/>
          </w:tcPr>
          <w:p>
            <w:pPr>
              <w:jc w:val="right"/>
              <w:ind w:right="55"/>
              <w:spacing w:after="0"/>
              <w:rPr>
                <w:sz w:val="20"/>
                <w:szCs w:val="20"/>
                <w:color w:val="auto"/>
              </w:rPr>
            </w:pPr>
            <w:r>
              <w:rPr>
                <w:rFonts w:ascii="Arial" w:cs="Arial" w:eastAsia="Arial" w:hAnsi="Arial"/>
                <w:sz w:val="17"/>
                <w:szCs w:val="17"/>
                <w:color w:val="auto"/>
              </w:rPr>
              <w:t>4,188,716</w:t>
            </w: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w w:val="94"/>
              </w:rPr>
              <w:t>(2,873,479)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1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Reclassification adjustment for losses included in net income</w:t>
            </w:r>
          </w:p>
        </w:tc>
        <w:tc>
          <w:tcPr>
            <w:tcW w:w="2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22,431</w:t>
            </w: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243,773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120" w:type="dxa"/>
            <w:vAlign w:val="bottom"/>
          </w:tcPr>
          <w:p>
            <w:pPr>
              <w:ind w:left="460"/>
              <w:spacing w:after="0"/>
              <w:rPr>
                <w:sz w:val="20"/>
                <w:szCs w:val="20"/>
                <w:color w:val="auto"/>
              </w:rPr>
            </w:pPr>
            <w:r>
              <w:rPr>
                <w:rFonts w:ascii="Arial" w:cs="Arial" w:eastAsia="Arial" w:hAnsi="Arial"/>
                <w:sz w:val="17"/>
                <w:szCs w:val="17"/>
                <w:color w:val="auto"/>
              </w:rPr>
              <w:t>Net change in unrealized gains (losses)</w:t>
            </w:r>
          </w:p>
        </w:tc>
        <w:tc>
          <w:tcPr>
            <w:tcW w:w="240" w:type="dxa"/>
            <w:vAlign w:val="bottom"/>
          </w:tcPr>
          <w:p>
            <w:pPr>
              <w:spacing w:after="0"/>
              <w:rPr>
                <w:sz w:val="18"/>
                <w:szCs w:val="18"/>
                <w:color w:val="auto"/>
              </w:rPr>
            </w:pPr>
          </w:p>
        </w:tc>
        <w:tc>
          <w:tcPr>
            <w:tcW w:w="940" w:type="dxa"/>
            <w:vAlign w:val="bottom"/>
          </w:tcPr>
          <w:p>
            <w:pPr>
              <w:jc w:val="right"/>
              <w:ind w:right="55"/>
              <w:spacing w:after="0"/>
              <w:rPr>
                <w:sz w:val="20"/>
                <w:szCs w:val="20"/>
                <w:color w:val="auto"/>
              </w:rPr>
            </w:pPr>
            <w:r>
              <w:rPr>
                <w:rFonts w:ascii="Arial" w:cs="Arial" w:eastAsia="Arial" w:hAnsi="Arial"/>
                <w:sz w:val="17"/>
                <w:szCs w:val="17"/>
                <w:color w:val="auto"/>
              </w:rPr>
              <w:t>4,211,147</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w w:val="94"/>
              </w:rPr>
              <w:t>(2,629,706)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91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Income tax (expense) benefit related to items of other comprehensive (loss) income</w:t>
            </w:r>
          </w:p>
        </w:tc>
        <w:tc>
          <w:tcPr>
            <w:tcW w:w="2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(884,341)</w:t>
            </w: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552,238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9120" w:type="dxa"/>
            <w:vAlign w:val="bottom"/>
          </w:tcPr>
          <w:p>
            <w:pPr>
              <w:spacing w:after="0"/>
              <w:rPr>
                <w:sz w:val="20"/>
                <w:szCs w:val="20"/>
                <w:color w:val="auto"/>
              </w:rPr>
            </w:pPr>
            <w:r>
              <w:rPr>
                <w:rFonts w:ascii="Arial" w:cs="Arial" w:eastAsia="Arial" w:hAnsi="Arial"/>
                <w:sz w:val="17"/>
                <w:szCs w:val="17"/>
                <w:b w:val="1"/>
                <w:bCs w:val="1"/>
                <w:color w:val="auto"/>
              </w:rPr>
              <w:t>Other comprehensive income (loss), net of tax</w:t>
            </w: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3,326,806</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4"/>
              </w:rPr>
              <w:t>(2,077,468)</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9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9120" w:type="dxa"/>
            <w:vAlign w:val="bottom"/>
          </w:tcPr>
          <w:p>
            <w:pPr>
              <w:spacing w:after="0"/>
              <w:rPr>
                <w:sz w:val="20"/>
                <w:szCs w:val="20"/>
                <w:color w:val="auto"/>
              </w:rPr>
            </w:pPr>
            <w:r>
              <w:rPr>
                <w:rFonts w:ascii="Arial" w:cs="Arial" w:eastAsia="Arial" w:hAnsi="Arial"/>
                <w:sz w:val="17"/>
                <w:szCs w:val="17"/>
                <w:b w:val="1"/>
                <w:bCs w:val="1"/>
                <w:color w:val="auto"/>
              </w:rPr>
              <w:t>Comprehensive loss</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w w:val="94"/>
              </w:rPr>
              <w:t>(4,008,384)</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4"/>
              </w:rPr>
              <w:t>(4,795,402)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restart"/>
          </w:tcPr>
          <w:p>
            <w:pPr>
              <w:spacing w:after="0"/>
              <w:rPr>
                <w:sz w:val="17"/>
                <w:szCs w:val="17"/>
                <w:color w:val="auto"/>
              </w:rPr>
            </w:pPr>
          </w:p>
        </w:tc>
        <w:tc>
          <w:tcPr>
            <w:tcW w:w="9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9120" w:type="dxa"/>
            <w:vAlign w:val="bottom"/>
          </w:tcPr>
          <w:p>
            <w:pPr>
              <w:spacing w:after="0"/>
              <w:rPr>
                <w:sz w:val="20"/>
                <w:szCs w:val="20"/>
                <w:color w:val="auto"/>
              </w:rPr>
            </w:pPr>
            <w:r>
              <w:rPr>
                <w:rFonts w:ascii="Arial" w:cs="Arial" w:eastAsia="Arial" w:hAnsi="Arial"/>
                <w:sz w:val="17"/>
                <w:szCs w:val="17"/>
                <w:b w:val="1"/>
                <w:bCs w:val="1"/>
                <w:color w:val="auto"/>
              </w:rPr>
              <w:t>Loss per common share:</w:t>
            </w: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91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Basic</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(0.68)</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(0.25)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120" w:type="dxa"/>
            <w:vAlign w:val="bottom"/>
          </w:tcPr>
          <w:p>
            <w:pPr>
              <w:ind w:left="140"/>
              <w:spacing w:after="0"/>
              <w:rPr>
                <w:sz w:val="20"/>
                <w:szCs w:val="20"/>
                <w:color w:val="auto"/>
              </w:rPr>
            </w:pPr>
            <w:r>
              <w:rPr>
                <w:rFonts w:ascii="Arial" w:cs="Arial" w:eastAsia="Arial" w:hAnsi="Arial"/>
                <w:sz w:val="17"/>
                <w:szCs w:val="17"/>
                <w:color w:val="auto"/>
              </w:rPr>
              <w:t>Diluted</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(0.68)</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restart"/>
          </w:tcPr>
          <w:p>
            <w:pPr>
              <w:spacing w:after="0"/>
              <w:rPr>
                <w:sz w:val="17"/>
                <w:szCs w:val="17"/>
                <w:color w:val="auto"/>
              </w:rPr>
            </w:pPr>
          </w:p>
        </w:tc>
        <w:tc>
          <w:tcPr>
            <w:tcW w:w="9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9120" w:type="dxa"/>
            <w:vAlign w:val="bottom"/>
          </w:tcPr>
          <w:p>
            <w:pPr>
              <w:spacing w:after="0"/>
              <w:rPr>
                <w:sz w:val="20"/>
                <w:szCs w:val="20"/>
                <w:color w:val="auto"/>
              </w:rPr>
            </w:pPr>
            <w:r>
              <w:rPr>
                <w:rFonts w:ascii="Arial" w:cs="Arial" w:eastAsia="Arial" w:hAnsi="Arial"/>
                <w:sz w:val="17"/>
                <w:szCs w:val="17"/>
                <w:b w:val="1"/>
                <w:bCs w:val="1"/>
                <w:color w:val="auto"/>
              </w:rPr>
              <w:t>Weighted average common shares outstanding</w:t>
            </w: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91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Basic</w:t>
            </w:r>
          </w:p>
        </w:tc>
        <w:tc>
          <w:tcPr>
            <w:tcW w:w="24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w w:val="91"/>
              </w:rPr>
              <w:t>10,757,843</w:t>
            </w:r>
          </w:p>
        </w:tc>
        <w:tc>
          <w:tcPr>
            <w:tcW w:w="20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w w:val="89"/>
              </w:rPr>
              <w:t>10,669,992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120" w:type="dxa"/>
            <w:vAlign w:val="bottom"/>
          </w:tcPr>
          <w:p>
            <w:pPr>
              <w:ind w:left="140"/>
              <w:spacing w:after="0"/>
              <w:rPr>
                <w:sz w:val="20"/>
                <w:szCs w:val="20"/>
                <w:color w:val="auto"/>
              </w:rPr>
            </w:pPr>
            <w:r>
              <w:rPr>
                <w:rFonts w:ascii="Arial" w:cs="Arial" w:eastAsia="Arial" w:hAnsi="Arial"/>
                <w:sz w:val="17"/>
                <w:szCs w:val="17"/>
                <w:color w:val="auto"/>
              </w:rPr>
              <w:t>Diluted</w:t>
            </w: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w w:val="91"/>
              </w:rPr>
              <w:t>10,757,843</w:t>
            </w: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w w:val="89"/>
              </w:rPr>
              <w:t>10,669,992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restart"/>
          </w:tcPr>
          <w:p>
            <w:pPr>
              <w:spacing w:after="0"/>
              <w:rPr>
                <w:sz w:val="17"/>
                <w:szCs w:val="17"/>
                <w:color w:val="auto"/>
              </w:rPr>
            </w:pPr>
          </w:p>
        </w:tc>
        <w:tc>
          <w:tcPr>
            <w:tcW w:w="9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9120" w:type="dxa"/>
            <w:vAlign w:val="bottom"/>
          </w:tcPr>
          <w:p>
            <w:pPr>
              <w:spacing w:after="0"/>
              <w:rPr>
                <w:sz w:val="20"/>
                <w:szCs w:val="20"/>
                <w:color w:val="auto"/>
              </w:rPr>
            </w:pPr>
            <w:r>
              <w:rPr>
                <w:rFonts w:ascii="Arial" w:cs="Arial" w:eastAsia="Arial" w:hAnsi="Arial"/>
                <w:sz w:val="17"/>
                <w:szCs w:val="17"/>
                <w:b w:val="1"/>
                <w:bCs w:val="1"/>
                <w:color w:val="auto"/>
              </w:rPr>
              <w:t>Dividends declared and paid per common share</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0.1000</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0.1000</w:t>
            </w:r>
          </w:p>
        </w:tc>
        <w:tc>
          <w:tcPr>
            <w:tcW w:w="0" w:type="dxa"/>
            <w:vAlign w:val="bottom"/>
          </w:tcPr>
          <w:p>
            <w:pPr>
              <w:spacing w:after="0"/>
              <w:rPr>
                <w:sz w:val="1"/>
                <w:szCs w:val="1"/>
                <w:color w:val="auto"/>
              </w:rPr>
            </w:pPr>
          </w:p>
        </w:tc>
      </w:tr>
      <w:tr>
        <w:trPr>
          <w:trHeight w:val="20"/>
        </w:trPr>
        <w:tc>
          <w:tcPr>
            <w:tcW w:w="9140" w:type="dxa"/>
            <w:vAlign w:val="bottom"/>
            <w:gridSpan w:val="2"/>
            <w:vMerge w:val="restart"/>
          </w:tcPr>
          <w:p>
            <w:pPr>
              <w:spacing w:after="0"/>
              <w:rPr>
                <w:sz w:val="20"/>
                <w:szCs w:val="20"/>
                <w:color w:val="auto"/>
              </w:rPr>
            </w:pPr>
            <w:r>
              <w:rPr>
                <w:rFonts w:ascii="Arial" w:cs="Arial" w:eastAsia="Arial" w:hAnsi="Arial"/>
                <w:sz w:val="17"/>
                <w:szCs w:val="17"/>
                <w:i w:val="1"/>
                <w:iCs w:val="1"/>
                <w:color w:val="auto"/>
              </w:rPr>
              <w:t>See accompanying notes to condensed consolidated financial statements.</w:t>
            </w: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9"/>
        </w:trPr>
        <w:tc>
          <w:tcPr>
            <w:tcW w:w="914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9"/>
        </w:trPr>
        <w:tc>
          <w:tcPr>
            <w:tcW w:w="20" w:type="dxa"/>
            <w:vAlign w:val="bottom"/>
          </w:tcPr>
          <w:p>
            <w:pPr>
              <w:spacing w:after="0"/>
              <w:rPr>
                <w:sz w:val="24"/>
                <w:szCs w:val="24"/>
                <w:color w:val="auto"/>
              </w:rPr>
            </w:pPr>
          </w:p>
        </w:tc>
        <w:tc>
          <w:tcPr>
            <w:tcW w:w="9120" w:type="dxa"/>
            <w:vAlign w:val="bottom"/>
            <w:tcBorders>
              <w:bottom w:val="single" w:sz="8" w:color="auto"/>
            </w:tcBorders>
          </w:tcPr>
          <w:p>
            <w:pPr>
              <w:ind w:left="5660"/>
              <w:spacing w:after="0"/>
              <w:rPr>
                <w:sz w:val="20"/>
                <w:szCs w:val="20"/>
                <w:color w:val="auto"/>
              </w:rPr>
            </w:pPr>
            <w:r>
              <w:rPr>
                <w:rFonts w:ascii="Arial" w:cs="Arial" w:eastAsia="Arial" w:hAnsi="Arial"/>
                <w:sz w:val="17"/>
                <w:szCs w:val="17"/>
                <w:color w:val="auto"/>
              </w:rPr>
              <w:t>5</w:t>
            </w:r>
          </w:p>
        </w:tc>
        <w:tc>
          <w:tcPr>
            <w:tcW w:w="2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19" w:right="239" w:bottom="1440" w:gutter="0" w:footer="0" w:header="0"/>
        </w:sectPr>
      </w:pPr>
    </w:p>
    <w:bookmarkStart w:id="5" w:name="page6"/>
    <w:bookmarkEnd w:id="5"/>
    <w:p>
      <w:pPr>
        <w:ind w:left="7240"/>
        <w:spacing w:after="0"/>
        <w:rPr>
          <w:sz w:val="20"/>
          <w:szCs w:val="20"/>
          <w:color w:val="auto"/>
        </w:rPr>
      </w:pPr>
      <w:r>
        <w:rPr>
          <w:rFonts w:ascii="Arial" w:cs="Arial" w:eastAsia="Arial" w:hAnsi="Arial"/>
          <w:sz w:val="16"/>
          <w:szCs w:val="16"/>
          <w:b w:val="1"/>
          <w:bCs w:val="1"/>
          <w:color w:val="auto"/>
        </w:rPr>
        <w:t>KINGSTONE COMPANIES, INC. AND SUBSIDIARIES</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Condensed Consolidated Statements of Stockholders' Equity (Unaudited)</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Three months ended March 31, 2019 and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wp:posOffset>
            </wp:positionV>
            <wp:extent cx="7251065" cy="165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20" w:type="dxa"/>
            <w:vAlign w:val="bottom"/>
            <w:gridSpan w:val="2"/>
          </w:tcPr>
          <w:p>
            <w:pPr>
              <w:jc w:val="center"/>
              <w:spacing w:after="0"/>
              <w:rPr>
                <w:sz w:val="20"/>
                <w:szCs w:val="20"/>
                <w:color w:val="auto"/>
              </w:rPr>
            </w:pPr>
            <w:r>
              <w:rPr>
                <w:rFonts w:ascii="Arial" w:cs="Arial" w:eastAsia="Arial" w:hAnsi="Arial"/>
                <w:sz w:val="12"/>
                <w:szCs w:val="12"/>
                <w:b w:val="1"/>
                <w:bCs w:val="1"/>
                <w:color w:val="auto"/>
                <w:w w:val="90"/>
              </w:rPr>
              <w:t>Accumulated</w:t>
            </w:r>
          </w:p>
        </w:tc>
        <w:tc>
          <w:tcPr>
            <w:tcW w:w="10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57"/>
        </w:trPr>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jc w:val="center"/>
              <w:spacing w:after="0"/>
              <w:rPr>
                <w:sz w:val="20"/>
                <w:szCs w:val="20"/>
                <w:color w:val="auto"/>
              </w:rPr>
            </w:pPr>
            <w:r>
              <w:rPr>
                <w:rFonts w:ascii="Arial" w:cs="Arial" w:eastAsia="Arial" w:hAnsi="Arial"/>
                <w:sz w:val="12"/>
                <w:szCs w:val="12"/>
                <w:b w:val="1"/>
                <w:bCs w:val="1"/>
                <w:color w:val="auto"/>
                <w:w w:val="94"/>
              </w:rPr>
              <w:t>Capital</w:t>
            </w:r>
          </w:p>
        </w:tc>
        <w:tc>
          <w:tcPr>
            <w:tcW w:w="220" w:type="dxa"/>
            <w:vAlign w:val="bottom"/>
          </w:tcPr>
          <w:p>
            <w:pPr>
              <w:spacing w:after="0"/>
              <w:rPr>
                <w:sz w:val="13"/>
                <w:szCs w:val="13"/>
                <w:color w:val="auto"/>
              </w:rPr>
            </w:pPr>
          </w:p>
        </w:tc>
        <w:tc>
          <w:tcPr>
            <w:tcW w:w="800" w:type="dxa"/>
            <w:vAlign w:val="bottom"/>
          </w:tcPr>
          <w:p>
            <w:pPr>
              <w:jc w:val="center"/>
              <w:ind w:right="149"/>
              <w:spacing w:after="0"/>
              <w:rPr>
                <w:sz w:val="20"/>
                <w:szCs w:val="20"/>
                <w:color w:val="auto"/>
              </w:rPr>
            </w:pPr>
            <w:r>
              <w:rPr>
                <w:rFonts w:ascii="Arial" w:cs="Arial" w:eastAsia="Arial" w:hAnsi="Arial"/>
                <w:sz w:val="12"/>
                <w:szCs w:val="12"/>
                <w:b w:val="1"/>
                <w:bCs w:val="1"/>
                <w:color w:val="auto"/>
                <w:w w:val="93"/>
              </w:rPr>
              <w:t>Other</w:t>
            </w:r>
          </w:p>
        </w:tc>
        <w:tc>
          <w:tcPr>
            <w:tcW w:w="10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800" w:type="dxa"/>
            <w:vAlign w:val="bottom"/>
            <w:tcBorders>
              <w:bottom w:val="single" w:sz="8" w:color="auto"/>
            </w:tcBorders>
            <w:gridSpan w:val="3"/>
          </w:tcPr>
          <w:p>
            <w:pPr>
              <w:jc w:val="right"/>
              <w:ind w:right="312"/>
              <w:spacing w:after="0"/>
              <w:rPr>
                <w:sz w:val="20"/>
                <w:szCs w:val="20"/>
                <w:color w:val="auto"/>
              </w:rPr>
            </w:pPr>
            <w:r>
              <w:rPr>
                <w:rFonts w:ascii="Arial" w:cs="Arial" w:eastAsia="Arial" w:hAnsi="Arial"/>
                <w:sz w:val="12"/>
                <w:szCs w:val="12"/>
                <w:b w:val="1"/>
                <w:bCs w:val="1"/>
                <w:color w:val="auto"/>
              </w:rPr>
              <w:t>Preferred Stock</w:t>
            </w:r>
          </w:p>
        </w:tc>
        <w:tc>
          <w:tcPr>
            <w:tcW w:w="300" w:type="dxa"/>
            <w:vAlign w:val="bottom"/>
            <w:tcBorders>
              <w:bottom w:val="single" w:sz="8" w:color="auto"/>
            </w:tcBorders>
          </w:tcPr>
          <w:p>
            <w:pPr>
              <w:spacing w:after="0"/>
              <w:rPr>
                <w:sz w:val="13"/>
                <w:szCs w:val="13"/>
                <w:color w:val="auto"/>
              </w:rPr>
            </w:pPr>
          </w:p>
        </w:tc>
        <w:tc>
          <w:tcPr>
            <w:tcW w:w="2020" w:type="dxa"/>
            <w:vAlign w:val="bottom"/>
            <w:tcBorders>
              <w:bottom w:val="single" w:sz="8" w:color="auto"/>
            </w:tcBorders>
            <w:gridSpan w:val="3"/>
          </w:tcPr>
          <w:p>
            <w:pPr>
              <w:jc w:val="right"/>
              <w:ind w:right="569"/>
              <w:spacing w:after="0"/>
              <w:rPr>
                <w:sz w:val="20"/>
                <w:szCs w:val="20"/>
                <w:color w:val="auto"/>
              </w:rPr>
            </w:pPr>
            <w:r>
              <w:rPr>
                <w:rFonts w:ascii="Arial" w:cs="Arial" w:eastAsia="Arial" w:hAnsi="Arial"/>
                <w:sz w:val="12"/>
                <w:szCs w:val="12"/>
                <w:b w:val="1"/>
                <w:bCs w:val="1"/>
                <w:color w:val="auto"/>
              </w:rPr>
              <w:t>Common Stock</w:t>
            </w:r>
          </w:p>
        </w:tc>
        <w:tc>
          <w:tcPr>
            <w:tcW w:w="1040" w:type="dxa"/>
            <w:vAlign w:val="bottom"/>
          </w:tcPr>
          <w:p>
            <w:pPr>
              <w:jc w:val="center"/>
              <w:spacing w:after="0"/>
              <w:rPr>
                <w:sz w:val="20"/>
                <w:szCs w:val="20"/>
                <w:color w:val="auto"/>
              </w:rPr>
            </w:pPr>
            <w:r>
              <w:rPr>
                <w:rFonts w:ascii="Arial" w:cs="Arial" w:eastAsia="Arial" w:hAnsi="Arial"/>
                <w:sz w:val="12"/>
                <w:szCs w:val="12"/>
                <w:b w:val="1"/>
                <w:bCs w:val="1"/>
                <w:color w:val="auto"/>
                <w:w w:val="82"/>
              </w:rPr>
              <w:t>in Excess</w:t>
            </w:r>
          </w:p>
        </w:tc>
        <w:tc>
          <w:tcPr>
            <w:tcW w:w="1020" w:type="dxa"/>
            <w:vAlign w:val="bottom"/>
            <w:gridSpan w:val="2"/>
          </w:tcPr>
          <w:p>
            <w:pPr>
              <w:jc w:val="right"/>
              <w:ind w:right="29"/>
              <w:spacing w:after="0"/>
              <w:rPr>
                <w:sz w:val="20"/>
                <w:szCs w:val="20"/>
                <w:color w:val="auto"/>
              </w:rPr>
            </w:pPr>
            <w:r>
              <w:rPr>
                <w:rFonts w:ascii="Arial" w:cs="Arial" w:eastAsia="Arial" w:hAnsi="Arial"/>
                <w:sz w:val="12"/>
                <w:szCs w:val="12"/>
                <w:b w:val="1"/>
                <w:bCs w:val="1"/>
                <w:color w:val="auto"/>
                <w:w w:val="99"/>
              </w:rPr>
              <w:t>Comprehensive</w:t>
            </w:r>
          </w:p>
        </w:tc>
        <w:tc>
          <w:tcPr>
            <w:tcW w:w="1020" w:type="dxa"/>
            <w:vAlign w:val="bottom"/>
          </w:tcPr>
          <w:p>
            <w:pPr>
              <w:jc w:val="right"/>
              <w:ind w:right="230"/>
              <w:spacing w:after="0"/>
              <w:rPr>
                <w:sz w:val="20"/>
                <w:szCs w:val="20"/>
                <w:color w:val="auto"/>
              </w:rPr>
            </w:pPr>
            <w:r>
              <w:rPr>
                <w:rFonts w:ascii="Arial" w:cs="Arial" w:eastAsia="Arial" w:hAnsi="Arial"/>
                <w:sz w:val="12"/>
                <w:szCs w:val="12"/>
                <w:b w:val="1"/>
                <w:bCs w:val="1"/>
                <w:color w:val="auto"/>
              </w:rPr>
              <w:t>Retained</w:t>
            </w:r>
          </w:p>
        </w:tc>
        <w:tc>
          <w:tcPr>
            <w:tcW w:w="2040" w:type="dxa"/>
            <w:vAlign w:val="bottom"/>
            <w:tcBorders>
              <w:bottom w:val="single" w:sz="8" w:color="auto"/>
            </w:tcBorders>
            <w:gridSpan w:val="3"/>
          </w:tcPr>
          <w:p>
            <w:pPr>
              <w:jc w:val="right"/>
              <w:ind w:right="569"/>
              <w:spacing w:after="0"/>
              <w:rPr>
                <w:sz w:val="20"/>
                <w:szCs w:val="20"/>
                <w:color w:val="auto"/>
              </w:rPr>
            </w:pPr>
            <w:r>
              <w:rPr>
                <w:rFonts w:ascii="Arial" w:cs="Arial" w:eastAsia="Arial" w:hAnsi="Arial"/>
                <w:sz w:val="12"/>
                <w:szCs w:val="12"/>
                <w:b w:val="1"/>
                <w:bCs w:val="1"/>
                <w:color w:val="auto"/>
              </w:rPr>
              <w:t>Treasury Stock</w:t>
            </w:r>
          </w:p>
        </w:tc>
        <w:tc>
          <w:tcPr>
            <w:tcW w:w="1020" w:type="dxa"/>
            <w:vAlign w:val="bottom"/>
          </w:tcPr>
          <w:p>
            <w:pPr>
              <w:spacing w:after="0"/>
              <w:rPr>
                <w:sz w:val="13"/>
                <w:szCs w:val="13"/>
                <w:color w:val="auto"/>
              </w:rPr>
            </w:pPr>
          </w:p>
        </w:tc>
      </w:tr>
      <w:tr>
        <w:trPr>
          <w:trHeight w:val="163"/>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tcBorders>
              <w:bottom w:val="single" w:sz="8" w:color="auto"/>
            </w:tcBorders>
          </w:tcPr>
          <w:p>
            <w:pPr>
              <w:ind w:left="340"/>
              <w:spacing w:after="0"/>
              <w:rPr>
                <w:sz w:val="20"/>
                <w:szCs w:val="20"/>
                <w:color w:val="auto"/>
              </w:rPr>
            </w:pPr>
            <w:r>
              <w:rPr>
                <w:rFonts w:ascii="Arial" w:cs="Arial" w:eastAsia="Arial" w:hAnsi="Arial"/>
                <w:sz w:val="12"/>
                <w:szCs w:val="12"/>
                <w:b w:val="1"/>
                <w:bCs w:val="1"/>
                <w:color w:val="auto"/>
                <w:w w:val="94"/>
              </w:rPr>
              <w:t>Shares</w:t>
            </w:r>
          </w:p>
        </w:tc>
        <w:tc>
          <w:tcPr>
            <w:tcW w:w="2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Amount</w:t>
            </w: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2"/>
                <w:szCs w:val="12"/>
                <w:b w:val="1"/>
                <w:bCs w:val="1"/>
                <w:color w:val="auto"/>
              </w:rPr>
              <w:t>Shares</w:t>
            </w: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49"/>
              <w:spacing w:after="0"/>
              <w:rPr>
                <w:sz w:val="20"/>
                <w:szCs w:val="20"/>
                <w:color w:val="auto"/>
              </w:rPr>
            </w:pPr>
            <w:r>
              <w:rPr>
                <w:rFonts w:ascii="Arial" w:cs="Arial" w:eastAsia="Arial" w:hAnsi="Arial"/>
                <w:sz w:val="12"/>
                <w:szCs w:val="12"/>
                <w:b w:val="1"/>
                <w:bCs w:val="1"/>
                <w:color w:val="auto"/>
                <w:w w:val="96"/>
              </w:rPr>
              <w:t>Amount</w:t>
            </w: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8"/>
              </w:rPr>
              <w:t>of Par</w:t>
            </w:r>
          </w:p>
        </w:tc>
        <w:tc>
          <w:tcPr>
            <w:tcW w:w="1020" w:type="dxa"/>
            <w:vAlign w:val="bottom"/>
            <w:tcBorders>
              <w:bottom w:val="single" w:sz="8" w:color="auto"/>
            </w:tcBorders>
            <w:gridSpan w:val="2"/>
          </w:tcPr>
          <w:p>
            <w:pPr>
              <w:jc w:val="center"/>
              <w:spacing w:after="0"/>
              <w:rPr>
                <w:sz w:val="20"/>
                <w:szCs w:val="20"/>
                <w:color w:val="auto"/>
              </w:rPr>
            </w:pPr>
            <w:r>
              <w:rPr>
                <w:rFonts w:ascii="Arial" w:cs="Arial" w:eastAsia="Arial" w:hAnsi="Arial"/>
                <w:sz w:val="12"/>
                <w:szCs w:val="12"/>
                <w:b w:val="1"/>
                <w:bCs w:val="1"/>
                <w:color w:val="auto"/>
                <w:w w:val="88"/>
              </w:rPr>
              <w:t>Income (Loss)</w:t>
            </w:r>
          </w:p>
        </w:tc>
        <w:tc>
          <w:tcPr>
            <w:tcW w:w="1020" w:type="dxa"/>
            <w:vAlign w:val="bottom"/>
            <w:tcBorders>
              <w:bottom w:val="single" w:sz="8" w:color="auto"/>
            </w:tcBorders>
          </w:tcPr>
          <w:p>
            <w:pPr>
              <w:jc w:val="right"/>
              <w:ind w:right="210"/>
              <w:spacing w:after="0"/>
              <w:rPr>
                <w:sz w:val="20"/>
                <w:szCs w:val="20"/>
                <w:color w:val="auto"/>
              </w:rPr>
            </w:pPr>
            <w:r>
              <w:rPr>
                <w:rFonts w:ascii="Arial" w:cs="Arial" w:eastAsia="Arial" w:hAnsi="Arial"/>
                <w:sz w:val="12"/>
                <w:szCs w:val="12"/>
                <w:b w:val="1"/>
                <w:bCs w:val="1"/>
                <w:color w:val="auto"/>
              </w:rPr>
              <w:t>Earnings</w:t>
            </w:r>
          </w:p>
        </w:tc>
        <w:tc>
          <w:tcPr>
            <w:tcW w:w="1000" w:type="dxa"/>
            <w:vAlign w:val="bottom"/>
            <w:tcBorders>
              <w:bottom w:val="single" w:sz="8" w:color="auto"/>
            </w:tcBorders>
          </w:tcPr>
          <w:p>
            <w:pPr>
              <w:jc w:val="right"/>
              <w:ind w:right="250"/>
              <w:spacing w:after="0"/>
              <w:rPr>
                <w:sz w:val="20"/>
                <w:szCs w:val="20"/>
                <w:color w:val="auto"/>
              </w:rPr>
            </w:pPr>
            <w:r>
              <w:rPr>
                <w:rFonts w:ascii="Arial" w:cs="Arial" w:eastAsia="Arial" w:hAnsi="Arial"/>
                <w:sz w:val="12"/>
                <w:szCs w:val="12"/>
                <w:b w:val="1"/>
                <w:bCs w:val="1"/>
                <w:color w:val="auto"/>
              </w:rPr>
              <w:t>Shares</w:t>
            </w: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49"/>
              <w:spacing w:after="0"/>
              <w:rPr>
                <w:sz w:val="20"/>
                <w:szCs w:val="20"/>
                <w:color w:val="auto"/>
              </w:rPr>
            </w:pPr>
            <w:r>
              <w:rPr>
                <w:rFonts w:ascii="Arial" w:cs="Arial" w:eastAsia="Arial" w:hAnsi="Arial"/>
                <w:sz w:val="12"/>
                <w:szCs w:val="12"/>
                <w:b w:val="1"/>
                <w:bCs w:val="1"/>
                <w:color w:val="auto"/>
              </w:rPr>
              <w:t>Amount</w:t>
            </w:r>
          </w:p>
        </w:tc>
        <w:tc>
          <w:tcPr>
            <w:tcW w:w="1020" w:type="dxa"/>
            <w:vAlign w:val="bottom"/>
            <w:tcBorders>
              <w:bottom w:val="single" w:sz="8" w:color="auto"/>
            </w:tcBorders>
          </w:tcPr>
          <w:p>
            <w:pPr>
              <w:jc w:val="right"/>
              <w:ind w:right="309"/>
              <w:spacing w:after="0"/>
              <w:rPr>
                <w:sz w:val="20"/>
                <w:szCs w:val="20"/>
                <w:color w:val="auto"/>
              </w:rPr>
            </w:pPr>
            <w:r>
              <w:rPr>
                <w:rFonts w:ascii="Arial" w:cs="Arial" w:eastAsia="Arial" w:hAnsi="Arial"/>
                <w:sz w:val="12"/>
                <w:szCs w:val="12"/>
                <w:b w:val="1"/>
                <w:bCs w:val="1"/>
                <w:color w:val="auto"/>
              </w:rPr>
              <w:t>Total</w:t>
            </w:r>
          </w:p>
        </w:tc>
      </w:tr>
      <w:tr>
        <w:trPr>
          <w:trHeight w:val="148"/>
        </w:trPr>
        <w:tc>
          <w:tcPr>
            <w:tcW w:w="20" w:type="dxa"/>
            <w:vAlign w:val="bottom"/>
          </w:tcPr>
          <w:p>
            <w:pPr>
              <w:spacing w:after="0"/>
              <w:rPr>
                <w:sz w:val="12"/>
                <w:szCs w:val="12"/>
                <w:color w:val="auto"/>
              </w:rPr>
            </w:pPr>
          </w:p>
        </w:tc>
        <w:tc>
          <w:tcPr>
            <w:tcW w:w="1880" w:type="dxa"/>
            <w:vAlign w:val="bottom"/>
            <w:gridSpan w:val="2"/>
            <w:shd w:val="clear" w:color="auto" w:fill="CCEEFF"/>
          </w:tcPr>
          <w:p>
            <w:pPr>
              <w:spacing w:after="0" w:line="147" w:lineRule="exact"/>
              <w:rPr>
                <w:sz w:val="20"/>
                <w:szCs w:val="20"/>
                <w:color w:val="auto"/>
              </w:rPr>
            </w:pPr>
            <w:r>
              <w:rPr>
                <w:rFonts w:ascii="Arial" w:cs="Arial" w:eastAsia="Arial" w:hAnsi="Arial"/>
                <w:sz w:val="14"/>
                <w:szCs w:val="14"/>
                <w:color w:val="auto"/>
              </w:rPr>
              <w:t>Balance, January 1,</w:t>
            </w:r>
          </w:p>
        </w:tc>
        <w:tc>
          <w:tcPr>
            <w:tcW w:w="2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r>
      <w:tr>
        <w:trPr>
          <w:trHeight w:val="157"/>
        </w:trPr>
        <w:tc>
          <w:tcPr>
            <w:tcW w:w="20" w:type="dxa"/>
            <w:vAlign w:val="bottom"/>
          </w:tcPr>
          <w:p>
            <w:pPr>
              <w:spacing w:after="0"/>
              <w:rPr>
                <w:sz w:val="13"/>
                <w:szCs w:val="13"/>
                <w:color w:val="auto"/>
              </w:rPr>
            </w:pPr>
          </w:p>
        </w:tc>
        <w:tc>
          <w:tcPr>
            <w:tcW w:w="1880" w:type="dxa"/>
            <w:vAlign w:val="bottom"/>
            <w:gridSpan w:val="2"/>
            <w:shd w:val="clear" w:color="auto" w:fill="CCEEFF"/>
          </w:tcPr>
          <w:p>
            <w:pPr>
              <w:ind w:left="140"/>
              <w:spacing w:after="0" w:line="157" w:lineRule="exact"/>
              <w:rPr>
                <w:sz w:val="20"/>
                <w:szCs w:val="20"/>
                <w:color w:val="auto"/>
              </w:rPr>
            </w:pPr>
            <w:r>
              <w:rPr>
                <w:rFonts w:ascii="Arial" w:cs="Arial" w:eastAsia="Arial" w:hAnsi="Arial"/>
                <w:sz w:val="14"/>
                <w:szCs w:val="14"/>
                <w:color w:val="auto"/>
              </w:rPr>
              <w:t>2018, as</w:t>
            </w:r>
          </w:p>
        </w:tc>
        <w:tc>
          <w:tcPr>
            <w:tcW w:w="2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r>
      <w:tr>
        <w:trPr>
          <w:trHeight w:val="166"/>
        </w:trPr>
        <w:tc>
          <w:tcPr>
            <w:tcW w:w="20" w:type="dxa"/>
            <w:vAlign w:val="bottom"/>
          </w:tcPr>
          <w:p>
            <w:pPr>
              <w:spacing w:after="0"/>
              <w:rPr>
                <w:sz w:val="14"/>
                <w:szCs w:val="14"/>
                <w:color w:val="auto"/>
              </w:rPr>
            </w:pPr>
          </w:p>
        </w:tc>
        <w:tc>
          <w:tcPr>
            <w:tcW w:w="188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reported</w:t>
            </w:r>
          </w:p>
        </w:tc>
        <w:tc>
          <w:tcPr>
            <w:tcW w:w="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532"/>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11,618,646</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116,186</w:t>
            </w:r>
          </w:p>
        </w:tc>
        <w:tc>
          <w:tcPr>
            <w:tcW w:w="104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rPr>
              <w:t>$ 68,380,390</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w w:val="99"/>
              </w:rPr>
              <w:t>1,100,647</w:t>
            </w:r>
          </w:p>
        </w:tc>
        <w:tc>
          <w:tcPr>
            <w:tcW w:w="102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$ 27,152,822</w:t>
            </w:r>
          </w:p>
        </w:tc>
        <w:tc>
          <w:tcPr>
            <w:tcW w:w="100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986,809</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w w:val="94"/>
              </w:rPr>
              <w:t>(2,172,299)</w:t>
            </w:r>
          </w:p>
        </w:tc>
        <w:tc>
          <w:tcPr>
            <w:tcW w:w="10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$ 94,577,746</w:t>
            </w:r>
          </w:p>
        </w:tc>
      </w:tr>
      <w:tr>
        <w:trPr>
          <w:trHeight w:val="148"/>
        </w:trPr>
        <w:tc>
          <w:tcPr>
            <w:tcW w:w="20" w:type="dxa"/>
            <w:vAlign w:val="bottom"/>
          </w:tcPr>
          <w:p>
            <w:pPr>
              <w:spacing w:after="0"/>
              <w:rPr>
                <w:sz w:val="12"/>
                <w:szCs w:val="12"/>
                <w:color w:val="auto"/>
              </w:rPr>
            </w:pPr>
          </w:p>
        </w:tc>
        <w:tc>
          <w:tcPr>
            <w:tcW w:w="1880" w:type="dxa"/>
            <w:vAlign w:val="bottom"/>
            <w:gridSpan w:val="2"/>
          </w:tcPr>
          <w:p>
            <w:pPr>
              <w:spacing w:after="0" w:line="147" w:lineRule="exact"/>
              <w:rPr>
                <w:sz w:val="20"/>
                <w:szCs w:val="20"/>
                <w:color w:val="auto"/>
              </w:rPr>
            </w:pPr>
            <w:r>
              <w:rPr>
                <w:rFonts w:ascii="Arial" w:cs="Arial" w:eastAsia="Arial" w:hAnsi="Arial"/>
                <w:sz w:val="14"/>
                <w:szCs w:val="14"/>
                <w:color w:val="auto"/>
              </w:rPr>
              <w:t>Cumulative effect</w:t>
            </w: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57"/>
        </w:trPr>
        <w:tc>
          <w:tcPr>
            <w:tcW w:w="20" w:type="dxa"/>
            <w:vAlign w:val="bottom"/>
          </w:tcPr>
          <w:p>
            <w:pPr>
              <w:spacing w:after="0"/>
              <w:rPr>
                <w:sz w:val="13"/>
                <w:szCs w:val="13"/>
                <w:color w:val="auto"/>
              </w:rPr>
            </w:pPr>
          </w:p>
        </w:tc>
        <w:tc>
          <w:tcPr>
            <w:tcW w:w="1880" w:type="dxa"/>
            <w:vAlign w:val="bottom"/>
            <w:gridSpan w:val="2"/>
          </w:tcPr>
          <w:p>
            <w:pPr>
              <w:ind w:left="140"/>
              <w:spacing w:after="0" w:line="157" w:lineRule="exact"/>
              <w:rPr>
                <w:sz w:val="20"/>
                <w:szCs w:val="20"/>
                <w:color w:val="auto"/>
              </w:rPr>
            </w:pPr>
            <w:r>
              <w:rPr>
                <w:rFonts w:ascii="Arial" w:cs="Arial" w:eastAsia="Arial" w:hAnsi="Arial"/>
                <w:sz w:val="14"/>
                <w:szCs w:val="14"/>
                <w:color w:val="auto"/>
              </w:rPr>
              <w:t>of adoption of</w:t>
            </w: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66"/>
        </w:trPr>
        <w:tc>
          <w:tcPr>
            <w:tcW w:w="20" w:type="dxa"/>
            <w:vAlign w:val="bottom"/>
          </w:tcPr>
          <w:p>
            <w:pPr>
              <w:spacing w:after="0"/>
              <w:rPr>
                <w:sz w:val="14"/>
                <w:szCs w:val="14"/>
                <w:color w:val="auto"/>
              </w:rPr>
            </w:pPr>
          </w:p>
        </w:tc>
        <w:tc>
          <w:tcPr>
            <w:tcW w:w="1880" w:type="dxa"/>
            <w:vAlign w:val="bottom"/>
            <w:gridSpan w:val="2"/>
          </w:tcPr>
          <w:p>
            <w:pPr>
              <w:ind w:left="140"/>
              <w:spacing w:after="0"/>
              <w:rPr>
                <w:sz w:val="20"/>
                <w:szCs w:val="20"/>
                <w:color w:val="auto"/>
              </w:rPr>
            </w:pPr>
            <w:r>
              <w:rPr>
                <w:rFonts w:ascii="Arial" w:cs="Arial" w:eastAsia="Arial" w:hAnsi="Arial"/>
                <w:sz w:val="14"/>
                <w:szCs w:val="14"/>
                <w:color w:val="auto"/>
              </w:rPr>
              <w:t>updated</w:t>
            </w: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48"/>
        </w:trPr>
        <w:tc>
          <w:tcPr>
            <w:tcW w:w="20" w:type="dxa"/>
            <w:vAlign w:val="bottom"/>
          </w:tcPr>
          <w:p>
            <w:pPr>
              <w:spacing w:after="0"/>
              <w:rPr>
                <w:sz w:val="12"/>
                <w:szCs w:val="12"/>
                <w:color w:val="auto"/>
              </w:rPr>
            </w:pPr>
          </w:p>
        </w:tc>
        <w:tc>
          <w:tcPr>
            <w:tcW w:w="1880" w:type="dxa"/>
            <w:vAlign w:val="bottom"/>
            <w:gridSpan w:val="2"/>
            <w:shd w:val="clear" w:color="auto" w:fill="CCEEFF"/>
          </w:tcPr>
          <w:p>
            <w:pPr>
              <w:ind w:left="140"/>
              <w:spacing w:after="0" w:line="147" w:lineRule="exact"/>
              <w:rPr>
                <w:sz w:val="20"/>
                <w:szCs w:val="20"/>
                <w:color w:val="auto"/>
              </w:rPr>
            </w:pPr>
            <w:r>
              <w:rPr>
                <w:rFonts w:ascii="Arial" w:cs="Arial" w:eastAsia="Arial" w:hAnsi="Arial"/>
                <w:sz w:val="14"/>
                <w:szCs w:val="14"/>
                <w:color w:val="auto"/>
              </w:rPr>
              <w:t>accounting</w:t>
            </w:r>
          </w:p>
        </w:tc>
        <w:tc>
          <w:tcPr>
            <w:tcW w:w="2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r>
      <w:tr>
        <w:trPr>
          <w:trHeight w:val="157"/>
        </w:trPr>
        <w:tc>
          <w:tcPr>
            <w:tcW w:w="20" w:type="dxa"/>
            <w:vAlign w:val="bottom"/>
          </w:tcPr>
          <w:p>
            <w:pPr>
              <w:spacing w:after="0"/>
              <w:rPr>
                <w:sz w:val="13"/>
                <w:szCs w:val="13"/>
                <w:color w:val="auto"/>
              </w:rPr>
            </w:pPr>
          </w:p>
        </w:tc>
        <w:tc>
          <w:tcPr>
            <w:tcW w:w="1880" w:type="dxa"/>
            <w:vAlign w:val="bottom"/>
            <w:gridSpan w:val="2"/>
            <w:shd w:val="clear" w:color="auto" w:fill="CCEEFF"/>
          </w:tcPr>
          <w:p>
            <w:pPr>
              <w:ind w:left="300"/>
              <w:spacing w:after="0" w:line="157" w:lineRule="exact"/>
              <w:rPr>
                <w:sz w:val="20"/>
                <w:szCs w:val="20"/>
                <w:color w:val="auto"/>
              </w:rPr>
            </w:pPr>
            <w:r>
              <w:rPr>
                <w:rFonts w:ascii="Arial" w:cs="Arial" w:eastAsia="Arial" w:hAnsi="Arial"/>
                <w:sz w:val="14"/>
                <w:szCs w:val="14"/>
                <w:color w:val="auto"/>
              </w:rPr>
              <w:t>guidance for</w:t>
            </w:r>
          </w:p>
        </w:tc>
        <w:tc>
          <w:tcPr>
            <w:tcW w:w="2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r>
      <w:tr>
        <w:trPr>
          <w:trHeight w:val="166"/>
        </w:trPr>
        <w:tc>
          <w:tcPr>
            <w:tcW w:w="20" w:type="dxa"/>
            <w:vAlign w:val="bottom"/>
          </w:tcPr>
          <w:p>
            <w:pPr>
              <w:spacing w:after="0"/>
              <w:rPr>
                <w:sz w:val="14"/>
                <w:szCs w:val="14"/>
                <w:color w:val="auto"/>
              </w:rPr>
            </w:pPr>
          </w:p>
        </w:tc>
        <w:tc>
          <w:tcPr>
            <w:tcW w:w="188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equity</w:t>
            </w:r>
          </w:p>
        </w:tc>
        <w:tc>
          <w:tcPr>
            <w:tcW w:w="2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r>
      <w:tr>
        <w:trPr>
          <w:trHeight w:val="148"/>
        </w:trPr>
        <w:tc>
          <w:tcPr>
            <w:tcW w:w="20" w:type="dxa"/>
            <w:vAlign w:val="bottom"/>
          </w:tcPr>
          <w:p>
            <w:pPr>
              <w:spacing w:after="0"/>
              <w:rPr>
                <w:sz w:val="12"/>
                <w:szCs w:val="12"/>
                <w:color w:val="auto"/>
              </w:rPr>
            </w:pPr>
          </w:p>
        </w:tc>
        <w:tc>
          <w:tcPr>
            <w:tcW w:w="1880" w:type="dxa"/>
            <w:vAlign w:val="bottom"/>
            <w:gridSpan w:val="2"/>
          </w:tcPr>
          <w:p>
            <w:pPr>
              <w:ind w:left="140"/>
              <w:spacing w:after="0" w:line="147" w:lineRule="exact"/>
              <w:rPr>
                <w:sz w:val="20"/>
                <w:szCs w:val="20"/>
                <w:color w:val="auto"/>
              </w:rPr>
            </w:pPr>
            <w:r>
              <w:rPr>
                <w:rFonts w:ascii="Arial" w:cs="Arial" w:eastAsia="Arial" w:hAnsi="Arial"/>
                <w:sz w:val="14"/>
                <w:szCs w:val="14"/>
                <w:color w:val="auto"/>
              </w:rPr>
              <w:t>financial</w:t>
            </w: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57"/>
        </w:trPr>
        <w:tc>
          <w:tcPr>
            <w:tcW w:w="20" w:type="dxa"/>
            <w:vAlign w:val="bottom"/>
          </w:tcPr>
          <w:p>
            <w:pPr>
              <w:spacing w:after="0"/>
              <w:rPr>
                <w:sz w:val="13"/>
                <w:szCs w:val="13"/>
                <w:color w:val="auto"/>
              </w:rPr>
            </w:pPr>
          </w:p>
        </w:tc>
        <w:tc>
          <w:tcPr>
            <w:tcW w:w="1880" w:type="dxa"/>
            <w:vAlign w:val="bottom"/>
            <w:gridSpan w:val="2"/>
          </w:tcPr>
          <w:p>
            <w:pPr>
              <w:ind w:left="300"/>
              <w:spacing w:after="0" w:line="157" w:lineRule="exact"/>
              <w:rPr>
                <w:sz w:val="20"/>
                <w:szCs w:val="20"/>
                <w:color w:val="auto"/>
              </w:rPr>
            </w:pPr>
            <w:r>
              <w:rPr>
                <w:rFonts w:ascii="Arial" w:cs="Arial" w:eastAsia="Arial" w:hAnsi="Arial"/>
                <w:sz w:val="14"/>
                <w:szCs w:val="14"/>
                <w:color w:val="auto"/>
              </w:rPr>
              <w:t>instruments at</w:t>
            </w: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57"/>
        </w:trPr>
        <w:tc>
          <w:tcPr>
            <w:tcW w:w="20" w:type="dxa"/>
            <w:vAlign w:val="bottom"/>
          </w:tcPr>
          <w:p>
            <w:pPr>
              <w:spacing w:after="0"/>
              <w:rPr>
                <w:sz w:val="13"/>
                <w:szCs w:val="13"/>
                <w:color w:val="auto"/>
              </w:rPr>
            </w:pPr>
          </w:p>
        </w:tc>
        <w:tc>
          <w:tcPr>
            <w:tcW w:w="1880" w:type="dxa"/>
            <w:vAlign w:val="bottom"/>
            <w:gridSpan w:val="2"/>
          </w:tcPr>
          <w:p>
            <w:pPr>
              <w:ind w:left="300"/>
              <w:spacing w:after="0" w:line="157" w:lineRule="exact"/>
              <w:rPr>
                <w:sz w:val="20"/>
                <w:szCs w:val="20"/>
                <w:color w:val="auto"/>
              </w:rPr>
            </w:pPr>
            <w:r>
              <w:rPr>
                <w:rFonts w:ascii="Arial" w:cs="Arial" w:eastAsia="Arial" w:hAnsi="Arial"/>
                <w:sz w:val="14"/>
                <w:szCs w:val="14"/>
                <w:color w:val="auto"/>
              </w:rPr>
              <w:t>January 1,</w:t>
            </w: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73"/>
        </w:trPr>
        <w:tc>
          <w:tcPr>
            <w:tcW w:w="1160" w:type="dxa"/>
            <w:vAlign w:val="bottom"/>
            <w:gridSpan w:val="2"/>
          </w:tcPr>
          <w:p>
            <w:pPr>
              <w:ind w:left="320"/>
              <w:spacing w:after="0"/>
              <w:rPr>
                <w:sz w:val="20"/>
                <w:szCs w:val="20"/>
                <w:color w:val="auto"/>
              </w:rPr>
            </w:pPr>
            <w:r>
              <w:rPr>
                <w:rFonts w:ascii="Arial" w:cs="Arial" w:eastAsia="Arial" w:hAnsi="Arial"/>
                <w:sz w:val="14"/>
                <w:szCs w:val="14"/>
                <w:color w:val="auto"/>
              </w:rPr>
              <w:t>2018</w:t>
            </w:r>
          </w:p>
        </w:tc>
        <w:tc>
          <w:tcPr>
            <w:tcW w:w="7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(414,242)</w:t>
            </w:r>
          </w:p>
        </w:tc>
        <w:tc>
          <w:tcPr>
            <w:tcW w:w="102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color w:val="auto"/>
              </w:rPr>
              <w:t>414,242</w:t>
            </w:r>
          </w:p>
        </w:tc>
        <w:tc>
          <w:tcPr>
            <w:tcW w:w="100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w:t>
            </w:r>
          </w:p>
        </w:tc>
      </w:tr>
      <w:tr>
        <w:trPr>
          <w:trHeight w:val="148"/>
        </w:trPr>
        <w:tc>
          <w:tcPr>
            <w:tcW w:w="20" w:type="dxa"/>
            <w:vAlign w:val="bottom"/>
          </w:tcPr>
          <w:p>
            <w:pPr>
              <w:spacing w:after="0"/>
              <w:rPr>
                <w:sz w:val="12"/>
                <w:szCs w:val="12"/>
                <w:color w:val="auto"/>
              </w:rPr>
            </w:pPr>
          </w:p>
        </w:tc>
        <w:tc>
          <w:tcPr>
            <w:tcW w:w="1880" w:type="dxa"/>
            <w:vAlign w:val="bottom"/>
            <w:gridSpan w:val="2"/>
            <w:shd w:val="clear" w:color="auto" w:fill="CCEEFF"/>
          </w:tcPr>
          <w:p>
            <w:pPr>
              <w:spacing w:after="0" w:line="147" w:lineRule="exact"/>
              <w:rPr>
                <w:sz w:val="20"/>
                <w:szCs w:val="20"/>
                <w:color w:val="auto"/>
              </w:rPr>
            </w:pPr>
            <w:r>
              <w:rPr>
                <w:rFonts w:ascii="Arial" w:cs="Arial" w:eastAsia="Arial" w:hAnsi="Arial"/>
                <w:sz w:val="14"/>
                <w:szCs w:val="14"/>
                <w:color w:val="auto"/>
              </w:rPr>
              <w:t>Balance, January 1,</w:t>
            </w:r>
          </w:p>
        </w:tc>
        <w:tc>
          <w:tcPr>
            <w:tcW w:w="2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r>
      <w:tr>
        <w:trPr>
          <w:trHeight w:val="157"/>
        </w:trPr>
        <w:tc>
          <w:tcPr>
            <w:tcW w:w="20" w:type="dxa"/>
            <w:vAlign w:val="bottom"/>
          </w:tcPr>
          <w:p>
            <w:pPr>
              <w:spacing w:after="0"/>
              <w:rPr>
                <w:sz w:val="13"/>
                <w:szCs w:val="13"/>
                <w:color w:val="auto"/>
              </w:rPr>
            </w:pPr>
          </w:p>
        </w:tc>
        <w:tc>
          <w:tcPr>
            <w:tcW w:w="1880" w:type="dxa"/>
            <w:vAlign w:val="bottom"/>
            <w:gridSpan w:val="2"/>
            <w:shd w:val="clear" w:color="auto" w:fill="CCEEFF"/>
          </w:tcPr>
          <w:p>
            <w:pPr>
              <w:ind w:left="140"/>
              <w:spacing w:after="0" w:line="157" w:lineRule="exact"/>
              <w:rPr>
                <w:sz w:val="20"/>
                <w:szCs w:val="20"/>
                <w:color w:val="auto"/>
              </w:rPr>
            </w:pPr>
            <w:r>
              <w:rPr>
                <w:rFonts w:ascii="Arial" w:cs="Arial" w:eastAsia="Arial" w:hAnsi="Arial"/>
                <w:sz w:val="14"/>
                <w:szCs w:val="14"/>
                <w:color w:val="auto"/>
              </w:rPr>
              <w:t>2018, as</w:t>
            </w:r>
          </w:p>
        </w:tc>
        <w:tc>
          <w:tcPr>
            <w:tcW w:w="2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r>
      <w:tr>
        <w:trPr>
          <w:trHeight w:val="166"/>
        </w:trPr>
        <w:tc>
          <w:tcPr>
            <w:tcW w:w="20" w:type="dxa"/>
            <w:vAlign w:val="bottom"/>
          </w:tcPr>
          <w:p>
            <w:pPr>
              <w:spacing w:after="0"/>
              <w:rPr>
                <w:sz w:val="14"/>
                <w:szCs w:val="14"/>
                <w:color w:val="auto"/>
              </w:rPr>
            </w:pPr>
          </w:p>
        </w:tc>
        <w:tc>
          <w:tcPr>
            <w:tcW w:w="188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adjusted</w:t>
            </w:r>
          </w:p>
        </w:tc>
        <w:tc>
          <w:tcPr>
            <w:tcW w:w="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11,618,646</w:t>
            </w: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116,186</w:t>
            </w:r>
          </w:p>
        </w:tc>
        <w:tc>
          <w:tcPr>
            <w:tcW w:w="104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rPr>
              <w:t>68,380,390</w:t>
            </w: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686,405</w:t>
            </w:r>
          </w:p>
        </w:tc>
        <w:tc>
          <w:tcPr>
            <w:tcW w:w="102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27,567,064</w:t>
            </w:r>
          </w:p>
        </w:tc>
        <w:tc>
          <w:tcPr>
            <w:tcW w:w="100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986,809</w:t>
            </w: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w w:val="94"/>
              </w:rPr>
              <w:t>(2,172,299)</w:t>
            </w:r>
          </w:p>
        </w:tc>
        <w:tc>
          <w:tcPr>
            <w:tcW w:w="10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94,577,746</w:t>
            </w:r>
          </w:p>
        </w:tc>
      </w:tr>
      <w:tr>
        <w:trPr>
          <w:trHeight w:val="148"/>
        </w:trPr>
        <w:tc>
          <w:tcPr>
            <w:tcW w:w="20" w:type="dxa"/>
            <w:vAlign w:val="bottom"/>
          </w:tcPr>
          <w:p>
            <w:pPr>
              <w:spacing w:after="0"/>
              <w:rPr>
                <w:sz w:val="12"/>
                <w:szCs w:val="12"/>
                <w:color w:val="auto"/>
              </w:rPr>
            </w:pPr>
          </w:p>
        </w:tc>
        <w:tc>
          <w:tcPr>
            <w:tcW w:w="1880" w:type="dxa"/>
            <w:vAlign w:val="bottom"/>
            <w:gridSpan w:val="2"/>
          </w:tcPr>
          <w:p>
            <w:pPr>
              <w:spacing w:after="0" w:line="147" w:lineRule="exact"/>
              <w:rPr>
                <w:sz w:val="20"/>
                <w:szCs w:val="20"/>
                <w:color w:val="auto"/>
              </w:rPr>
            </w:pPr>
            <w:r>
              <w:rPr>
                <w:rFonts w:ascii="Arial" w:cs="Arial" w:eastAsia="Arial" w:hAnsi="Arial"/>
                <w:sz w:val="14"/>
                <w:szCs w:val="14"/>
                <w:color w:val="auto"/>
              </w:rPr>
              <w:t>Stock-based</w:t>
            </w: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66"/>
        </w:trPr>
        <w:tc>
          <w:tcPr>
            <w:tcW w:w="20" w:type="dxa"/>
            <w:vAlign w:val="bottom"/>
          </w:tcPr>
          <w:p>
            <w:pPr>
              <w:spacing w:after="0"/>
              <w:rPr>
                <w:sz w:val="14"/>
                <w:szCs w:val="14"/>
                <w:color w:val="auto"/>
              </w:rPr>
            </w:pPr>
          </w:p>
        </w:tc>
        <w:tc>
          <w:tcPr>
            <w:tcW w:w="1880" w:type="dxa"/>
            <w:vAlign w:val="bottom"/>
            <w:gridSpan w:val="2"/>
          </w:tcPr>
          <w:p>
            <w:pPr>
              <w:ind w:left="140"/>
              <w:spacing w:after="0"/>
              <w:rPr>
                <w:sz w:val="20"/>
                <w:szCs w:val="20"/>
                <w:color w:val="auto"/>
              </w:rPr>
            </w:pPr>
            <w:r>
              <w:rPr>
                <w:rFonts w:ascii="Arial" w:cs="Arial" w:eastAsia="Arial" w:hAnsi="Arial"/>
                <w:sz w:val="14"/>
                <w:szCs w:val="14"/>
                <w:color w:val="auto"/>
              </w:rPr>
              <w:t>compensation</w:t>
            </w:r>
          </w:p>
        </w:tc>
        <w:tc>
          <w:tcPr>
            <w:tcW w:w="2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Pr>
          <w:p>
            <w:pPr>
              <w:spacing w:after="0"/>
              <w:rPr>
                <w:sz w:val="14"/>
                <w:szCs w:val="14"/>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78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91"/>
              <w:spacing w:after="0"/>
              <w:rPr>
                <w:sz w:val="20"/>
                <w:szCs w:val="20"/>
                <w:color w:val="auto"/>
              </w:rPr>
            </w:pPr>
            <w:r>
              <w:rPr>
                <w:rFonts w:ascii="Arial" w:cs="Arial" w:eastAsia="Arial" w:hAnsi="Arial"/>
                <w:sz w:val="14"/>
                <w:szCs w:val="14"/>
                <w:color w:val="auto"/>
              </w:rPr>
              <w:t>108,368</w:t>
            </w:r>
          </w:p>
        </w:tc>
        <w:tc>
          <w:tcPr>
            <w:tcW w:w="220" w:type="dxa"/>
            <w:vAlign w:val="bottom"/>
          </w:tcPr>
          <w:p>
            <w:pPr>
              <w:spacing w:after="0"/>
              <w:rPr>
                <w:sz w:val="14"/>
                <w:szCs w:val="14"/>
                <w:color w:val="auto"/>
              </w:rPr>
            </w:pPr>
          </w:p>
        </w:tc>
        <w:tc>
          <w:tcPr>
            <w:tcW w:w="80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80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69"/>
              <w:spacing w:after="0"/>
              <w:rPr>
                <w:sz w:val="20"/>
                <w:szCs w:val="20"/>
                <w:color w:val="auto"/>
              </w:rPr>
            </w:pPr>
            <w:r>
              <w:rPr>
                <w:rFonts w:ascii="Arial" w:cs="Arial" w:eastAsia="Arial" w:hAnsi="Arial"/>
                <w:sz w:val="14"/>
                <w:szCs w:val="14"/>
                <w:color w:val="auto"/>
              </w:rPr>
              <w:t>108,368</w:t>
            </w:r>
          </w:p>
        </w:tc>
      </w:tr>
      <w:tr>
        <w:trPr>
          <w:trHeight w:val="148"/>
        </w:trPr>
        <w:tc>
          <w:tcPr>
            <w:tcW w:w="20" w:type="dxa"/>
            <w:vAlign w:val="bottom"/>
          </w:tcPr>
          <w:p>
            <w:pPr>
              <w:spacing w:after="0"/>
              <w:rPr>
                <w:sz w:val="12"/>
                <w:szCs w:val="12"/>
                <w:color w:val="auto"/>
              </w:rPr>
            </w:pPr>
          </w:p>
        </w:tc>
        <w:tc>
          <w:tcPr>
            <w:tcW w:w="1880" w:type="dxa"/>
            <w:vAlign w:val="bottom"/>
            <w:gridSpan w:val="2"/>
            <w:shd w:val="clear" w:color="auto" w:fill="CCEEFF"/>
          </w:tcPr>
          <w:p>
            <w:pPr>
              <w:spacing w:after="0" w:line="147" w:lineRule="exact"/>
              <w:rPr>
                <w:sz w:val="20"/>
                <w:szCs w:val="20"/>
                <w:color w:val="auto"/>
              </w:rPr>
            </w:pPr>
            <w:r>
              <w:rPr>
                <w:rFonts w:ascii="Arial" w:cs="Arial" w:eastAsia="Arial" w:hAnsi="Arial"/>
                <w:sz w:val="14"/>
                <w:szCs w:val="14"/>
                <w:color w:val="auto"/>
              </w:rPr>
              <w:t>Shares deducted</w:t>
            </w:r>
          </w:p>
        </w:tc>
        <w:tc>
          <w:tcPr>
            <w:tcW w:w="2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r>
      <w:tr>
        <w:trPr>
          <w:trHeight w:val="157"/>
        </w:trPr>
        <w:tc>
          <w:tcPr>
            <w:tcW w:w="20" w:type="dxa"/>
            <w:vAlign w:val="bottom"/>
          </w:tcPr>
          <w:p>
            <w:pPr>
              <w:spacing w:after="0"/>
              <w:rPr>
                <w:sz w:val="13"/>
                <w:szCs w:val="13"/>
                <w:color w:val="auto"/>
              </w:rPr>
            </w:pPr>
          </w:p>
        </w:tc>
        <w:tc>
          <w:tcPr>
            <w:tcW w:w="1880" w:type="dxa"/>
            <w:vAlign w:val="bottom"/>
            <w:gridSpan w:val="2"/>
            <w:shd w:val="clear" w:color="auto" w:fill="CCEEFF"/>
          </w:tcPr>
          <w:p>
            <w:pPr>
              <w:ind w:left="140"/>
              <w:spacing w:after="0" w:line="157" w:lineRule="exact"/>
              <w:rPr>
                <w:sz w:val="20"/>
                <w:szCs w:val="20"/>
                <w:color w:val="auto"/>
              </w:rPr>
            </w:pPr>
            <w:r>
              <w:rPr>
                <w:rFonts w:ascii="Arial" w:cs="Arial" w:eastAsia="Arial" w:hAnsi="Arial"/>
                <w:sz w:val="14"/>
                <w:szCs w:val="14"/>
                <w:color w:val="auto"/>
              </w:rPr>
              <w:t>from exercise of</w:t>
            </w:r>
          </w:p>
        </w:tc>
        <w:tc>
          <w:tcPr>
            <w:tcW w:w="2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r>
      <w:tr>
        <w:trPr>
          <w:trHeight w:val="166"/>
        </w:trPr>
        <w:tc>
          <w:tcPr>
            <w:tcW w:w="20" w:type="dxa"/>
            <w:vAlign w:val="bottom"/>
          </w:tcPr>
          <w:p>
            <w:pPr>
              <w:spacing w:after="0"/>
              <w:rPr>
                <w:sz w:val="14"/>
                <w:szCs w:val="14"/>
                <w:color w:val="auto"/>
              </w:rPr>
            </w:pPr>
          </w:p>
        </w:tc>
        <w:tc>
          <w:tcPr>
            <w:tcW w:w="188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stock</w:t>
            </w:r>
          </w:p>
        </w:tc>
        <w:tc>
          <w:tcPr>
            <w:tcW w:w="2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r>
      <w:tr>
        <w:trPr>
          <w:trHeight w:val="148"/>
        </w:trPr>
        <w:tc>
          <w:tcPr>
            <w:tcW w:w="20" w:type="dxa"/>
            <w:vAlign w:val="bottom"/>
          </w:tcPr>
          <w:p>
            <w:pPr>
              <w:spacing w:after="0"/>
              <w:rPr>
                <w:sz w:val="12"/>
                <w:szCs w:val="12"/>
                <w:color w:val="auto"/>
              </w:rPr>
            </w:pPr>
          </w:p>
        </w:tc>
        <w:tc>
          <w:tcPr>
            <w:tcW w:w="1880" w:type="dxa"/>
            <w:vAlign w:val="bottom"/>
            <w:gridSpan w:val="2"/>
          </w:tcPr>
          <w:p>
            <w:pPr>
              <w:ind w:left="140"/>
              <w:spacing w:after="0" w:line="147" w:lineRule="exact"/>
              <w:rPr>
                <w:sz w:val="20"/>
                <w:szCs w:val="20"/>
                <w:color w:val="auto"/>
              </w:rPr>
            </w:pPr>
            <w:r>
              <w:rPr>
                <w:rFonts w:ascii="Arial" w:cs="Arial" w:eastAsia="Arial" w:hAnsi="Arial"/>
                <w:sz w:val="14"/>
                <w:szCs w:val="14"/>
                <w:color w:val="auto"/>
              </w:rPr>
              <w:t>options for</w:t>
            </w: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57"/>
        </w:trPr>
        <w:tc>
          <w:tcPr>
            <w:tcW w:w="20" w:type="dxa"/>
            <w:vAlign w:val="bottom"/>
          </w:tcPr>
          <w:p>
            <w:pPr>
              <w:spacing w:after="0"/>
              <w:rPr>
                <w:sz w:val="13"/>
                <w:szCs w:val="13"/>
                <w:color w:val="auto"/>
              </w:rPr>
            </w:pPr>
          </w:p>
        </w:tc>
        <w:tc>
          <w:tcPr>
            <w:tcW w:w="1880" w:type="dxa"/>
            <w:vAlign w:val="bottom"/>
            <w:gridSpan w:val="2"/>
          </w:tcPr>
          <w:p>
            <w:pPr>
              <w:ind w:left="300"/>
              <w:spacing w:after="0" w:line="157" w:lineRule="exact"/>
              <w:rPr>
                <w:sz w:val="20"/>
                <w:szCs w:val="20"/>
                <w:color w:val="auto"/>
              </w:rPr>
            </w:pPr>
            <w:r>
              <w:rPr>
                <w:rFonts w:ascii="Arial" w:cs="Arial" w:eastAsia="Arial" w:hAnsi="Arial"/>
                <w:sz w:val="14"/>
                <w:szCs w:val="14"/>
                <w:color w:val="auto"/>
              </w:rPr>
              <w:t>payment of</w:t>
            </w: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57"/>
        </w:trPr>
        <w:tc>
          <w:tcPr>
            <w:tcW w:w="20" w:type="dxa"/>
            <w:vAlign w:val="bottom"/>
          </w:tcPr>
          <w:p>
            <w:pPr>
              <w:spacing w:after="0"/>
              <w:rPr>
                <w:sz w:val="13"/>
                <w:szCs w:val="13"/>
                <w:color w:val="auto"/>
              </w:rPr>
            </w:pPr>
          </w:p>
        </w:tc>
        <w:tc>
          <w:tcPr>
            <w:tcW w:w="1880" w:type="dxa"/>
            <w:vAlign w:val="bottom"/>
            <w:gridSpan w:val="2"/>
          </w:tcPr>
          <w:p>
            <w:pPr>
              <w:ind w:left="300"/>
              <w:spacing w:after="0" w:line="157" w:lineRule="exact"/>
              <w:rPr>
                <w:sz w:val="20"/>
                <w:szCs w:val="20"/>
                <w:color w:val="auto"/>
              </w:rPr>
            </w:pPr>
            <w:r>
              <w:rPr>
                <w:rFonts w:ascii="Arial" w:cs="Arial" w:eastAsia="Arial" w:hAnsi="Arial"/>
                <w:sz w:val="14"/>
                <w:szCs w:val="14"/>
                <w:color w:val="auto"/>
              </w:rPr>
              <w:t>withholding</w:t>
            </w: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66"/>
        </w:trPr>
        <w:tc>
          <w:tcPr>
            <w:tcW w:w="20" w:type="dxa"/>
            <w:vAlign w:val="bottom"/>
          </w:tcPr>
          <w:p>
            <w:pPr>
              <w:spacing w:after="0"/>
              <w:rPr>
                <w:sz w:val="14"/>
                <w:szCs w:val="14"/>
                <w:color w:val="auto"/>
              </w:rPr>
            </w:pPr>
          </w:p>
        </w:tc>
        <w:tc>
          <w:tcPr>
            <w:tcW w:w="1880" w:type="dxa"/>
            <w:vAlign w:val="bottom"/>
            <w:gridSpan w:val="2"/>
          </w:tcPr>
          <w:p>
            <w:pPr>
              <w:ind w:left="300"/>
              <w:spacing w:after="0"/>
              <w:rPr>
                <w:sz w:val="20"/>
                <w:szCs w:val="20"/>
                <w:color w:val="auto"/>
              </w:rPr>
            </w:pPr>
            <w:r>
              <w:rPr>
                <w:rFonts w:ascii="Arial" w:cs="Arial" w:eastAsia="Arial" w:hAnsi="Arial"/>
                <w:sz w:val="14"/>
                <w:szCs w:val="14"/>
                <w:color w:val="auto"/>
              </w:rPr>
              <w:t>taxes</w:t>
            </w:r>
          </w:p>
        </w:tc>
        <w:tc>
          <w:tcPr>
            <w:tcW w:w="2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Pr>
          <w:p>
            <w:pPr>
              <w:spacing w:after="0"/>
              <w:rPr>
                <w:sz w:val="14"/>
                <w:szCs w:val="14"/>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50"/>
              <w:spacing w:after="0"/>
              <w:rPr>
                <w:sz w:val="20"/>
                <w:szCs w:val="20"/>
                <w:color w:val="auto"/>
              </w:rPr>
            </w:pPr>
            <w:r>
              <w:rPr>
                <w:rFonts w:ascii="Arial" w:cs="Arial" w:eastAsia="Arial" w:hAnsi="Arial"/>
                <w:sz w:val="14"/>
                <w:szCs w:val="14"/>
                <w:color w:val="auto"/>
              </w:rPr>
              <w:t>(15,750)</w:t>
            </w:r>
          </w:p>
        </w:tc>
        <w:tc>
          <w:tcPr>
            <w:tcW w:w="240" w:type="dxa"/>
            <w:vAlign w:val="bottom"/>
          </w:tcPr>
          <w:p>
            <w:pPr>
              <w:spacing w:after="0"/>
              <w:rPr>
                <w:sz w:val="14"/>
                <w:szCs w:val="14"/>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(158)</w:t>
            </w:r>
          </w:p>
        </w:tc>
        <w:tc>
          <w:tcPr>
            <w:tcW w:w="1040" w:type="dxa"/>
            <w:vAlign w:val="bottom"/>
          </w:tcPr>
          <w:p>
            <w:pPr>
              <w:jc w:val="right"/>
              <w:ind w:right="31"/>
              <w:spacing w:after="0"/>
              <w:rPr>
                <w:sz w:val="20"/>
                <w:szCs w:val="20"/>
                <w:color w:val="auto"/>
              </w:rPr>
            </w:pPr>
            <w:r>
              <w:rPr>
                <w:rFonts w:ascii="Arial" w:cs="Arial" w:eastAsia="Arial" w:hAnsi="Arial"/>
                <w:sz w:val="14"/>
                <w:szCs w:val="14"/>
                <w:color w:val="auto"/>
              </w:rPr>
              <w:t>(341,612)</w:t>
            </w:r>
          </w:p>
        </w:tc>
        <w:tc>
          <w:tcPr>
            <w:tcW w:w="220" w:type="dxa"/>
            <w:vAlign w:val="bottom"/>
          </w:tcPr>
          <w:p>
            <w:pPr>
              <w:spacing w:after="0"/>
              <w:rPr>
                <w:sz w:val="14"/>
                <w:szCs w:val="14"/>
                <w:color w:val="auto"/>
              </w:rPr>
            </w:pPr>
          </w:p>
        </w:tc>
        <w:tc>
          <w:tcPr>
            <w:tcW w:w="80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80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29"/>
              <w:spacing w:after="0"/>
              <w:rPr>
                <w:sz w:val="20"/>
                <w:szCs w:val="20"/>
                <w:color w:val="auto"/>
              </w:rPr>
            </w:pPr>
            <w:r>
              <w:rPr>
                <w:rFonts w:ascii="Arial" w:cs="Arial" w:eastAsia="Arial" w:hAnsi="Arial"/>
                <w:sz w:val="14"/>
                <w:szCs w:val="14"/>
                <w:color w:val="auto"/>
              </w:rPr>
              <w:t>(341,770)</w:t>
            </w:r>
          </w:p>
        </w:tc>
      </w:tr>
      <w:tr>
        <w:trPr>
          <w:trHeight w:val="148"/>
        </w:trPr>
        <w:tc>
          <w:tcPr>
            <w:tcW w:w="20" w:type="dxa"/>
            <w:vAlign w:val="bottom"/>
          </w:tcPr>
          <w:p>
            <w:pPr>
              <w:spacing w:after="0"/>
              <w:rPr>
                <w:sz w:val="12"/>
                <w:szCs w:val="12"/>
                <w:color w:val="auto"/>
              </w:rPr>
            </w:pPr>
          </w:p>
        </w:tc>
        <w:tc>
          <w:tcPr>
            <w:tcW w:w="1880" w:type="dxa"/>
            <w:vAlign w:val="bottom"/>
            <w:gridSpan w:val="2"/>
            <w:shd w:val="clear" w:color="auto" w:fill="CCEEFF"/>
          </w:tcPr>
          <w:p>
            <w:pPr>
              <w:spacing w:after="0" w:line="147" w:lineRule="exact"/>
              <w:rPr>
                <w:sz w:val="20"/>
                <w:szCs w:val="20"/>
                <w:color w:val="auto"/>
              </w:rPr>
            </w:pPr>
            <w:r>
              <w:rPr>
                <w:rFonts w:ascii="Arial" w:cs="Arial" w:eastAsia="Arial" w:hAnsi="Arial"/>
                <w:sz w:val="14"/>
                <w:szCs w:val="14"/>
                <w:color w:val="auto"/>
              </w:rPr>
              <w:t>Vesting of</w:t>
            </w:r>
          </w:p>
        </w:tc>
        <w:tc>
          <w:tcPr>
            <w:tcW w:w="2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r>
      <w:tr>
        <w:trPr>
          <w:trHeight w:val="157"/>
        </w:trPr>
        <w:tc>
          <w:tcPr>
            <w:tcW w:w="20" w:type="dxa"/>
            <w:vAlign w:val="bottom"/>
          </w:tcPr>
          <w:p>
            <w:pPr>
              <w:spacing w:after="0"/>
              <w:rPr>
                <w:sz w:val="13"/>
                <w:szCs w:val="13"/>
                <w:color w:val="auto"/>
              </w:rPr>
            </w:pPr>
          </w:p>
        </w:tc>
        <w:tc>
          <w:tcPr>
            <w:tcW w:w="1880" w:type="dxa"/>
            <w:vAlign w:val="bottom"/>
            <w:gridSpan w:val="2"/>
            <w:shd w:val="clear" w:color="auto" w:fill="CCEEFF"/>
          </w:tcPr>
          <w:p>
            <w:pPr>
              <w:ind w:left="140"/>
              <w:spacing w:after="0" w:line="157" w:lineRule="exact"/>
              <w:rPr>
                <w:sz w:val="20"/>
                <w:szCs w:val="20"/>
                <w:color w:val="auto"/>
              </w:rPr>
            </w:pPr>
            <w:r>
              <w:rPr>
                <w:rFonts w:ascii="Arial" w:cs="Arial" w:eastAsia="Arial" w:hAnsi="Arial"/>
                <w:sz w:val="14"/>
                <w:szCs w:val="14"/>
                <w:color w:val="auto"/>
              </w:rPr>
              <w:t>restricted stock</w:t>
            </w:r>
          </w:p>
        </w:tc>
        <w:tc>
          <w:tcPr>
            <w:tcW w:w="2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r>
      <w:tr>
        <w:trPr>
          <w:trHeight w:val="166"/>
        </w:trPr>
        <w:tc>
          <w:tcPr>
            <w:tcW w:w="20" w:type="dxa"/>
            <w:vAlign w:val="bottom"/>
          </w:tcPr>
          <w:p>
            <w:pPr>
              <w:spacing w:after="0"/>
              <w:rPr>
                <w:sz w:val="14"/>
                <w:szCs w:val="14"/>
                <w:color w:val="auto"/>
              </w:rPr>
            </w:pPr>
          </w:p>
        </w:tc>
        <w:tc>
          <w:tcPr>
            <w:tcW w:w="188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awards</w:t>
            </w:r>
          </w:p>
        </w:tc>
        <w:tc>
          <w:tcPr>
            <w:tcW w:w="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7,180</w:t>
            </w: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72</w:t>
            </w: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(72)</w:t>
            </w: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r>
      <w:tr>
        <w:trPr>
          <w:trHeight w:val="148"/>
        </w:trPr>
        <w:tc>
          <w:tcPr>
            <w:tcW w:w="20" w:type="dxa"/>
            <w:vAlign w:val="bottom"/>
          </w:tcPr>
          <w:p>
            <w:pPr>
              <w:spacing w:after="0"/>
              <w:rPr>
                <w:sz w:val="12"/>
                <w:szCs w:val="12"/>
                <w:color w:val="auto"/>
              </w:rPr>
            </w:pPr>
          </w:p>
        </w:tc>
        <w:tc>
          <w:tcPr>
            <w:tcW w:w="1880" w:type="dxa"/>
            <w:vAlign w:val="bottom"/>
            <w:gridSpan w:val="2"/>
          </w:tcPr>
          <w:p>
            <w:pPr>
              <w:spacing w:after="0" w:line="147" w:lineRule="exact"/>
              <w:rPr>
                <w:sz w:val="20"/>
                <w:szCs w:val="20"/>
                <w:color w:val="auto"/>
              </w:rPr>
            </w:pPr>
            <w:r>
              <w:rPr>
                <w:rFonts w:ascii="Arial" w:cs="Arial" w:eastAsia="Arial" w:hAnsi="Arial"/>
                <w:sz w:val="14"/>
                <w:szCs w:val="14"/>
                <w:color w:val="auto"/>
              </w:rPr>
              <w:t>Shares deducted</w:t>
            </w: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57"/>
        </w:trPr>
        <w:tc>
          <w:tcPr>
            <w:tcW w:w="20" w:type="dxa"/>
            <w:vAlign w:val="bottom"/>
          </w:tcPr>
          <w:p>
            <w:pPr>
              <w:spacing w:after="0"/>
              <w:rPr>
                <w:sz w:val="13"/>
                <w:szCs w:val="13"/>
                <w:color w:val="auto"/>
              </w:rPr>
            </w:pPr>
          </w:p>
        </w:tc>
        <w:tc>
          <w:tcPr>
            <w:tcW w:w="1880" w:type="dxa"/>
            <w:vAlign w:val="bottom"/>
            <w:gridSpan w:val="2"/>
          </w:tcPr>
          <w:p>
            <w:pPr>
              <w:ind w:left="140"/>
              <w:spacing w:after="0" w:line="157" w:lineRule="exact"/>
              <w:rPr>
                <w:sz w:val="20"/>
                <w:szCs w:val="20"/>
                <w:color w:val="auto"/>
              </w:rPr>
            </w:pPr>
            <w:r>
              <w:rPr>
                <w:rFonts w:ascii="Arial" w:cs="Arial" w:eastAsia="Arial" w:hAnsi="Arial"/>
                <w:sz w:val="14"/>
                <w:szCs w:val="14"/>
                <w:color w:val="auto"/>
              </w:rPr>
              <w:t>from restricted</w:t>
            </w: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66"/>
        </w:trPr>
        <w:tc>
          <w:tcPr>
            <w:tcW w:w="20" w:type="dxa"/>
            <w:vAlign w:val="bottom"/>
          </w:tcPr>
          <w:p>
            <w:pPr>
              <w:spacing w:after="0"/>
              <w:rPr>
                <w:sz w:val="14"/>
                <w:szCs w:val="14"/>
                <w:color w:val="auto"/>
              </w:rPr>
            </w:pPr>
          </w:p>
        </w:tc>
        <w:tc>
          <w:tcPr>
            <w:tcW w:w="1880" w:type="dxa"/>
            <w:vAlign w:val="bottom"/>
            <w:gridSpan w:val="2"/>
          </w:tcPr>
          <w:p>
            <w:pPr>
              <w:ind w:left="140"/>
              <w:spacing w:after="0"/>
              <w:rPr>
                <w:sz w:val="20"/>
                <w:szCs w:val="20"/>
                <w:color w:val="auto"/>
              </w:rPr>
            </w:pPr>
            <w:r>
              <w:rPr>
                <w:rFonts w:ascii="Arial" w:cs="Arial" w:eastAsia="Arial" w:hAnsi="Arial"/>
                <w:sz w:val="14"/>
                <w:szCs w:val="14"/>
                <w:color w:val="auto"/>
              </w:rPr>
              <w:t>stock</w:t>
            </w: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48"/>
        </w:trPr>
        <w:tc>
          <w:tcPr>
            <w:tcW w:w="20" w:type="dxa"/>
            <w:vAlign w:val="bottom"/>
          </w:tcPr>
          <w:p>
            <w:pPr>
              <w:spacing w:after="0"/>
              <w:rPr>
                <w:sz w:val="12"/>
                <w:szCs w:val="12"/>
                <w:color w:val="auto"/>
              </w:rPr>
            </w:pPr>
          </w:p>
        </w:tc>
        <w:tc>
          <w:tcPr>
            <w:tcW w:w="1880" w:type="dxa"/>
            <w:vAlign w:val="bottom"/>
            <w:gridSpan w:val="2"/>
            <w:shd w:val="clear" w:color="auto" w:fill="CCEEFF"/>
          </w:tcPr>
          <w:p>
            <w:pPr>
              <w:ind w:left="140"/>
              <w:spacing w:after="0" w:line="147" w:lineRule="exact"/>
              <w:rPr>
                <w:sz w:val="20"/>
                <w:szCs w:val="20"/>
                <w:color w:val="auto"/>
              </w:rPr>
            </w:pPr>
            <w:r>
              <w:rPr>
                <w:rFonts w:ascii="Arial" w:cs="Arial" w:eastAsia="Arial" w:hAnsi="Arial"/>
                <w:sz w:val="14"/>
                <w:szCs w:val="14"/>
                <w:color w:val="auto"/>
              </w:rPr>
              <w:t>awards for</w:t>
            </w:r>
          </w:p>
        </w:tc>
        <w:tc>
          <w:tcPr>
            <w:tcW w:w="2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r>
      <w:tr>
        <w:trPr>
          <w:trHeight w:val="157"/>
        </w:trPr>
        <w:tc>
          <w:tcPr>
            <w:tcW w:w="20" w:type="dxa"/>
            <w:vAlign w:val="bottom"/>
          </w:tcPr>
          <w:p>
            <w:pPr>
              <w:spacing w:after="0"/>
              <w:rPr>
                <w:sz w:val="13"/>
                <w:szCs w:val="13"/>
                <w:color w:val="auto"/>
              </w:rPr>
            </w:pPr>
          </w:p>
        </w:tc>
        <w:tc>
          <w:tcPr>
            <w:tcW w:w="1880" w:type="dxa"/>
            <w:vAlign w:val="bottom"/>
            <w:gridSpan w:val="2"/>
            <w:shd w:val="clear" w:color="auto" w:fill="CCEEFF"/>
          </w:tcPr>
          <w:p>
            <w:pPr>
              <w:ind w:left="300"/>
              <w:spacing w:after="0" w:line="157" w:lineRule="exact"/>
              <w:rPr>
                <w:sz w:val="20"/>
                <w:szCs w:val="20"/>
                <w:color w:val="auto"/>
              </w:rPr>
            </w:pPr>
            <w:r>
              <w:rPr>
                <w:rFonts w:ascii="Arial" w:cs="Arial" w:eastAsia="Arial" w:hAnsi="Arial"/>
                <w:sz w:val="14"/>
                <w:szCs w:val="14"/>
                <w:color w:val="auto"/>
              </w:rPr>
              <w:t>payment of</w:t>
            </w:r>
          </w:p>
        </w:tc>
        <w:tc>
          <w:tcPr>
            <w:tcW w:w="2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r>
      <w:tr>
        <w:trPr>
          <w:trHeight w:val="157"/>
        </w:trPr>
        <w:tc>
          <w:tcPr>
            <w:tcW w:w="20" w:type="dxa"/>
            <w:vAlign w:val="bottom"/>
          </w:tcPr>
          <w:p>
            <w:pPr>
              <w:spacing w:after="0"/>
              <w:rPr>
                <w:sz w:val="13"/>
                <w:szCs w:val="13"/>
                <w:color w:val="auto"/>
              </w:rPr>
            </w:pPr>
          </w:p>
        </w:tc>
        <w:tc>
          <w:tcPr>
            <w:tcW w:w="1880" w:type="dxa"/>
            <w:vAlign w:val="bottom"/>
            <w:gridSpan w:val="2"/>
            <w:shd w:val="clear" w:color="auto" w:fill="CCEEFF"/>
          </w:tcPr>
          <w:p>
            <w:pPr>
              <w:ind w:left="300"/>
              <w:spacing w:after="0" w:line="157" w:lineRule="exact"/>
              <w:rPr>
                <w:sz w:val="20"/>
                <w:szCs w:val="20"/>
                <w:color w:val="auto"/>
              </w:rPr>
            </w:pPr>
            <w:r>
              <w:rPr>
                <w:rFonts w:ascii="Arial" w:cs="Arial" w:eastAsia="Arial" w:hAnsi="Arial"/>
                <w:sz w:val="14"/>
                <w:szCs w:val="14"/>
                <w:color w:val="auto"/>
              </w:rPr>
              <w:t>withholding</w:t>
            </w:r>
          </w:p>
        </w:tc>
        <w:tc>
          <w:tcPr>
            <w:tcW w:w="2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r>
      <w:tr>
        <w:trPr>
          <w:trHeight w:val="166"/>
        </w:trPr>
        <w:tc>
          <w:tcPr>
            <w:tcW w:w="20" w:type="dxa"/>
            <w:vAlign w:val="bottom"/>
          </w:tcPr>
          <w:p>
            <w:pPr>
              <w:spacing w:after="0"/>
              <w:rPr>
                <w:sz w:val="14"/>
                <w:szCs w:val="14"/>
                <w:color w:val="auto"/>
              </w:rPr>
            </w:pPr>
          </w:p>
        </w:tc>
        <w:tc>
          <w:tcPr>
            <w:tcW w:w="188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taxes</w:t>
            </w:r>
          </w:p>
        </w:tc>
        <w:tc>
          <w:tcPr>
            <w:tcW w:w="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(618)</w:t>
            </w: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(9)</w:t>
            </w: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(12,205)</w:t>
            </w: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(12,214)</w:t>
            </w:r>
          </w:p>
        </w:tc>
      </w:tr>
      <w:tr>
        <w:trPr>
          <w:trHeight w:val="148"/>
        </w:trPr>
        <w:tc>
          <w:tcPr>
            <w:tcW w:w="20" w:type="dxa"/>
            <w:vAlign w:val="bottom"/>
          </w:tcPr>
          <w:p>
            <w:pPr>
              <w:spacing w:after="0"/>
              <w:rPr>
                <w:sz w:val="12"/>
                <w:szCs w:val="12"/>
                <w:color w:val="auto"/>
              </w:rPr>
            </w:pPr>
          </w:p>
        </w:tc>
        <w:tc>
          <w:tcPr>
            <w:tcW w:w="1880" w:type="dxa"/>
            <w:vAlign w:val="bottom"/>
            <w:gridSpan w:val="2"/>
          </w:tcPr>
          <w:p>
            <w:pPr>
              <w:spacing w:after="0" w:line="147" w:lineRule="exact"/>
              <w:rPr>
                <w:sz w:val="20"/>
                <w:szCs w:val="20"/>
                <w:color w:val="auto"/>
              </w:rPr>
            </w:pPr>
            <w:r>
              <w:rPr>
                <w:rFonts w:ascii="Arial" w:cs="Arial" w:eastAsia="Arial" w:hAnsi="Arial"/>
                <w:sz w:val="14"/>
                <w:szCs w:val="14"/>
                <w:color w:val="auto"/>
              </w:rPr>
              <w:t>Exercise of stock</w:t>
            </w: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66"/>
        </w:trPr>
        <w:tc>
          <w:tcPr>
            <w:tcW w:w="20" w:type="dxa"/>
            <w:vAlign w:val="bottom"/>
          </w:tcPr>
          <w:p>
            <w:pPr>
              <w:spacing w:after="0"/>
              <w:rPr>
                <w:sz w:val="14"/>
                <w:szCs w:val="14"/>
                <w:color w:val="auto"/>
              </w:rPr>
            </w:pPr>
          </w:p>
        </w:tc>
        <w:tc>
          <w:tcPr>
            <w:tcW w:w="1880" w:type="dxa"/>
            <w:vAlign w:val="bottom"/>
            <w:gridSpan w:val="2"/>
          </w:tcPr>
          <w:p>
            <w:pPr>
              <w:ind w:left="140"/>
              <w:spacing w:after="0"/>
              <w:rPr>
                <w:sz w:val="20"/>
                <w:szCs w:val="20"/>
                <w:color w:val="auto"/>
              </w:rPr>
            </w:pPr>
            <w:r>
              <w:rPr>
                <w:rFonts w:ascii="Arial" w:cs="Arial" w:eastAsia="Arial" w:hAnsi="Arial"/>
                <w:sz w:val="14"/>
                <w:szCs w:val="14"/>
                <w:color w:val="auto"/>
              </w:rPr>
              <w:t>options</w:t>
            </w:r>
          </w:p>
        </w:tc>
        <w:tc>
          <w:tcPr>
            <w:tcW w:w="2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Pr>
          <w:p>
            <w:pPr>
              <w:spacing w:after="0"/>
              <w:rPr>
                <w:sz w:val="14"/>
                <w:szCs w:val="14"/>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90"/>
              <w:spacing w:after="0"/>
              <w:rPr>
                <w:sz w:val="20"/>
                <w:szCs w:val="20"/>
                <w:color w:val="auto"/>
              </w:rPr>
            </w:pPr>
            <w:r>
              <w:rPr>
                <w:rFonts w:ascii="Arial" w:cs="Arial" w:eastAsia="Arial" w:hAnsi="Arial"/>
                <w:sz w:val="14"/>
                <w:szCs w:val="14"/>
                <w:color w:val="auto"/>
              </w:rPr>
              <w:t>69,876</w:t>
            </w:r>
          </w:p>
        </w:tc>
        <w:tc>
          <w:tcPr>
            <w:tcW w:w="240" w:type="dxa"/>
            <w:vAlign w:val="bottom"/>
          </w:tcPr>
          <w:p>
            <w:pPr>
              <w:spacing w:after="0"/>
              <w:rPr>
                <w:sz w:val="14"/>
                <w:szCs w:val="14"/>
                <w:color w:val="auto"/>
              </w:rPr>
            </w:pPr>
          </w:p>
        </w:tc>
        <w:tc>
          <w:tcPr>
            <w:tcW w:w="780" w:type="dxa"/>
            <w:vAlign w:val="bottom"/>
          </w:tcPr>
          <w:p>
            <w:pPr>
              <w:jc w:val="right"/>
              <w:ind w:right="69"/>
              <w:spacing w:after="0"/>
              <w:rPr>
                <w:sz w:val="20"/>
                <w:szCs w:val="20"/>
                <w:color w:val="auto"/>
              </w:rPr>
            </w:pPr>
            <w:r>
              <w:rPr>
                <w:rFonts w:ascii="Arial" w:cs="Arial" w:eastAsia="Arial" w:hAnsi="Arial"/>
                <w:sz w:val="14"/>
                <w:szCs w:val="14"/>
                <w:color w:val="auto"/>
              </w:rPr>
              <w:t>702</w:t>
            </w:r>
          </w:p>
        </w:tc>
        <w:tc>
          <w:tcPr>
            <w:tcW w:w="1040" w:type="dxa"/>
            <w:vAlign w:val="bottom"/>
          </w:tcPr>
          <w:p>
            <w:pPr>
              <w:jc w:val="right"/>
              <w:ind w:right="91"/>
              <w:spacing w:after="0"/>
              <w:rPr>
                <w:sz w:val="20"/>
                <w:szCs w:val="20"/>
                <w:color w:val="auto"/>
              </w:rPr>
            </w:pPr>
            <w:r>
              <w:rPr>
                <w:rFonts w:ascii="Arial" w:cs="Arial" w:eastAsia="Arial" w:hAnsi="Arial"/>
                <w:sz w:val="14"/>
                <w:szCs w:val="14"/>
                <w:color w:val="auto"/>
              </w:rPr>
              <w:t>28,875</w:t>
            </w:r>
          </w:p>
        </w:tc>
        <w:tc>
          <w:tcPr>
            <w:tcW w:w="220" w:type="dxa"/>
            <w:vAlign w:val="bottom"/>
          </w:tcPr>
          <w:p>
            <w:pPr>
              <w:spacing w:after="0"/>
              <w:rPr>
                <w:sz w:val="14"/>
                <w:szCs w:val="14"/>
                <w:color w:val="auto"/>
              </w:rPr>
            </w:pPr>
          </w:p>
        </w:tc>
        <w:tc>
          <w:tcPr>
            <w:tcW w:w="80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80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69"/>
              <w:spacing w:after="0"/>
              <w:rPr>
                <w:sz w:val="20"/>
                <w:szCs w:val="20"/>
                <w:color w:val="auto"/>
              </w:rPr>
            </w:pPr>
            <w:r>
              <w:rPr>
                <w:rFonts w:ascii="Arial" w:cs="Arial" w:eastAsia="Arial" w:hAnsi="Arial"/>
                <w:sz w:val="14"/>
                <w:szCs w:val="14"/>
                <w:color w:val="auto"/>
              </w:rPr>
              <w:t>29,577</w:t>
            </w:r>
          </w:p>
        </w:tc>
      </w:tr>
      <w:tr>
        <w:trPr>
          <w:trHeight w:val="148"/>
        </w:trPr>
        <w:tc>
          <w:tcPr>
            <w:tcW w:w="20" w:type="dxa"/>
            <w:vAlign w:val="bottom"/>
          </w:tcPr>
          <w:p>
            <w:pPr>
              <w:spacing w:after="0"/>
              <w:rPr>
                <w:sz w:val="12"/>
                <w:szCs w:val="12"/>
                <w:color w:val="auto"/>
              </w:rPr>
            </w:pPr>
          </w:p>
        </w:tc>
        <w:tc>
          <w:tcPr>
            <w:tcW w:w="1880" w:type="dxa"/>
            <w:vAlign w:val="bottom"/>
            <w:gridSpan w:val="2"/>
            <w:shd w:val="clear" w:color="auto" w:fill="CCEEFF"/>
          </w:tcPr>
          <w:p>
            <w:pPr>
              <w:spacing w:after="0" w:line="147" w:lineRule="exact"/>
              <w:rPr>
                <w:sz w:val="20"/>
                <w:szCs w:val="20"/>
                <w:color w:val="auto"/>
              </w:rPr>
            </w:pPr>
            <w:r>
              <w:rPr>
                <w:rFonts w:ascii="Arial" w:cs="Arial" w:eastAsia="Arial" w:hAnsi="Arial"/>
                <w:sz w:val="14"/>
                <w:szCs w:val="14"/>
                <w:color w:val="auto"/>
              </w:rPr>
              <w:t>Acquisition of</w:t>
            </w:r>
          </w:p>
        </w:tc>
        <w:tc>
          <w:tcPr>
            <w:tcW w:w="2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r>
      <w:tr>
        <w:trPr>
          <w:trHeight w:val="166"/>
        </w:trPr>
        <w:tc>
          <w:tcPr>
            <w:tcW w:w="20" w:type="dxa"/>
            <w:vAlign w:val="bottom"/>
          </w:tcPr>
          <w:p>
            <w:pPr>
              <w:spacing w:after="0"/>
              <w:rPr>
                <w:sz w:val="14"/>
                <w:szCs w:val="14"/>
                <w:color w:val="auto"/>
              </w:rPr>
            </w:pPr>
          </w:p>
        </w:tc>
        <w:tc>
          <w:tcPr>
            <w:tcW w:w="188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treasury stock</w:t>
            </w:r>
          </w:p>
        </w:tc>
        <w:tc>
          <w:tcPr>
            <w:tcW w:w="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25,860</w:t>
            </w: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(336,894)</w:t>
            </w:r>
          </w:p>
        </w:tc>
        <w:tc>
          <w:tcPr>
            <w:tcW w:w="10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(336,894)</w:t>
            </w:r>
          </w:p>
        </w:tc>
      </w:tr>
      <w:tr>
        <w:trPr>
          <w:trHeight w:val="157"/>
        </w:trPr>
        <w:tc>
          <w:tcPr>
            <w:tcW w:w="20" w:type="dxa"/>
            <w:vAlign w:val="bottom"/>
          </w:tcPr>
          <w:p>
            <w:pPr>
              <w:spacing w:after="0"/>
              <w:rPr>
                <w:sz w:val="13"/>
                <w:szCs w:val="13"/>
                <w:color w:val="auto"/>
              </w:rPr>
            </w:pPr>
          </w:p>
        </w:tc>
        <w:tc>
          <w:tcPr>
            <w:tcW w:w="1880" w:type="dxa"/>
            <w:vAlign w:val="bottom"/>
            <w:gridSpan w:val="2"/>
          </w:tcPr>
          <w:p>
            <w:pPr>
              <w:spacing w:after="0" w:line="157" w:lineRule="exact"/>
              <w:rPr>
                <w:sz w:val="20"/>
                <w:szCs w:val="20"/>
                <w:color w:val="auto"/>
              </w:rPr>
            </w:pPr>
            <w:r>
              <w:rPr>
                <w:rFonts w:ascii="Arial" w:cs="Arial" w:eastAsia="Arial" w:hAnsi="Arial"/>
                <w:sz w:val="14"/>
                <w:szCs w:val="14"/>
                <w:color w:val="auto"/>
              </w:rPr>
              <w:t>Dividends</w:t>
            </w:r>
          </w:p>
        </w:tc>
        <w:tc>
          <w:tcPr>
            <w:tcW w:w="260" w:type="dxa"/>
            <w:vAlign w:val="bottom"/>
          </w:tcPr>
          <w:p>
            <w:pPr>
              <w:jc w:val="right"/>
              <w:ind w:right="48"/>
              <w:spacing w:after="0" w:line="157" w:lineRule="exact"/>
              <w:rPr>
                <w:sz w:val="20"/>
                <w:szCs w:val="20"/>
                <w:color w:val="auto"/>
              </w:rPr>
            </w:pPr>
            <w:r>
              <w:rPr>
                <w:rFonts w:ascii="Arial" w:cs="Arial" w:eastAsia="Arial" w:hAnsi="Arial"/>
                <w:sz w:val="14"/>
                <w:szCs w:val="14"/>
                <w:color w:val="auto"/>
              </w:rPr>
              <w:t>-</w:t>
            </w:r>
          </w:p>
        </w:tc>
        <w:tc>
          <w:tcPr>
            <w:tcW w:w="800" w:type="dxa"/>
            <w:vAlign w:val="bottom"/>
          </w:tcPr>
          <w:p>
            <w:pPr>
              <w:spacing w:after="0"/>
              <w:rPr>
                <w:sz w:val="13"/>
                <w:szCs w:val="13"/>
                <w:color w:val="auto"/>
              </w:rPr>
            </w:pPr>
          </w:p>
        </w:tc>
        <w:tc>
          <w:tcPr>
            <w:tcW w:w="300" w:type="dxa"/>
            <w:vAlign w:val="bottom"/>
          </w:tcPr>
          <w:p>
            <w:pPr>
              <w:jc w:val="right"/>
              <w:ind w:right="128"/>
              <w:spacing w:after="0" w:line="157" w:lineRule="exact"/>
              <w:rPr>
                <w:sz w:val="20"/>
                <w:szCs w:val="20"/>
                <w:color w:val="auto"/>
              </w:rPr>
            </w:pPr>
            <w:r>
              <w:rPr>
                <w:rFonts w:ascii="Arial" w:cs="Arial" w:eastAsia="Arial" w:hAnsi="Arial"/>
                <w:sz w:val="14"/>
                <w:szCs w:val="14"/>
                <w:color w:val="auto"/>
              </w:rPr>
              <w:t>-</w:t>
            </w:r>
          </w:p>
        </w:tc>
        <w:tc>
          <w:tcPr>
            <w:tcW w:w="1000" w:type="dxa"/>
            <w:vAlign w:val="bottom"/>
          </w:tcPr>
          <w:p>
            <w:pPr>
              <w:jc w:val="right"/>
              <w:ind w:right="90"/>
              <w:spacing w:after="0" w:line="157"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780" w:type="dxa"/>
            <w:vAlign w:val="bottom"/>
          </w:tcPr>
          <w:p>
            <w:pPr>
              <w:jc w:val="right"/>
              <w:ind w:right="69"/>
              <w:spacing w:after="0" w:line="157" w:lineRule="exact"/>
              <w:rPr>
                <w:sz w:val="20"/>
                <w:szCs w:val="20"/>
                <w:color w:val="auto"/>
              </w:rPr>
            </w:pPr>
            <w:r>
              <w:rPr>
                <w:rFonts w:ascii="Arial" w:cs="Arial" w:eastAsia="Arial" w:hAnsi="Arial"/>
                <w:sz w:val="14"/>
                <w:szCs w:val="14"/>
                <w:color w:val="auto"/>
              </w:rPr>
              <w:t>-</w:t>
            </w:r>
          </w:p>
        </w:tc>
        <w:tc>
          <w:tcPr>
            <w:tcW w:w="1040" w:type="dxa"/>
            <w:vAlign w:val="bottom"/>
          </w:tcPr>
          <w:p>
            <w:pPr>
              <w:jc w:val="right"/>
              <w:ind w:right="91"/>
              <w:spacing w:after="0" w:line="157"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800" w:type="dxa"/>
            <w:vAlign w:val="bottom"/>
          </w:tcPr>
          <w:p>
            <w:pPr>
              <w:jc w:val="right"/>
              <w:ind w:right="89"/>
              <w:spacing w:after="0" w:line="157" w:lineRule="exact"/>
              <w:rPr>
                <w:sz w:val="20"/>
                <w:szCs w:val="20"/>
                <w:color w:val="auto"/>
              </w:rPr>
            </w:pPr>
            <w:r>
              <w:rPr>
                <w:rFonts w:ascii="Arial" w:cs="Arial" w:eastAsia="Arial" w:hAnsi="Arial"/>
                <w:sz w:val="14"/>
                <w:szCs w:val="14"/>
                <w:color w:val="auto"/>
              </w:rPr>
              <w:t>-</w:t>
            </w:r>
          </w:p>
        </w:tc>
        <w:tc>
          <w:tcPr>
            <w:tcW w:w="1020" w:type="dxa"/>
            <w:vAlign w:val="bottom"/>
          </w:tcPr>
          <w:p>
            <w:pPr>
              <w:jc w:val="right"/>
              <w:ind w:right="30"/>
              <w:spacing w:after="0" w:line="157" w:lineRule="exact"/>
              <w:rPr>
                <w:sz w:val="20"/>
                <w:szCs w:val="20"/>
                <w:color w:val="auto"/>
              </w:rPr>
            </w:pPr>
            <w:r>
              <w:rPr>
                <w:rFonts w:ascii="Arial" w:cs="Arial" w:eastAsia="Arial" w:hAnsi="Arial"/>
                <w:sz w:val="14"/>
                <w:szCs w:val="14"/>
                <w:color w:val="auto"/>
              </w:rPr>
              <w:t>(1,068,375)</w:t>
            </w:r>
          </w:p>
        </w:tc>
        <w:tc>
          <w:tcPr>
            <w:tcW w:w="1000" w:type="dxa"/>
            <w:vAlign w:val="bottom"/>
          </w:tcPr>
          <w:p>
            <w:pPr>
              <w:jc w:val="right"/>
              <w:ind w:right="70"/>
              <w:spacing w:after="0" w:line="157"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800" w:type="dxa"/>
            <w:vAlign w:val="bottom"/>
          </w:tcPr>
          <w:p>
            <w:pPr>
              <w:jc w:val="right"/>
              <w:ind w:right="69"/>
              <w:spacing w:after="0" w:line="157" w:lineRule="exact"/>
              <w:rPr>
                <w:sz w:val="20"/>
                <w:szCs w:val="20"/>
                <w:color w:val="auto"/>
              </w:rPr>
            </w:pPr>
            <w:r>
              <w:rPr>
                <w:rFonts w:ascii="Arial" w:cs="Arial" w:eastAsia="Arial" w:hAnsi="Arial"/>
                <w:sz w:val="14"/>
                <w:szCs w:val="14"/>
                <w:color w:val="auto"/>
              </w:rPr>
              <w:t>-</w:t>
            </w:r>
          </w:p>
        </w:tc>
        <w:tc>
          <w:tcPr>
            <w:tcW w:w="1020" w:type="dxa"/>
            <w:vAlign w:val="bottom"/>
          </w:tcPr>
          <w:p>
            <w:pPr>
              <w:jc w:val="right"/>
              <w:ind w:right="29"/>
              <w:spacing w:after="0" w:line="157" w:lineRule="exact"/>
              <w:rPr>
                <w:sz w:val="20"/>
                <w:szCs w:val="20"/>
                <w:color w:val="auto"/>
              </w:rPr>
            </w:pPr>
            <w:r>
              <w:rPr>
                <w:rFonts w:ascii="Arial" w:cs="Arial" w:eastAsia="Arial" w:hAnsi="Arial"/>
                <w:sz w:val="14"/>
                <w:szCs w:val="14"/>
                <w:color w:val="auto"/>
              </w:rPr>
              <w:t>(1,068,375)</w:t>
            </w:r>
          </w:p>
        </w:tc>
      </w:tr>
      <w:tr>
        <w:trPr>
          <w:trHeight w:val="157"/>
        </w:trPr>
        <w:tc>
          <w:tcPr>
            <w:tcW w:w="20" w:type="dxa"/>
            <w:vAlign w:val="bottom"/>
          </w:tcPr>
          <w:p>
            <w:pPr>
              <w:spacing w:after="0"/>
              <w:rPr>
                <w:sz w:val="13"/>
                <w:szCs w:val="13"/>
                <w:color w:val="auto"/>
              </w:rPr>
            </w:pPr>
          </w:p>
        </w:tc>
        <w:tc>
          <w:tcPr>
            <w:tcW w:w="1880" w:type="dxa"/>
            <w:vAlign w:val="bottom"/>
            <w:gridSpan w:val="2"/>
            <w:shd w:val="clear" w:color="auto" w:fill="CCEEFF"/>
          </w:tcPr>
          <w:p>
            <w:pPr>
              <w:spacing w:after="0" w:line="157" w:lineRule="exact"/>
              <w:rPr>
                <w:sz w:val="20"/>
                <w:szCs w:val="20"/>
                <w:color w:val="auto"/>
              </w:rPr>
            </w:pPr>
            <w:r>
              <w:rPr>
                <w:rFonts w:ascii="Arial" w:cs="Arial" w:eastAsia="Arial" w:hAnsi="Arial"/>
                <w:sz w:val="14"/>
                <w:szCs w:val="14"/>
                <w:color w:val="auto"/>
              </w:rPr>
              <w:t>Net loss</w:t>
            </w:r>
          </w:p>
        </w:tc>
        <w:tc>
          <w:tcPr>
            <w:tcW w:w="260" w:type="dxa"/>
            <w:vAlign w:val="bottom"/>
            <w:shd w:val="clear" w:color="auto" w:fill="CCEEFF"/>
          </w:tcPr>
          <w:p>
            <w:pPr>
              <w:jc w:val="right"/>
              <w:ind w:right="48"/>
              <w:spacing w:after="0" w:line="157"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spacing w:after="0"/>
              <w:rPr>
                <w:sz w:val="13"/>
                <w:szCs w:val="13"/>
                <w:color w:val="auto"/>
              </w:rPr>
            </w:pPr>
          </w:p>
        </w:tc>
        <w:tc>
          <w:tcPr>
            <w:tcW w:w="300" w:type="dxa"/>
            <w:vAlign w:val="bottom"/>
            <w:shd w:val="clear" w:color="auto" w:fill="CCEEFF"/>
          </w:tcPr>
          <w:p>
            <w:pPr>
              <w:jc w:val="right"/>
              <w:ind w:right="128"/>
              <w:spacing w:after="0" w:line="157" w:lineRule="exact"/>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90"/>
              <w:spacing w:after="0" w:line="157"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3"/>
                <w:szCs w:val="13"/>
                <w:color w:val="auto"/>
              </w:rPr>
            </w:pPr>
          </w:p>
        </w:tc>
        <w:tc>
          <w:tcPr>
            <w:tcW w:w="780" w:type="dxa"/>
            <w:vAlign w:val="bottom"/>
            <w:shd w:val="clear" w:color="auto" w:fill="CCEEFF"/>
          </w:tcPr>
          <w:p>
            <w:pPr>
              <w:jc w:val="right"/>
              <w:ind w:right="69"/>
              <w:spacing w:after="0" w:line="157" w:lineRule="exact"/>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91"/>
              <w:spacing w:after="0" w:line="157"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89"/>
              <w:spacing w:after="0" w:line="157" w:lineRule="exact"/>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30"/>
              <w:spacing w:after="0" w:line="157" w:lineRule="exact"/>
              <w:rPr>
                <w:sz w:val="20"/>
                <w:szCs w:val="20"/>
                <w:color w:val="auto"/>
              </w:rPr>
            </w:pPr>
            <w:r>
              <w:rPr>
                <w:rFonts w:ascii="Arial" w:cs="Arial" w:eastAsia="Arial" w:hAnsi="Arial"/>
                <w:sz w:val="14"/>
                <w:szCs w:val="14"/>
                <w:color w:val="auto"/>
              </w:rPr>
              <w:t>(2,717,934)</w:t>
            </w:r>
          </w:p>
        </w:tc>
        <w:tc>
          <w:tcPr>
            <w:tcW w:w="1000" w:type="dxa"/>
            <w:vAlign w:val="bottom"/>
            <w:shd w:val="clear" w:color="auto" w:fill="CCEEFF"/>
          </w:tcPr>
          <w:p>
            <w:pPr>
              <w:jc w:val="right"/>
              <w:ind w:right="70"/>
              <w:spacing w:after="0" w:line="157"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69"/>
              <w:spacing w:after="0" w:line="157" w:lineRule="exact"/>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29"/>
              <w:spacing w:after="0" w:line="157" w:lineRule="exact"/>
              <w:rPr>
                <w:sz w:val="20"/>
                <w:szCs w:val="20"/>
                <w:color w:val="auto"/>
              </w:rPr>
            </w:pPr>
            <w:r>
              <w:rPr>
                <w:rFonts w:ascii="Arial" w:cs="Arial" w:eastAsia="Arial" w:hAnsi="Arial"/>
                <w:sz w:val="14"/>
                <w:szCs w:val="14"/>
                <w:color w:val="auto"/>
              </w:rPr>
              <w:t>(2,717,934)</w:t>
            </w:r>
          </w:p>
        </w:tc>
      </w:tr>
      <w:tr>
        <w:trPr>
          <w:trHeight w:val="148"/>
        </w:trPr>
        <w:tc>
          <w:tcPr>
            <w:tcW w:w="20" w:type="dxa"/>
            <w:vAlign w:val="bottom"/>
          </w:tcPr>
          <w:p>
            <w:pPr>
              <w:spacing w:after="0"/>
              <w:rPr>
                <w:sz w:val="12"/>
                <w:szCs w:val="12"/>
                <w:color w:val="auto"/>
              </w:rPr>
            </w:pPr>
          </w:p>
        </w:tc>
        <w:tc>
          <w:tcPr>
            <w:tcW w:w="1880" w:type="dxa"/>
            <w:vAlign w:val="bottom"/>
            <w:gridSpan w:val="2"/>
          </w:tcPr>
          <w:p>
            <w:pPr>
              <w:spacing w:after="0" w:line="147" w:lineRule="exact"/>
              <w:rPr>
                <w:sz w:val="20"/>
                <w:szCs w:val="20"/>
                <w:color w:val="auto"/>
              </w:rPr>
            </w:pPr>
            <w:r>
              <w:rPr>
                <w:rFonts w:ascii="Arial" w:cs="Arial" w:eastAsia="Arial" w:hAnsi="Arial"/>
                <w:sz w:val="14"/>
                <w:szCs w:val="14"/>
                <w:color w:val="auto"/>
              </w:rPr>
              <w:t>Change in</w:t>
            </w: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57"/>
        </w:trPr>
        <w:tc>
          <w:tcPr>
            <w:tcW w:w="20" w:type="dxa"/>
            <w:vAlign w:val="bottom"/>
          </w:tcPr>
          <w:p>
            <w:pPr>
              <w:spacing w:after="0"/>
              <w:rPr>
                <w:sz w:val="13"/>
                <w:szCs w:val="13"/>
                <w:color w:val="auto"/>
              </w:rPr>
            </w:pPr>
          </w:p>
        </w:tc>
        <w:tc>
          <w:tcPr>
            <w:tcW w:w="1880" w:type="dxa"/>
            <w:vAlign w:val="bottom"/>
            <w:gridSpan w:val="2"/>
          </w:tcPr>
          <w:p>
            <w:pPr>
              <w:ind w:left="140"/>
              <w:spacing w:after="0" w:line="157" w:lineRule="exact"/>
              <w:rPr>
                <w:sz w:val="20"/>
                <w:szCs w:val="20"/>
                <w:color w:val="auto"/>
              </w:rPr>
            </w:pPr>
            <w:r>
              <w:rPr>
                <w:rFonts w:ascii="Arial" w:cs="Arial" w:eastAsia="Arial" w:hAnsi="Arial"/>
                <w:sz w:val="14"/>
                <w:szCs w:val="14"/>
                <w:color w:val="auto"/>
              </w:rPr>
              <w:t>unrealized losses</w:t>
            </w: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66"/>
        </w:trPr>
        <w:tc>
          <w:tcPr>
            <w:tcW w:w="20" w:type="dxa"/>
            <w:vAlign w:val="bottom"/>
          </w:tcPr>
          <w:p>
            <w:pPr>
              <w:spacing w:after="0"/>
              <w:rPr>
                <w:sz w:val="14"/>
                <w:szCs w:val="14"/>
                <w:color w:val="auto"/>
              </w:rPr>
            </w:pPr>
          </w:p>
        </w:tc>
        <w:tc>
          <w:tcPr>
            <w:tcW w:w="1880" w:type="dxa"/>
            <w:vAlign w:val="bottom"/>
            <w:gridSpan w:val="2"/>
          </w:tcPr>
          <w:p>
            <w:pPr>
              <w:ind w:left="140"/>
              <w:spacing w:after="0"/>
              <w:rPr>
                <w:sz w:val="20"/>
                <w:szCs w:val="20"/>
                <w:color w:val="auto"/>
              </w:rPr>
            </w:pPr>
            <w:r>
              <w:rPr>
                <w:rFonts w:ascii="Arial" w:cs="Arial" w:eastAsia="Arial" w:hAnsi="Arial"/>
                <w:sz w:val="14"/>
                <w:szCs w:val="14"/>
                <w:color w:val="auto"/>
              </w:rPr>
              <w:t>on available-</w:t>
            </w: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48"/>
        </w:trPr>
        <w:tc>
          <w:tcPr>
            <w:tcW w:w="20" w:type="dxa"/>
            <w:vAlign w:val="bottom"/>
          </w:tcPr>
          <w:p>
            <w:pPr>
              <w:spacing w:after="0"/>
              <w:rPr>
                <w:sz w:val="12"/>
                <w:szCs w:val="12"/>
                <w:color w:val="auto"/>
              </w:rPr>
            </w:pPr>
          </w:p>
        </w:tc>
        <w:tc>
          <w:tcPr>
            <w:tcW w:w="1880" w:type="dxa"/>
            <w:vAlign w:val="bottom"/>
            <w:gridSpan w:val="2"/>
            <w:shd w:val="clear" w:color="auto" w:fill="CCEEFF"/>
          </w:tcPr>
          <w:p>
            <w:pPr>
              <w:ind w:left="140"/>
              <w:spacing w:after="0" w:line="147" w:lineRule="exact"/>
              <w:rPr>
                <w:sz w:val="20"/>
                <w:szCs w:val="20"/>
                <w:color w:val="auto"/>
              </w:rPr>
            </w:pPr>
            <w:r>
              <w:rPr>
                <w:rFonts w:ascii="Arial" w:cs="Arial" w:eastAsia="Arial" w:hAnsi="Arial"/>
                <w:sz w:val="14"/>
                <w:szCs w:val="14"/>
                <w:color w:val="auto"/>
              </w:rPr>
              <w:t>for-sale</w:t>
            </w:r>
          </w:p>
        </w:tc>
        <w:tc>
          <w:tcPr>
            <w:tcW w:w="2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r>
      <w:tr>
        <w:trPr>
          <w:trHeight w:val="157"/>
        </w:trPr>
        <w:tc>
          <w:tcPr>
            <w:tcW w:w="20" w:type="dxa"/>
            <w:vAlign w:val="bottom"/>
          </w:tcPr>
          <w:p>
            <w:pPr>
              <w:spacing w:after="0"/>
              <w:rPr>
                <w:sz w:val="13"/>
                <w:szCs w:val="13"/>
                <w:color w:val="auto"/>
              </w:rPr>
            </w:pPr>
          </w:p>
        </w:tc>
        <w:tc>
          <w:tcPr>
            <w:tcW w:w="1880" w:type="dxa"/>
            <w:vAlign w:val="bottom"/>
            <w:gridSpan w:val="2"/>
            <w:shd w:val="clear" w:color="auto" w:fill="CCEEFF"/>
          </w:tcPr>
          <w:p>
            <w:pPr>
              <w:ind w:left="300"/>
              <w:spacing w:after="0" w:line="157" w:lineRule="exact"/>
              <w:rPr>
                <w:sz w:val="20"/>
                <w:szCs w:val="20"/>
                <w:color w:val="auto"/>
              </w:rPr>
            </w:pPr>
            <w:r>
              <w:rPr>
                <w:rFonts w:ascii="Arial" w:cs="Arial" w:eastAsia="Arial" w:hAnsi="Arial"/>
                <w:sz w:val="14"/>
                <w:szCs w:val="14"/>
                <w:color w:val="auto"/>
              </w:rPr>
              <w:t>securities, net</w:t>
            </w:r>
          </w:p>
        </w:tc>
        <w:tc>
          <w:tcPr>
            <w:tcW w:w="2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r>
      <w:tr>
        <w:trPr>
          <w:trHeight w:val="173"/>
        </w:trPr>
        <w:tc>
          <w:tcPr>
            <w:tcW w:w="20" w:type="dxa"/>
            <w:vAlign w:val="bottom"/>
          </w:tcPr>
          <w:p>
            <w:pPr>
              <w:spacing w:after="0"/>
              <w:rPr>
                <w:sz w:val="15"/>
                <w:szCs w:val="15"/>
                <w:color w:val="auto"/>
              </w:rPr>
            </w:pPr>
          </w:p>
        </w:tc>
        <w:tc>
          <w:tcPr>
            <w:tcW w:w="114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of tax</w:t>
            </w:r>
          </w:p>
        </w:tc>
        <w:tc>
          <w:tcPr>
            <w:tcW w:w="740" w:type="dxa"/>
            <w:vAlign w:val="bottom"/>
            <w:tcBorders>
              <w:bottom w:val="single" w:sz="8" w:color="auto"/>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w w:val="94"/>
              </w:rPr>
              <w:t>(2,077,468)</w:t>
            </w:r>
          </w:p>
        </w:tc>
        <w:tc>
          <w:tcPr>
            <w:tcW w:w="10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(2,077,468)</w:t>
            </w:r>
          </w:p>
        </w:tc>
      </w:tr>
      <w:tr>
        <w:trPr>
          <w:trHeight w:val="148"/>
        </w:trPr>
        <w:tc>
          <w:tcPr>
            <w:tcW w:w="20" w:type="dxa"/>
            <w:vAlign w:val="bottom"/>
          </w:tcPr>
          <w:p>
            <w:pPr>
              <w:spacing w:after="0"/>
              <w:rPr>
                <w:sz w:val="12"/>
                <w:szCs w:val="12"/>
                <w:color w:val="auto"/>
              </w:rPr>
            </w:pPr>
          </w:p>
        </w:tc>
        <w:tc>
          <w:tcPr>
            <w:tcW w:w="1880" w:type="dxa"/>
            <w:vAlign w:val="bottom"/>
            <w:gridSpan w:val="2"/>
          </w:tcPr>
          <w:p>
            <w:pPr>
              <w:spacing w:after="0" w:line="147" w:lineRule="exact"/>
              <w:rPr>
                <w:sz w:val="20"/>
                <w:szCs w:val="20"/>
                <w:color w:val="auto"/>
              </w:rPr>
            </w:pPr>
            <w:r>
              <w:rPr>
                <w:rFonts w:ascii="Arial" w:cs="Arial" w:eastAsia="Arial" w:hAnsi="Arial"/>
                <w:sz w:val="14"/>
                <w:szCs w:val="14"/>
                <w:color w:val="auto"/>
              </w:rPr>
              <w:t>Balance, March 31,</w:t>
            </w: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66"/>
        </w:trPr>
        <w:tc>
          <w:tcPr>
            <w:tcW w:w="1160" w:type="dxa"/>
            <w:vAlign w:val="bottom"/>
            <w:gridSpan w:val="2"/>
          </w:tcPr>
          <w:p>
            <w:pPr>
              <w:ind w:left="160"/>
              <w:spacing w:after="0"/>
              <w:rPr>
                <w:sz w:val="20"/>
                <w:szCs w:val="20"/>
                <w:color w:val="auto"/>
              </w:rPr>
            </w:pPr>
            <w:r>
              <w:rPr>
                <w:rFonts w:ascii="Arial" w:cs="Arial" w:eastAsia="Arial" w:hAnsi="Arial"/>
                <w:sz w:val="14"/>
                <w:szCs w:val="14"/>
                <w:color w:val="auto"/>
              </w:rPr>
              <w:t>2018</w:t>
            </w:r>
          </w:p>
        </w:tc>
        <w:tc>
          <w:tcPr>
            <w:tcW w:w="7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color w:val="auto"/>
              </w:rPr>
              <w:t>11,679,334</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116,793</w:t>
            </w:r>
          </w:p>
        </w:tc>
        <w:tc>
          <w:tcPr>
            <w:tcW w:w="104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color w:val="auto"/>
              </w:rPr>
              <w:t>$ 68,163,744</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w w:val="94"/>
              </w:rPr>
              <w:t>(1,391,063)</w:t>
            </w:r>
          </w:p>
        </w:tc>
        <w:tc>
          <w:tcPr>
            <w:tcW w:w="102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color w:val="auto"/>
              </w:rPr>
              <w:t>$ 23,780,755</w:t>
            </w:r>
          </w:p>
        </w:tc>
        <w:tc>
          <w:tcPr>
            <w:tcW w:w="100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1,012,669</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w w:val="94"/>
              </w:rPr>
              <w:t>(2,509,193)</w:t>
            </w:r>
          </w:p>
        </w:tc>
        <w:tc>
          <w:tcPr>
            <w:tcW w:w="102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$ 88,161,036</w:t>
            </w: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See accompanying notes to condensed consolidated financial statements.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25106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ectPr>
          <w:pgSz w:w="11900" w:h="16838" w:orient="portrait"/>
          <w:cols w:equalWidth="0" w:num="1">
            <w:col w:w="11420"/>
          </w:cols>
          <w:pgMar w:left="240" w:top="572" w:right="239" w:bottom="1440" w:gutter="0" w:footer="0" w:header="0"/>
        </w:sectPr>
      </w:pPr>
    </w:p>
    <w:bookmarkStart w:id="6" w:name="page7"/>
    <w:bookmarkEnd w:id="6"/>
    <w:p>
      <w:pPr>
        <w:ind w:left="7240"/>
        <w:spacing w:after="0"/>
        <w:rPr>
          <w:sz w:val="20"/>
          <w:szCs w:val="20"/>
          <w:color w:val="auto"/>
        </w:rPr>
      </w:pPr>
      <w:r>
        <w:rPr>
          <w:rFonts w:ascii="Arial" w:cs="Arial" w:eastAsia="Arial" w:hAnsi="Arial"/>
          <w:sz w:val="16"/>
          <w:szCs w:val="16"/>
          <w:b w:val="1"/>
          <w:bCs w:val="1"/>
          <w:color w:val="auto"/>
        </w:rPr>
        <w:t>KINGSTONE COMPANIES, INC. AND SUBSIDIARIES</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Condensed Consolidated Statements of Stockholders' Equity (Unaudited)</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Three months ended March 31, 2019 and 2018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wp:posOffset>
            </wp:positionV>
            <wp:extent cx="7251065" cy="165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20" w:type="dxa"/>
            <w:vAlign w:val="bottom"/>
            <w:gridSpan w:val="2"/>
          </w:tcPr>
          <w:p>
            <w:pPr>
              <w:jc w:val="center"/>
              <w:spacing w:after="0"/>
              <w:rPr>
                <w:sz w:val="20"/>
                <w:szCs w:val="20"/>
                <w:color w:val="auto"/>
              </w:rPr>
            </w:pPr>
            <w:r>
              <w:rPr>
                <w:rFonts w:ascii="Arial" w:cs="Arial" w:eastAsia="Arial" w:hAnsi="Arial"/>
                <w:sz w:val="12"/>
                <w:szCs w:val="12"/>
                <w:b w:val="1"/>
                <w:bCs w:val="1"/>
                <w:color w:val="auto"/>
                <w:w w:val="90"/>
              </w:rPr>
              <w:t>Accumulated</w:t>
            </w:r>
          </w:p>
        </w:tc>
        <w:tc>
          <w:tcPr>
            <w:tcW w:w="10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57"/>
        </w:trPr>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jc w:val="center"/>
              <w:spacing w:after="0"/>
              <w:rPr>
                <w:sz w:val="20"/>
                <w:szCs w:val="20"/>
                <w:color w:val="auto"/>
              </w:rPr>
            </w:pPr>
            <w:r>
              <w:rPr>
                <w:rFonts w:ascii="Arial" w:cs="Arial" w:eastAsia="Arial" w:hAnsi="Arial"/>
                <w:sz w:val="12"/>
                <w:szCs w:val="12"/>
                <w:b w:val="1"/>
                <w:bCs w:val="1"/>
                <w:color w:val="auto"/>
                <w:w w:val="94"/>
              </w:rPr>
              <w:t>Capital</w:t>
            </w:r>
          </w:p>
        </w:tc>
        <w:tc>
          <w:tcPr>
            <w:tcW w:w="220" w:type="dxa"/>
            <w:vAlign w:val="bottom"/>
          </w:tcPr>
          <w:p>
            <w:pPr>
              <w:spacing w:after="0"/>
              <w:rPr>
                <w:sz w:val="13"/>
                <w:szCs w:val="13"/>
                <w:color w:val="auto"/>
              </w:rPr>
            </w:pPr>
          </w:p>
        </w:tc>
        <w:tc>
          <w:tcPr>
            <w:tcW w:w="800" w:type="dxa"/>
            <w:vAlign w:val="bottom"/>
          </w:tcPr>
          <w:p>
            <w:pPr>
              <w:jc w:val="center"/>
              <w:ind w:right="150"/>
              <w:spacing w:after="0"/>
              <w:rPr>
                <w:sz w:val="20"/>
                <w:szCs w:val="20"/>
                <w:color w:val="auto"/>
              </w:rPr>
            </w:pPr>
            <w:r>
              <w:rPr>
                <w:rFonts w:ascii="Arial" w:cs="Arial" w:eastAsia="Arial" w:hAnsi="Arial"/>
                <w:sz w:val="12"/>
                <w:szCs w:val="12"/>
                <w:b w:val="1"/>
                <w:bCs w:val="1"/>
                <w:color w:val="auto"/>
                <w:w w:val="93"/>
              </w:rPr>
              <w:t>Other</w:t>
            </w:r>
          </w:p>
        </w:tc>
        <w:tc>
          <w:tcPr>
            <w:tcW w:w="10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800" w:type="dxa"/>
            <w:vAlign w:val="bottom"/>
            <w:tcBorders>
              <w:bottom w:val="single" w:sz="8" w:color="auto"/>
            </w:tcBorders>
            <w:gridSpan w:val="3"/>
          </w:tcPr>
          <w:p>
            <w:pPr>
              <w:jc w:val="right"/>
              <w:ind w:right="312"/>
              <w:spacing w:after="0"/>
              <w:rPr>
                <w:sz w:val="20"/>
                <w:szCs w:val="20"/>
                <w:color w:val="auto"/>
              </w:rPr>
            </w:pPr>
            <w:r>
              <w:rPr>
                <w:rFonts w:ascii="Arial" w:cs="Arial" w:eastAsia="Arial" w:hAnsi="Arial"/>
                <w:sz w:val="12"/>
                <w:szCs w:val="12"/>
                <w:b w:val="1"/>
                <w:bCs w:val="1"/>
                <w:color w:val="auto"/>
              </w:rPr>
              <w:t>Preferred Stock</w:t>
            </w:r>
          </w:p>
        </w:tc>
        <w:tc>
          <w:tcPr>
            <w:tcW w:w="300" w:type="dxa"/>
            <w:vAlign w:val="bottom"/>
            <w:tcBorders>
              <w:bottom w:val="single" w:sz="8" w:color="auto"/>
            </w:tcBorders>
          </w:tcPr>
          <w:p>
            <w:pPr>
              <w:spacing w:after="0"/>
              <w:rPr>
                <w:sz w:val="13"/>
                <w:szCs w:val="13"/>
                <w:color w:val="auto"/>
              </w:rPr>
            </w:pPr>
          </w:p>
        </w:tc>
        <w:tc>
          <w:tcPr>
            <w:tcW w:w="2020" w:type="dxa"/>
            <w:vAlign w:val="bottom"/>
            <w:tcBorders>
              <w:bottom w:val="single" w:sz="8" w:color="auto"/>
            </w:tcBorders>
            <w:gridSpan w:val="3"/>
          </w:tcPr>
          <w:p>
            <w:pPr>
              <w:jc w:val="right"/>
              <w:ind w:right="570"/>
              <w:spacing w:after="0"/>
              <w:rPr>
                <w:sz w:val="20"/>
                <w:szCs w:val="20"/>
                <w:color w:val="auto"/>
              </w:rPr>
            </w:pPr>
            <w:r>
              <w:rPr>
                <w:rFonts w:ascii="Arial" w:cs="Arial" w:eastAsia="Arial" w:hAnsi="Arial"/>
                <w:sz w:val="12"/>
                <w:szCs w:val="12"/>
                <w:b w:val="1"/>
                <w:bCs w:val="1"/>
                <w:color w:val="auto"/>
              </w:rPr>
              <w:t>Common Stock</w:t>
            </w:r>
          </w:p>
        </w:tc>
        <w:tc>
          <w:tcPr>
            <w:tcW w:w="1040" w:type="dxa"/>
            <w:vAlign w:val="bottom"/>
          </w:tcPr>
          <w:p>
            <w:pPr>
              <w:jc w:val="center"/>
              <w:spacing w:after="0"/>
              <w:rPr>
                <w:sz w:val="20"/>
                <w:szCs w:val="20"/>
                <w:color w:val="auto"/>
              </w:rPr>
            </w:pPr>
            <w:r>
              <w:rPr>
                <w:rFonts w:ascii="Arial" w:cs="Arial" w:eastAsia="Arial" w:hAnsi="Arial"/>
                <w:sz w:val="12"/>
                <w:szCs w:val="12"/>
                <w:b w:val="1"/>
                <w:bCs w:val="1"/>
                <w:color w:val="auto"/>
                <w:w w:val="82"/>
              </w:rPr>
              <w:t>in Excess</w:t>
            </w:r>
          </w:p>
        </w:tc>
        <w:tc>
          <w:tcPr>
            <w:tcW w:w="1020" w:type="dxa"/>
            <w:vAlign w:val="bottom"/>
            <w:gridSpan w:val="2"/>
          </w:tcPr>
          <w:p>
            <w:pPr>
              <w:jc w:val="right"/>
              <w:ind w:right="30"/>
              <w:spacing w:after="0"/>
              <w:rPr>
                <w:sz w:val="20"/>
                <w:szCs w:val="20"/>
                <w:color w:val="auto"/>
              </w:rPr>
            </w:pPr>
            <w:r>
              <w:rPr>
                <w:rFonts w:ascii="Arial" w:cs="Arial" w:eastAsia="Arial" w:hAnsi="Arial"/>
                <w:sz w:val="12"/>
                <w:szCs w:val="12"/>
                <w:b w:val="1"/>
                <w:bCs w:val="1"/>
                <w:color w:val="auto"/>
                <w:w w:val="99"/>
              </w:rPr>
              <w:t>Comprehensive</w:t>
            </w:r>
          </w:p>
        </w:tc>
        <w:tc>
          <w:tcPr>
            <w:tcW w:w="1020" w:type="dxa"/>
            <w:vAlign w:val="bottom"/>
          </w:tcPr>
          <w:p>
            <w:pPr>
              <w:jc w:val="right"/>
              <w:ind w:right="231"/>
              <w:spacing w:after="0"/>
              <w:rPr>
                <w:sz w:val="20"/>
                <w:szCs w:val="20"/>
                <w:color w:val="auto"/>
              </w:rPr>
            </w:pPr>
            <w:r>
              <w:rPr>
                <w:rFonts w:ascii="Arial" w:cs="Arial" w:eastAsia="Arial" w:hAnsi="Arial"/>
                <w:sz w:val="12"/>
                <w:szCs w:val="12"/>
                <w:b w:val="1"/>
                <w:bCs w:val="1"/>
                <w:color w:val="auto"/>
              </w:rPr>
              <w:t>Retained</w:t>
            </w:r>
          </w:p>
        </w:tc>
        <w:tc>
          <w:tcPr>
            <w:tcW w:w="2040" w:type="dxa"/>
            <w:vAlign w:val="bottom"/>
            <w:tcBorders>
              <w:bottom w:val="single" w:sz="8" w:color="auto"/>
            </w:tcBorders>
            <w:gridSpan w:val="3"/>
          </w:tcPr>
          <w:p>
            <w:pPr>
              <w:jc w:val="right"/>
              <w:ind w:right="570"/>
              <w:spacing w:after="0"/>
              <w:rPr>
                <w:sz w:val="20"/>
                <w:szCs w:val="20"/>
                <w:color w:val="auto"/>
              </w:rPr>
            </w:pPr>
            <w:r>
              <w:rPr>
                <w:rFonts w:ascii="Arial" w:cs="Arial" w:eastAsia="Arial" w:hAnsi="Arial"/>
                <w:sz w:val="12"/>
                <w:szCs w:val="12"/>
                <w:b w:val="1"/>
                <w:bCs w:val="1"/>
                <w:color w:val="auto"/>
              </w:rPr>
              <w:t>Treasury Stock</w:t>
            </w:r>
          </w:p>
        </w:tc>
        <w:tc>
          <w:tcPr>
            <w:tcW w:w="1020" w:type="dxa"/>
            <w:vAlign w:val="bottom"/>
          </w:tcPr>
          <w:p>
            <w:pPr>
              <w:spacing w:after="0"/>
              <w:rPr>
                <w:sz w:val="13"/>
                <w:szCs w:val="13"/>
                <w:color w:val="auto"/>
              </w:rPr>
            </w:pPr>
          </w:p>
        </w:tc>
      </w:tr>
      <w:tr>
        <w:trPr>
          <w:trHeight w:val="163"/>
        </w:trPr>
        <w:tc>
          <w:tcPr>
            <w:tcW w:w="20" w:type="dxa"/>
            <w:vAlign w:val="bottom"/>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ind w:left="340"/>
              <w:spacing w:after="0"/>
              <w:rPr>
                <w:sz w:val="20"/>
                <w:szCs w:val="20"/>
                <w:color w:val="auto"/>
              </w:rPr>
            </w:pPr>
            <w:r>
              <w:rPr>
                <w:rFonts w:ascii="Arial" w:cs="Arial" w:eastAsia="Arial" w:hAnsi="Arial"/>
                <w:sz w:val="12"/>
                <w:szCs w:val="12"/>
                <w:b w:val="1"/>
                <w:bCs w:val="1"/>
                <w:color w:val="auto"/>
                <w:w w:val="94"/>
              </w:rPr>
              <w:t>Shares</w:t>
            </w:r>
          </w:p>
        </w:tc>
        <w:tc>
          <w:tcPr>
            <w:tcW w:w="2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Amount</w:t>
            </w: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291"/>
              <w:spacing w:after="0"/>
              <w:rPr>
                <w:sz w:val="20"/>
                <w:szCs w:val="20"/>
                <w:color w:val="auto"/>
              </w:rPr>
            </w:pPr>
            <w:r>
              <w:rPr>
                <w:rFonts w:ascii="Arial" w:cs="Arial" w:eastAsia="Arial" w:hAnsi="Arial"/>
                <w:sz w:val="12"/>
                <w:szCs w:val="12"/>
                <w:b w:val="1"/>
                <w:bCs w:val="1"/>
                <w:color w:val="auto"/>
              </w:rPr>
              <w:t>Shares</w:t>
            </w: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50"/>
              <w:spacing w:after="0"/>
              <w:rPr>
                <w:sz w:val="20"/>
                <w:szCs w:val="20"/>
                <w:color w:val="auto"/>
              </w:rPr>
            </w:pPr>
            <w:r>
              <w:rPr>
                <w:rFonts w:ascii="Arial" w:cs="Arial" w:eastAsia="Arial" w:hAnsi="Arial"/>
                <w:sz w:val="12"/>
                <w:szCs w:val="12"/>
                <w:b w:val="1"/>
                <w:bCs w:val="1"/>
                <w:color w:val="auto"/>
                <w:w w:val="96"/>
              </w:rPr>
              <w:t>Amount</w:t>
            </w: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8"/>
              </w:rPr>
              <w:t>of Par</w:t>
            </w:r>
          </w:p>
        </w:tc>
        <w:tc>
          <w:tcPr>
            <w:tcW w:w="1020" w:type="dxa"/>
            <w:vAlign w:val="bottom"/>
            <w:tcBorders>
              <w:bottom w:val="single" w:sz="8" w:color="auto"/>
            </w:tcBorders>
            <w:gridSpan w:val="2"/>
          </w:tcPr>
          <w:p>
            <w:pPr>
              <w:jc w:val="center"/>
              <w:spacing w:after="0"/>
              <w:rPr>
                <w:sz w:val="20"/>
                <w:szCs w:val="20"/>
                <w:color w:val="auto"/>
              </w:rPr>
            </w:pPr>
            <w:r>
              <w:rPr>
                <w:rFonts w:ascii="Arial" w:cs="Arial" w:eastAsia="Arial" w:hAnsi="Arial"/>
                <w:sz w:val="12"/>
                <w:szCs w:val="12"/>
                <w:b w:val="1"/>
                <w:bCs w:val="1"/>
                <w:color w:val="auto"/>
                <w:w w:val="88"/>
              </w:rPr>
              <w:t>Income (Loss)</w:t>
            </w:r>
          </w:p>
        </w:tc>
        <w:tc>
          <w:tcPr>
            <w:tcW w:w="1020" w:type="dxa"/>
            <w:vAlign w:val="bottom"/>
            <w:tcBorders>
              <w:bottom w:val="single" w:sz="8" w:color="auto"/>
            </w:tcBorders>
          </w:tcPr>
          <w:p>
            <w:pPr>
              <w:jc w:val="right"/>
              <w:ind w:right="211"/>
              <w:spacing w:after="0"/>
              <w:rPr>
                <w:sz w:val="20"/>
                <w:szCs w:val="20"/>
                <w:color w:val="auto"/>
              </w:rPr>
            </w:pPr>
            <w:r>
              <w:rPr>
                <w:rFonts w:ascii="Arial" w:cs="Arial" w:eastAsia="Arial" w:hAnsi="Arial"/>
                <w:sz w:val="12"/>
                <w:szCs w:val="12"/>
                <w:b w:val="1"/>
                <w:bCs w:val="1"/>
                <w:color w:val="auto"/>
              </w:rPr>
              <w:t>Earnings</w:t>
            </w:r>
          </w:p>
        </w:tc>
        <w:tc>
          <w:tcPr>
            <w:tcW w:w="1000" w:type="dxa"/>
            <w:vAlign w:val="bottom"/>
            <w:tcBorders>
              <w:bottom w:val="single" w:sz="8" w:color="auto"/>
            </w:tcBorders>
          </w:tcPr>
          <w:p>
            <w:pPr>
              <w:jc w:val="right"/>
              <w:ind w:right="251"/>
              <w:spacing w:after="0"/>
              <w:rPr>
                <w:sz w:val="20"/>
                <w:szCs w:val="20"/>
                <w:color w:val="auto"/>
              </w:rPr>
            </w:pPr>
            <w:r>
              <w:rPr>
                <w:rFonts w:ascii="Arial" w:cs="Arial" w:eastAsia="Arial" w:hAnsi="Arial"/>
                <w:sz w:val="12"/>
                <w:szCs w:val="12"/>
                <w:b w:val="1"/>
                <w:bCs w:val="1"/>
                <w:color w:val="auto"/>
              </w:rPr>
              <w:t>Shares</w:t>
            </w: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50"/>
              <w:spacing w:after="0"/>
              <w:rPr>
                <w:sz w:val="20"/>
                <w:szCs w:val="20"/>
                <w:color w:val="auto"/>
              </w:rPr>
            </w:pPr>
            <w:r>
              <w:rPr>
                <w:rFonts w:ascii="Arial" w:cs="Arial" w:eastAsia="Arial" w:hAnsi="Arial"/>
                <w:sz w:val="12"/>
                <w:szCs w:val="12"/>
                <w:b w:val="1"/>
                <w:bCs w:val="1"/>
                <w:color w:val="auto"/>
              </w:rPr>
              <w:t>Amount</w:t>
            </w: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2"/>
                <w:szCs w:val="12"/>
                <w:b w:val="1"/>
                <w:bCs w:val="1"/>
                <w:color w:val="auto"/>
              </w:rPr>
              <w:t>Total</w:t>
            </w:r>
          </w:p>
        </w:tc>
      </w:tr>
      <w:tr>
        <w:trPr>
          <w:trHeight w:val="148"/>
        </w:trPr>
        <w:tc>
          <w:tcPr>
            <w:tcW w:w="20" w:type="dxa"/>
            <w:vAlign w:val="bottom"/>
          </w:tcPr>
          <w:p>
            <w:pPr>
              <w:spacing w:after="0"/>
              <w:rPr>
                <w:sz w:val="12"/>
                <w:szCs w:val="12"/>
                <w:color w:val="auto"/>
              </w:rPr>
            </w:pPr>
          </w:p>
        </w:tc>
        <w:tc>
          <w:tcPr>
            <w:tcW w:w="1880" w:type="dxa"/>
            <w:vAlign w:val="bottom"/>
            <w:gridSpan w:val="2"/>
            <w:shd w:val="clear" w:color="auto" w:fill="CCEEFF"/>
          </w:tcPr>
          <w:p>
            <w:pPr>
              <w:spacing w:after="0" w:line="147" w:lineRule="exact"/>
              <w:rPr>
                <w:sz w:val="20"/>
                <w:szCs w:val="20"/>
                <w:color w:val="auto"/>
              </w:rPr>
            </w:pPr>
            <w:r>
              <w:rPr>
                <w:rFonts w:ascii="Arial" w:cs="Arial" w:eastAsia="Arial" w:hAnsi="Arial"/>
                <w:sz w:val="14"/>
                <w:szCs w:val="14"/>
                <w:color w:val="auto"/>
              </w:rPr>
              <w:t>Balance, January 1,</w:t>
            </w:r>
          </w:p>
        </w:tc>
        <w:tc>
          <w:tcPr>
            <w:tcW w:w="2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r>
      <w:tr>
        <w:trPr>
          <w:trHeight w:val="166"/>
        </w:trPr>
        <w:tc>
          <w:tcPr>
            <w:tcW w:w="20" w:type="dxa"/>
            <w:vAlign w:val="bottom"/>
          </w:tcPr>
          <w:p>
            <w:pPr>
              <w:spacing w:after="0"/>
              <w:rPr>
                <w:sz w:val="14"/>
                <w:szCs w:val="14"/>
                <w:color w:val="auto"/>
              </w:rPr>
            </w:pPr>
          </w:p>
        </w:tc>
        <w:tc>
          <w:tcPr>
            <w:tcW w:w="11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2019</w:t>
            </w:r>
          </w:p>
        </w:tc>
        <w:tc>
          <w:tcPr>
            <w:tcW w:w="7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532"/>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rPr>
              <w:t>11,775,148</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117,751</w:t>
            </w:r>
          </w:p>
        </w:tc>
        <w:tc>
          <w:tcPr>
            <w:tcW w:w="1040" w:type="dxa"/>
            <w:vAlign w:val="bottom"/>
            <w:shd w:val="clear" w:color="auto" w:fill="CCEEFF"/>
          </w:tcPr>
          <w:p>
            <w:pPr>
              <w:jc w:val="right"/>
              <w:ind w:right="92"/>
              <w:spacing w:after="0"/>
              <w:rPr>
                <w:sz w:val="20"/>
                <w:szCs w:val="20"/>
                <w:color w:val="auto"/>
              </w:rPr>
            </w:pPr>
            <w:r>
              <w:rPr>
                <w:rFonts w:ascii="Arial" w:cs="Arial" w:eastAsia="Arial" w:hAnsi="Arial"/>
                <w:sz w:val="14"/>
                <w:szCs w:val="14"/>
                <w:color w:val="auto"/>
              </w:rPr>
              <w:t>$ 67,763,940</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w w:val="94"/>
              </w:rPr>
              <w:t>(2,884,313)</w:t>
            </w:r>
          </w:p>
        </w:tc>
        <w:tc>
          <w:tcPr>
            <w:tcW w:w="102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rPr>
              <w:t>$ 26,380,816</w:t>
            </w:r>
          </w:p>
        </w:tc>
        <w:tc>
          <w:tcPr>
            <w:tcW w:w="100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1,027,439</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w w:val="94"/>
              </w:rPr>
              <w:t>(2,712,552)</w:t>
            </w:r>
          </w:p>
        </w:tc>
        <w:tc>
          <w:tcPr>
            <w:tcW w:w="102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$ 88,665,642</w:t>
            </w:r>
          </w:p>
        </w:tc>
      </w:tr>
      <w:tr>
        <w:trPr>
          <w:trHeight w:val="148"/>
        </w:trPr>
        <w:tc>
          <w:tcPr>
            <w:tcW w:w="20" w:type="dxa"/>
            <w:vAlign w:val="bottom"/>
          </w:tcPr>
          <w:p>
            <w:pPr>
              <w:spacing w:after="0"/>
              <w:rPr>
                <w:sz w:val="12"/>
                <w:szCs w:val="12"/>
                <w:color w:val="auto"/>
              </w:rPr>
            </w:pPr>
          </w:p>
        </w:tc>
        <w:tc>
          <w:tcPr>
            <w:tcW w:w="1880" w:type="dxa"/>
            <w:vAlign w:val="bottom"/>
            <w:gridSpan w:val="2"/>
          </w:tcPr>
          <w:p>
            <w:pPr>
              <w:spacing w:after="0" w:line="147" w:lineRule="exact"/>
              <w:rPr>
                <w:sz w:val="20"/>
                <w:szCs w:val="20"/>
                <w:color w:val="auto"/>
              </w:rPr>
            </w:pPr>
            <w:r>
              <w:rPr>
                <w:rFonts w:ascii="Arial" w:cs="Arial" w:eastAsia="Arial" w:hAnsi="Arial"/>
                <w:sz w:val="14"/>
                <w:szCs w:val="14"/>
                <w:color w:val="auto"/>
              </w:rPr>
              <w:t>Stock-based</w:t>
            </w: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66"/>
        </w:trPr>
        <w:tc>
          <w:tcPr>
            <w:tcW w:w="20" w:type="dxa"/>
            <w:vAlign w:val="bottom"/>
          </w:tcPr>
          <w:p>
            <w:pPr>
              <w:spacing w:after="0"/>
              <w:rPr>
                <w:sz w:val="14"/>
                <w:szCs w:val="14"/>
                <w:color w:val="auto"/>
              </w:rPr>
            </w:pPr>
          </w:p>
        </w:tc>
        <w:tc>
          <w:tcPr>
            <w:tcW w:w="1880" w:type="dxa"/>
            <w:vAlign w:val="bottom"/>
            <w:gridSpan w:val="2"/>
          </w:tcPr>
          <w:p>
            <w:pPr>
              <w:ind w:left="140"/>
              <w:spacing w:after="0"/>
              <w:rPr>
                <w:sz w:val="20"/>
                <w:szCs w:val="20"/>
                <w:color w:val="auto"/>
              </w:rPr>
            </w:pPr>
            <w:r>
              <w:rPr>
                <w:rFonts w:ascii="Arial" w:cs="Arial" w:eastAsia="Arial" w:hAnsi="Arial"/>
                <w:sz w:val="14"/>
                <w:szCs w:val="14"/>
                <w:color w:val="auto"/>
              </w:rPr>
              <w:t>compensation</w:t>
            </w:r>
          </w:p>
        </w:tc>
        <w:tc>
          <w:tcPr>
            <w:tcW w:w="2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Pr>
          <w:p>
            <w:pPr>
              <w:spacing w:after="0"/>
              <w:rPr>
                <w:sz w:val="14"/>
                <w:szCs w:val="14"/>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91"/>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78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92"/>
              <w:spacing w:after="0"/>
              <w:rPr>
                <w:sz w:val="20"/>
                <w:szCs w:val="20"/>
                <w:color w:val="auto"/>
              </w:rPr>
            </w:pPr>
            <w:r>
              <w:rPr>
                <w:rFonts w:ascii="Arial" w:cs="Arial" w:eastAsia="Arial" w:hAnsi="Arial"/>
                <w:sz w:val="14"/>
                <w:szCs w:val="14"/>
                <w:color w:val="auto"/>
              </w:rPr>
              <w:t>309,882</w:t>
            </w:r>
          </w:p>
        </w:tc>
        <w:tc>
          <w:tcPr>
            <w:tcW w:w="220" w:type="dxa"/>
            <w:vAlign w:val="bottom"/>
          </w:tcPr>
          <w:p>
            <w:pPr>
              <w:spacing w:after="0"/>
              <w:rPr>
                <w:sz w:val="14"/>
                <w:szCs w:val="14"/>
                <w:color w:val="auto"/>
              </w:rPr>
            </w:pPr>
          </w:p>
        </w:tc>
        <w:tc>
          <w:tcPr>
            <w:tcW w:w="80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91"/>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80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70"/>
              <w:spacing w:after="0"/>
              <w:rPr>
                <w:sz w:val="20"/>
                <w:szCs w:val="20"/>
                <w:color w:val="auto"/>
              </w:rPr>
            </w:pPr>
            <w:r>
              <w:rPr>
                <w:rFonts w:ascii="Arial" w:cs="Arial" w:eastAsia="Arial" w:hAnsi="Arial"/>
                <w:sz w:val="14"/>
                <w:szCs w:val="14"/>
                <w:color w:val="auto"/>
              </w:rPr>
              <w:t>309,882</w:t>
            </w:r>
          </w:p>
        </w:tc>
      </w:tr>
      <w:tr>
        <w:trPr>
          <w:trHeight w:val="148"/>
        </w:trPr>
        <w:tc>
          <w:tcPr>
            <w:tcW w:w="20" w:type="dxa"/>
            <w:vAlign w:val="bottom"/>
          </w:tcPr>
          <w:p>
            <w:pPr>
              <w:spacing w:after="0"/>
              <w:rPr>
                <w:sz w:val="12"/>
                <w:szCs w:val="12"/>
                <w:color w:val="auto"/>
              </w:rPr>
            </w:pPr>
          </w:p>
        </w:tc>
        <w:tc>
          <w:tcPr>
            <w:tcW w:w="1880" w:type="dxa"/>
            <w:vAlign w:val="bottom"/>
            <w:gridSpan w:val="2"/>
            <w:shd w:val="clear" w:color="auto" w:fill="CCEEFF"/>
          </w:tcPr>
          <w:p>
            <w:pPr>
              <w:spacing w:after="0" w:line="147" w:lineRule="exact"/>
              <w:rPr>
                <w:sz w:val="20"/>
                <w:szCs w:val="20"/>
                <w:color w:val="auto"/>
              </w:rPr>
            </w:pPr>
            <w:r>
              <w:rPr>
                <w:rFonts w:ascii="Arial" w:cs="Arial" w:eastAsia="Arial" w:hAnsi="Arial"/>
                <w:sz w:val="14"/>
                <w:szCs w:val="14"/>
                <w:color w:val="auto"/>
              </w:rPr>
              <w:t>Vesting of</w:t>
            </w:r>
          </w:p>
        </w:tc>
        <w:tc>
          <w:tcPr>
            <w:tcW w:w="2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r>
      <w:tr>
        <w:trPr>
          <w:trHeight w:val="157"/>
        </w:trPr>
        <w:tc>
          <w:tcPr>
            <w:tcW w:w="20" w:type="dxa"/>
            <w:vAlign w:val="bottom"/>
          </w:tcPr>
          <w:p>
            <w:pPr>
              <w:spacing w:after="0"/>
              <w:rPr>
                <w:sz w:val="13"/>
                <w:szCs w:val="13"/>
                <w:color w:val="auto"/>
              </w:rPr>
            </w:pPr>
          </w:p>
        </w:tc>
        <w:tc>
          <w:tcPr>
            <w:tcW w:w="1880" w:type="dxa"/>
            <w:vAlign w:val="bottom"/>
            <w:gridSpan w:val="2"/>
            <w:shd w:val="clear" w:color="auto" w:fill="CCEEFF"/>
          </w:tcPr>
          <w:p>
            <w:pPr>
              <w:ind w:left="140"/>
              <w:spacing w:after="0" w:line="157" w:lineRule="exact"/>
              <w:rPr>
                <w:sz w:val="20"/>
                <w:szCs w:val="20"/>
                <w:color w:val="auto"/>
              </w:rPr>
            </w:pPr>
            <w:r>
              <w:rPr>
                <w:rFonts w:ascii="Arial" w:cs="Arial" w:eastAsia="Arial" w:hAnsi="Arial"/>
                <w:sz w:val="14"/>
                <w:szCs w:val="14"/>
                <w:color w:val="auto"/>
              </w:rPr>
              <w:t>restricted stock</w:t>
            </w:r>
          </w:p>
        </w:tc>
        <w:tc>
          <w:tcPr>
            <w:tcW w:w="2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r>
      <w:tr>
        <w:trPr>
          <w:trHeight w:val="166"/>
        </w:trPr>
        <w:tc>
          <w:tcPr>
            <w:tcW w:w="20" w:type="dxa"/>
            <w:vAlign w:val="bottom"/>
          </w:tcPr>
          <w:p>
            <w:pPr>
              <w:spacing w:after="0"/>
              <w:rPr>
                <w:sz w:val="14"/>
                <w:szCs w:val="14"/>
                <w:color w:val="auto"/>
              </w:rPr>
            </w:pPr>
          </w:p>
        </w:tc>
        <w:tc>
          <w:tcPr>
            <w:tcW w:w="188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awards</w:t>
            </w:r>
          </w:p>
        </w:tc>
        <w:tc>
          <w:tcPr>
            <w:tcW w:w="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rPr>
              <w:t>27,593</w:t>
            </w: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275</w:t>
            </w:r>
          </w:p>
        </w:tc>
        <w:tc>
          <w:tcPr>
            <w:tcW w:w="10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(275)</w:t>
            </w: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r>
      <w:tr>
        <w:trPr>
          <w:trHeight w:val="148"/>
        </w:trPr>
        <w:tc>
          <w:tcPr>
            <w:tcW w:w="20" w:type="dxa"/>
            <w:vAlign w:val="bottom"/>
          </w:tcPr>
          <w:p>
            <w:pPr>
              <w:spacing w:after="0"/>
              <w:rPr>
                <w:sz w:val="12"/>
                <w:szCs w:val="12"/>
                <w:color w:val="auto"/>
              </w:rPr>
            </w:pPr>
          </w:p>
        </w:tc>
        <w:tc>
          <w:tcPr>
            <w:tcW w:w="1880" w:type="dxa"/>
            <w:vAlign w:val="bottom"/>
            <w:gridSpan w:val="2"/>
          </w:tcPr>
          <w:p>
            <w:pPr>
              <w:spacing w:after="0" w:line="147" w:lineRule="exact"/>
              <w:rPr>
                <w:sz w:val="20"/>
                <w:szCs w:val="20"/>
                <w:color w:val="auto"/>
              </w:rPr>
            </w:pPr>
            <w:r>
              <w:rPr>
                <w:rFonts w:ascii="Arial" w:cs="Arial" w:eastAsia="Arial" w:hAnsi="Arial"/>
                <w:sz w:val="14"/>
                <w:szCs w:val="14"/>
                <w:color w:val="auto"/>
              </w:rPr>
              <w:t>Shares deducted</w:t>
            </w: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57"/>
        </w:trPr>
        <w:tc>
          <w:tcPr>
            <w:tcW w:w="20" w:type="dxa"/>
            <w:vAlign w:val="bottom"/>
          </w:tcPr>
          <w:p>
            <w:pPr>
              <w:spacing w:after="0"/>
              <w:rPr>
                <w:sz w:val="13"/>
                <w:szCs w:val="13"/>
                <w:color w:val="auto"/>
              </w:rPr>
            </w:pPr>
          </w:p>
        </w:tc>
        <w:tc>
          <w:tcPr>
            <w:tcW w:w="1880" w:type="dxa"/>
            <w:vAlign w:val="bottom"/>
            <w:gridSpan w:val="2"/>
          </w:tcPr>
          <w:p>
            <w:pPr>
              <w:ind w:left="140"/>
              <w:spacing w:after="0" w:line="157" w:lineRule="exact"/>
              <w:rPr>
                <w:sz w:val="20"/>
                <w:szCs w:val="20"/>
                <w:color w:val="auto"/>
              </w:rPr>
            </w:pPr>
            <w:r>
              <w:rPr>
                <w:rFonts w:ascii="Arial" w:cs="Arial" w:eastAsia="Arial" w:hAnsi="Arial"/>
                <w:sz w:val="14"/>
                <w:szCs w:val="14"/>
                <w:color w:val="auto"/>
              </w:rPr>
              <w:t>from restricted</w:t>
            </w: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66"/>
        </w:trPr>
        <w:tc>
          <w:tcPr>
            <w:tcW w:w="20" w:type="dxa"/>
            <w:vAlign w:val="bottom"/>
          </w:tcPr>
          <w:p>
            <w:pPr>
              <w:spacing w:after="0"/>
              <w:rPr>
                <w:sz w:val="14"/>
                <w:szCs w:val="14"/>
                <w:color w:val="auto"/>
              </w:rPr>
            </w:pPr>
          </w:p>
        </w:tc>
        <w:tc>
          <w:tcPr>
            <w:tcW w:w="1880" w:type="dxa"/>
            <w:vAlign w:val="bottom"/>
            <w:gridSpan w:val="2"/>
          </w:tcPr>
          <w:p>
            <w:pPr>
              <w:ind w:left="140"/>
              <w:spacing w:after="0"/>
              <w:rPr>
                <w:sz w:val="20"/>
                <w:szCs w:val="20"/>
                <w:color w:val="auto"/>
              </w:rPr>
            </w:pPr>
            <w:r>
              <w:rPr>
                <w:rFonts w:ascii="Arial" w:cs="Arial" w:eastAsia="Arial" w:hAnsi="Arial"/>
                <w:sz w:val="14"/>
                <w:szCs w:val="14"/>
                <w:color w:val="auto"/>
              </w:rPr>
              <w:t>stock</w:t>
            </w: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48"/>
        </w:trPr>
        <w:tc>
          <w:tcPr>
            <w:tcW w:w="20" w:type="dxa"/>
            <w:vAlign w:val="bottom"/>
          </w:tcPr>
          <w:p>
            <w:pPr>
              <w:spacing w:after="0"/>
              <w:rPr>
                <w:sz w:val="12"/>
                <w:szCs w:val="12"/>
                <w:color w:val="auto"/>
              </w:rPr>
            </w:pPr>
          </w:p>
        </w:tc>
        <w:tc>
          <w:tcPr>
            <w:tcW w:w="1880" w:type="dxa"/>
            <w:vAlign w:val="bottom"/>
            <w:gridSpan w:val="2"/>
            <w:shd w:val="clear" w:color="auto" w:fill="CCEEFF"/>
          </w:tcPr>
          <w:p>
            <w:pPr>
              <w:spacing w:after="0" w:line="147" w:lineRule="exact"/>
              <w:rPr>
                <w:sz w:val="20"/>
                <w:szCs w:val="20"/>
                <w:color w:val="auto"/>
              </w:rPr>
            </w:pPr>
            <w:r>
              <w:rPr>
                <w:rFonts w:ascii="Arial" w:cs="Arial" w:eastAsia="Arial" w:hAnsi="Arial"/>
                <w:sz w:val="14"/>
                <w:szCs w:val="14"/>
                <w:color w:val="auto"/>
              </w:rPr>
              <w:t>awards for payment</w:t>
            </w:r>
          </w:p>
        </w:tc>
        <w:tc>
          <w:tcPr>
            <w:tcW w:w="2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r>
      <w:tr>
        <w:trPr>
          <w:trHeight w:val="157"/>
        </w:trPr>
        <w:tc>
          <w:tcPr>
            <w:tcW w:w="20" w:type="dxa"/>
            <w:vAlign w:val="bottom"/>
          </w:tcPr>
          <w:p>
            <w:pPr>
              <w:spacing w:after="0"/>
              <w:rPr>
                <w:sz w:val="13"/>
                <w:szCs w:val="13"/>
                <w:color w:val="auto"/>
              </w:rPr>
            </w:pPr>
          </w:p>
        </w:tc>
        <w:tc>
          <w:tcPr>
            <w:tcW w:w="1880" w:type="dxa"/>
            <w:vAlign w:val="bottom"/>
            <w:gridSpan w:val="2"/>
            <w:shd w:val="clear" w:color="auto" w:fill="CCEEFF"/>
          </w:tcPr>
          <w:p>
            <w:pPr>
              <w:ind w:left="140"/>
              <w:spacing w:after="0" w:line="157" w:lineRule="exact"/>
              <w:rPr>
                <w:sz w:val="20"/>
                <w:szCs w:val="20"/>
                <w:color w:val="auto"/>
              </w:rPr>
            </w:pPr>
            <w:r>
              <w:rPr>
                <w:rFonts w:ascii="Arial" w:cs="Arial" w:eastAsia="Arial" w:hAnsi="Arial"/>
                <w:sz w:val="14"/>
                <w:szCs w:val="14"/>
                <w:color w:val="auto"/>
              </w:rPr>
              <w:t>of withholding</w:t>
            </w:r>
          </w:p>
        </w:tc>
        <w:tc>
          <w:tcPr>
            <w:tcW w:w="2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r>
      <w:tr>
        <w:trPr>
          <w:trHeight w:val="166"/>
        </w:trPr>
        <w:tc>
          <w:tcPr>
            <w:tcW w:w="20" w:type="dxa"/>
            <w:vAlign w:val="bottom"/>
          </w:tcPr>
          <w:p>
            <w:pPr>
              <w:spacing w:after="0"/>
              <w:rPr>
                <w:sz w:val="14"/>
                <w:szCs w:val="14"/>
                <w:color w:val="auto"/>
              </w:rPr>
            </w:pPr>
          </w:p>
        </w:tc>
        <w:tc>
          <w:tcPr>
            <w:tcW w:w="188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taxes</w:t>
            </w:r>
          </w:p>
        </w:tc>
        <w:tc>
          <w:tcPr>
            <w:tcW w:w="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(6,553)</w:t>
            </w: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(64)</w:t>
            </w:r>
          </w:p>
        </w:tc>
        <w:tc>
          <w:tcPr>
            <w:tcW w:w="10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(115,943)</w:t>
            </w: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(116,007)</w:t>
            </w:r>
          </w:p>
        </w:tc>
      </w:tr>
      <w:tr>
        <w:trPr>
          <w:trHeight w:val="157"/>
        </w:trPr>
        <w:tc>
          <w:tcPr>
            <w:tcW w:w="20" w:type="dxa"/>
            <w:vAlign w:val="bottom"/>
          </w:tcPr>
          <w:p>
            <w:pPr>
              <w:spacing w:after="0"/>
              <w:rPr>
                <w:sz w:val="13"/>
                <w:szCs w:val="13"/>
                <w:color w:val="auto"/>
              </w:rPr>
            </w:pPr>
          </w:p>
        </w:tc>
        <w:tc>
          <w:tcPr>
            <w:tcW w:w="1880" w:type="dxa"/>
            <w:vAlign w:val="bottom"/>
            <w:gridSpan w:val="2"/>
          </w:tcPr>
          <w:p>
            <w:pPr>
              <w:spacing w:after="0" w:line="157" w:lineRule="exact"/>
              <w:rPr>
                <w:sz w:val="20"/>
                <w:szCs w:val="20"/>
                <w:color w:val="auto"/>
              </w:rPr>
            </w:pPr>
            <w:r>
              <w:rPr>
                <w:rFonts w:ascii="Arial" w:cs="Arial" w:eastAsia="Arial" w:hAnsi="Arial"/>
                <w:sz w:val="14"/>
                <w:szCs w:val="14"/>
                <w:color w:val="auto"/>
              </w:rPr>
              <w:t>Dividends</w:t>
            </w:r>
          </w:p>
        </w:tc>
        <w:tc>
          <w:tcPr>
            <w:tcW w:w="260" w:type="dxa"/>
            <w:vAlign w:val="bottom"/>
          </w:tcPr>
          <w:p>
            <w:pPr>
              <w:jc w:val="right"/>
              <w:ind w:right="48"/>
              <w:spacing w:after="0" w:line="157" w:lineRule="exact"/>
              <w:rPr>
                <w:sz w:val="20"/>
                <w:szCs w:val="20"/>
                <w:color w:val="auto"/>
              </w:rPr>
            </w:pPr>
            <w:r>
              <w:rPr>
                <w:rFonts w:ascii="Arial" w:cs="Arial" w:eastAsia="Arial" w:hAnsi="Arial"/>
                <w:sz w:val="14"/>
                <w:szCs w:val="14"/>
                <w:color w:val="auto"/>
              </w:rPr>
              <w:t>-</w:t>
            </w:r>
          </w:p>
        </w:tc>
        <w:tc>
          <w:tcPr>
            <w:tcW w:w="800" w:type="dxa"/>
            <w:vAlign w:val="bottom"/>
          </w:tcPr>
          <w:p>
            <w:pPr>
              <w:spacing w:after="0"/>
              <w:rPr>
                <w:sz w:val="13"/>
                <w:szCs w:val="13"/>
                <w:color w:val="auto"/>
              </w:rPr>
            </w:pPr>
          </w:p>
        </w:tc>
        <w:tc>
          <w:tcPr>
            <w:tcW w:w="300" w:type="dxa"/>
            <w:vAlign w:val="bottom"/>
          </w:tcPr>
          <w:p>
            <w:pPr>
              <w:jc w:val="right"/>
              <w:ind w:right="128"/>
              <w:spacing w:after="0" w:line="157" w:lineRule="exact"/>
              <w:rPr>
                <w:sz w:val="20"/>
                <w:szCs w:val="20"/>
                <w:color w:val="auto"/>
              </w:rPr>
            </w:pPr>
            <w:r>
              <w:rPr>
                <w:rFonts w:ascii="Arial" w:cs="Arial" w:eastAsia="Arial" w:hAnsi="Arial"/>
                <w:sz w:val="14"/>
                <w:szCs w:val="14"/>
                <w:color w:val="auto"/>
              </w:rPr>
              <w:t>-</w:t>
            </w:r>
          </w:p>
        </w:tc>
        <w:tc>
          <w:tcPr>
            <w:tcW w:w="1000" w:type="dxa"/>
            <w:vAlign w:val="bottom"/>
          </w:tcPr>
          <w:p>
            <w:pPr>
              <w:jc w:val="right"/>
              <w:ind w:right="91"/>
              <w:spacing w:after="0" w:line="157"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780" w:type="dxa"/>
            <w:vAlign w:val="bottom"/>
          </w:tcPr>
          <w:p>
            <w:pPr>
              <w:jc w:val="right"/>
              <w:ind w:right="70"/>
              <w:spacing w:after="0" w:line="157" w:lineRule="exact"/>
              <w:rPr>
                <w:sz w:val="20"/>
                <w:szCs w:val="20"/>
                <w:color w:val="auto"/>
              </w:rPr>
            </w:pPr>
            <w:r>
              <w:rPr>
                <w:rFonts w:ascii="Arial" w:cs="Arial" w:eastAsia="Arial" w:hAnsi="Arial"/>
                <w:sz w:val="14"/>
                <w:szCs w:val="14"/>
                <w:color w:val="auto"/>
              </w:rPr>
              <w:t>-</w:t>
            </w:r>
          </w:p>
        </w:tc>
        <w:tc>
          <w:tcPr>
            <w:tcW w:w="1040" w:type="dxa"/>
            <w:vAlign w:val="bottom"/>
          </w:tcPr>
          <w:p>
            <w:pPr>
              <w:jc w:val="right"/>
              <w:ind w:right="92"/>
              <w:spacing w:after="0" w:line="157"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800" w:type="dxa"/>
            <w:vAlign w:val="bottom"/>
          </w:tcPr>
          <w:p>
            <w:pPr>
              <w:jc w:val="right"/>
              <w:ind w:right="90"/>
              <w:spacing w:after="0" w:line="157" w:lineRule="exact"/>
              <w:rPr>
                <w:sz w:val="20"/>
                <w:szCs w:val="20"/>
                <w:color w:val="auto"/>
              </w:rPr>
            </w:pPr>
            <w:r>
              <w:rPr>
                <w:rFonts w:ascii="Arial" w:cs="Arial" w:eastAsia="Arial" w:hAnsi="Arial"/>
                <w:sz w:val="14"/>
                <w:szCs w:val="14"/>
                <w:color w:val="auto"/>
              </w:rPr>
              <w:t>-</w:t>
            </w:r>
          </w:p>
        </w:tc>
        <w:tc>
          <w:tcPr>
            <w:tcW w:w="1020" w:type="dxa"/>
            <w:vAlign w:val="bottom"/>
          </w:tcPr>
          <w:p>
            <w:pPr>
              <w:jc w:val="right"/>
              <w:ind w:right="31"/>
              <w:spacing w:after="0" w:line="157" w:lineRule="exact"/>
              <w:rPr>
                <w:sz w:val="20"/>
                <w:szCs w:val="20"/>
                <w:color w:val="auto"/>
              </w:rPr>
            </w:pPr>
            <w:r>
              <w:rPr>
                <w:rFonts w:ascii="Arial" w:cs="Arial" w:eastAsia="Arial" w:hAnsi="Arial"/>
                <w:sz w:val="14"/>
                <w:szCs w:val="14"/>
                <w:color w:val="auto"/>
              </w:rPr>
              <w:t>(1,075,962)</w:t>
            </w:r>
          </w:p>
        </w:tc>
        <w:tc>
          <w:tcPr>
            <w:tcW w:w="1000" w:type="dxa"/>
            <w:vAlign w:val="bottom"/>
          </w:tcPr>
          <w:p>
            <w:pPr>
              <w:jc w:val="right"/>
              <w:ind w:right="71"/>
              <w:spacing w:after="0" w:line="157"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800" w:type="dxa"/>
            <w:vAlign w:val="bottom"/>
          </w:tcPr>
          <w:p>
            <w:pPr>
              <w:jc w:val="right"/>
              <w:ind w:right="70"/>
              <w:spacing w:after="0" w:line="157" w:lineRule="exact"/>
              <w:rPr>
                <w:sz w:val="20"/>
                <w:szCs w:val="20"/>
                <w:color w:val="auto"/>
              </w:rPr>
            </w:pPr>
            <w:r>
              <w:rPr>
                <w:rFonts w:ascii="Arial" w:cs="Arial" w:eastAsia="Arial" w:hAnsi="Arial"/>
                <w:sz w:val="14"/>
                <w:szCs w:val="14"/>
                <w:color w:val="auto"/>
              </w:rPr>
              <w:t>-</w:t>
            </w:r>
          </w:p>
        </w:tc>
        <w:tc>
          <w:tcPr>
            <w:tcW w:w="1020" w:type="dxa"/>
            <w:vAlign w:val="bottom"/>
          </w:tcPr>
          <w:p>
            <w:pPr>
              <w:jc w:val="right"/>
              <w:ind w:right="30"/>
              <w:spacing w:after="0" w:line="157" w:lineRule="exact"/>
              <w:rPr>
                <w:sz w:val="20"/>
                <w:szCs w:val="20"/>
                <w:color w:val="auto"/>
              </w:rPr>
            </w:pPr>
            <w:r>
              <w:rPr>
                <w:rFonts w:ascii="Arial" w:cs="Arial" w:eastAsia="Arial" w:hAnsi="Arial"/>
                <w:sz w:val="14"/>
                <w:szCs w:val="14"/>
                <w:color w:val="auto"/>
              </w:rPr>
              <w:t>(1,075,962)</w:t>
            </w:r>
          </w:p>
        </w:tc>
      </w:tr>
      <w:tr>
        <w:trPr>
          <w:trHeight w:val="157"/>
        </w:trPr>
        <w:tc>
          <w:tcPr>
            <w:tcW w:w="20" w:type="dxa"/>
            <w:vAlign w:val="bottom"/>
          </w:tcPr>
          <w:p>
            <w:pPr>
              <w:spacing w:after="0"/>
              <w:rPr>
                <w:sz w:val="13"/>
                <w:szCs w:val="13"/>
                <w:color w:val="auto"/>
              </w:rPr>
            </w:pPr>
          </w:p>
        </w:tc>
        <w:tc>
          <w:tcPr>
            <w:tcW w:w="1880" w:type="dxa"/>
            <w:vAlign w:val="bottom"/>
            <w:gridSpan w:val="2"/>
            <w:shd w:val="clear" w:color="auto" w:fill="CCEEFF"/>
          </w:tcPr>
          <w:p>
            <w:pPr>
              <w:spacing w:after="0" w:line="157" w:lineRule="exact"/>
              <w:rPr>
                <w:sz w:val="20"/>
                <w:szCs w:val="20"/>
                <w:color w:val="auto"/>
              </w:rPr>
            </w:pPr>
            <w:r>
              <w:rPr>
                <w:rFonts w:ascii="Arial" w:cs="Arial" w:eastAsia="Arial" w:hAnsi="Arial"/>
                <w:sz w:val="14"/>
                <w:szCs w:val="14"/>
                <w:color w:val="auto"/>
              </w:rPr>
              <w:t>Net loss</w:t>
            </w:r>
          </w:p>
        </w:tc>
        <w:tc>
          <w:tcPr>
            <w:tcW w:w="260" w:type="dxa"/>
            <w:vAlign w:val="bottom"/>
            <w:shd w:val="clear" w:color="auto" w:fill="CCEEFF"/>
          </w:tcPr>
          <w:p>
            <w:pPr>
              <w:jc w:val="right"/>
              <w:ind w:right="48"/>
              <w:spacing w:after="0" w:line="157"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spacing w:after="0"/>
              <w:rPr>
                <w:sz w:val="13"/>
                <w:szCs w:val="13"/>
                <w:color w:val="auto"/>
              </w:rPr>
            </w:pPr>
          </w:p>
        </w:tc>
        <w:tc>
          <w:tcPr>
            <w:tcW w:w="300" w:type="dxa"/>
            <w:vAlign w:val="bottom"/>
            <w:shd w:val="clear" w:color="auto" w:fill="CCEEFF"/>
          </w:tcPr>
          <w:p>
            <w:pPr>
              <w:jc w:val="right"/>
              <w:ind w:right="128"/>
              <w:spacing w:after="0" w:line="157" w:lineRule="exact"/>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91"/>
              <w:spacing w:after="0" w:line="157"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3"/>
                <w:szCs w:val="13"/>
                <w:color w:val="auto"/>
              </w:rPr>
            </w:pPr>
          </w:p>
        </w:tc>
        <w:tc>
          <w:tcPr>
            <w:tcW w:w="780" w:type="dxa"/>
            <w:vAlign w:val="bottom"/>
            <w:shd w:val="clear" w:color="auto" w:fill="CCEEFF"/>
          </w:tcPr>
          <w:p>
            <w:pPr>
              <w:jc w:val="right"/>
              <w:ind w:right="70"/>
              <w:spacing w:after="0" w:line="157" w:lineRule="exact"/>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92"/>
              <w:spacing w:after="0" w:line="157"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90"/>
              <w:spacing w:after="0" w:line="157" w:lineRule="exact"/>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31"/>
              <w:spacing w:after="0" w:line="157" w:lineRule="exact"/>
              <w:rPr>
                <w:sz w:val="20"/>
                <w:szCs w:val="20"/>
                <w:color w:val="auto"/>
              </w:rPr>
            </w:pPr>
            <w:r>
              <w:rPr>
                <w:rFonts w:ascii="Arial" w:cs="Arial" w:eastAsia="Arial" w:hAnsi="Arial"/>
                <w:sz w:val="14"/>
                <w:szCs w:val="14"/>
                <w:color w:val="auto"/>
              </w:rPr>
              <w:t>(7,335,190)</w:t>
            </w:r>
          </w:p>
        </w:tc>
        <w:tc>
          <w:tcPr>
            <w:tcW w:w="1000" w:type="dxa"/>
            <w:vAlign w:val="bottom"/>
            <w:shd w:val="clear" w:color="auto" w:fill="CCEEFF"/>
          </w:tcPr>
          <w:p>
            <w:pPr>
              <w:jc w:val="right"/>
              <w:ind w:right="71"/>
              <w:spacing w:after="0" w:line="157"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70"/>
              <w:spacing w:after="0" w:line="157" w:lineRule="exact"/>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30"/>
              <w:spacing w:after="0" w:line="157" w:lineRule="exact"/>
              <w:rPr>
                <w:sz w:val="20"/>
                <w:szCs w:val="20"/>
                <w:color w:val="auto"/>
              </w:rPr>
            </w:pPr>
            <w:r>
              <w:rPr>
                <w:rFonts w:ascii="Arial" w:cs="Arial" w:eastAsia="Arial" w:hAnsi="Arial"/>
                <w:sz w:val="14"/>
                <w:szCs w:val="14"/>
                <w:color w:val="auto"/>
              </w:rPr>
              <w:t>(7,335,190)</w:t>
            </w:r>
          </w:p>
        </w:tc>
      </w:tr>
      <w:tr>
        <w:trPr>
          <w:trHeight w:val="148"/>
        </w:trPr>
        <w:tc>
          <w:tcPr>
            <w:tcW w:w="20" w:type="dxa"/>
            <w:vAlign w:val="bottom"/>
          </w:tcPr>
          <w:p>
            <w:pPr>
              <w:spacing w:after="0"/>
              <w:rPr>
                <w:sz w:val="12"/>
                <w:szCs w:val="12"/>
                <w:color w:val="auto"/>
              </w:rPr>
            </w:pPr>
          </w:p>
        </w:tc>
        <w:tc>
          <w:tcPr>
            <w:tcW w:w="1880" w:type="dxa"/>
            <w:vAlign w:val="bottom"/>
            <w:gridSpan w:val="2"/>
          </w:tcPr>
          <w:p>
            <w:pPr>
              <w:spacing w:after="0" w:line="147" w:lineRule="exact"/>
              <w:rPr>
                <w:sz w:val="20"/>
                <w:szCs w:val="20"/>
                <w:color w:val="auto"/>
              </w:rPr>
            </w:pPr>
            <w:r>
              <w:rPr>
                <w:rFonts w:ascii="Arial" w:cs="Arial" w:eastAsia="Arial" w:hAnsi="Arial"/>
                <w:sz w:val="14"/>
                <w:szCs w:val="14"/>
                <w:color w:val="auto"/>
              </w:rPr>
              <w:t>Change in</w:t>
            </w: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57"/>
        </w:trPr>
        <w:tc>
          <w:tcPr>
            <w:tcW w:w="20" w:type="dxa"/>
            <w:vAlign w:val="bottom"/>
          </w:tcPr>
          <w:p>
            <w:pPr>
              <w:spacing w:after="0"/>
              <w:rPr>
                <w:sz w:val="13"/>
                <w:szCs w:val="13"/>
                <w:color w:val="auto"/>
              </w:rPr>
            </w:pPr>
          </w:p>
        </w:tc>
        <w:tc>
          <w:tcPr>
            <w:tcW w:w="1880" w:type="dxa"/>
            <w:vAlign w:val="bottom"/>
            <w:gridSpan w:val="2"/>
          </w:tcPr>
          <w:p>
            <w:pPr>
              <w:ind w:left="140"/>
              <w:spacing w:after="0" w:line="157" w:lineRule="exact"/>
              <w:rPr>
                <w:sz w:val="20"/>
                <w:szCs w:val="20"/>
                <w:color w:val="auto"/>
              </w:rPr>
            </w:pPr>
            <w:r>
              <w:rPr>
                <w:rFonts w:ascii="Arial" w:cs="Arial" w:eastAsia="Arial" w:hAnsi="Arial"/>
                <w:sz w:val="14"/>
                <w:szCs w:val="14"/>
                <w:color w:val="auto"/>
              </w:rPr>
              <w:t>unrealized losses</w:t>
            </w: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66"/>
        </w:trPr>
        <w:tc>
          <w:tcPr>
            <w:tcW w:w="20" w:type="dxa"/>
            <w:vAlign w:val="bottom"/>
          </w:tcPr>
          <w:p>
            <w:pPr>
              <w:spacing w:after="0"/>
              <w:rPr>
                <w:sz w:val="14"/>
                <w:szCs w:val="14"/>
                <w:color w:val="auto"/>
              </w:rPr>
            </w:pPr>
          </w:p>
        </w:tc>
        <w:tc>
          <w:tcPr>
            <w:tcW w:w="1880" w:type="dxa"/>
            <w:vAlign w:val="bottom"/>
            <w:gridSpan w:val="2"/>
          </w:tcPr>
          <w:p>
            <w:pPr>
              <w:ind w:left="140"/>
              <w:spacing w:after="0"/>
              <w:rPr>
                <w:sz w:val="20"/>
                <w:szCs w:val="20"/>
                <w:color w:val="auto"/>
              </w:rPr>
            </w:pPr>
            <w:r>
              <w:rPr>
                <w:rFonts w:ascii="Arial" w:cs="Arial" w:eastAsia="Arial" w:hAnsi="Arial"/>
                <w:sz w:val="14"/>
                <w:szCs w:val="14"/>
                <w:color w:val="auto"/>
              </w:rPr>
              <w:t>on available-</w:t>
            </w: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48"/>
        </w:trPr>
        <w:tc>
          <w:tcPr>
            <w:tcW w:w="20" w:type="dxa"/>
            <w:vAlign w:val="bottom"/>
          </w:tcPr>
          <w:p>
            <w:pPr>
              <w:spacing w:after="0"/>
              <w:rPr>
                <w:sz w:val="12"/>
                <w:szCs w:val="12"/>
                <w:color w:val="auto"/>
              </w:rPr>
            </w:pPr>
          </w:p>
        </w:tc>
        <w:tc>
          <w:tcPr>
            <w:tcW w:w="1880" w:type="dxa"/>
            <w:vAlign w:val="bottom"/>
            <w:gridSpan w:val="2"/>
            <w:shd w:val="clear" w:color="auto" w:fill="CCEEFF"/>
          </w:tcPr>
          <w:p>
            <w:pPr>
              <w:spacing w:after="0" w:line="147" w:lineRule="exact"/>
              <w:rPr>
                <w:sz w:val="20"/>
                <w:szCs w:val="20"/>
                <w:color w:val="auto"/>
              </w:rPr>
            </w:pPr>
            <w:r>
              <w:rPr>
                <w:rFonts w:ascii="Arial" w:cs="Arial" w:eastAsia="Arial" w:hAnsi="Arial"/>
                <w:sz w:val="14"/>
                <w:szCs w:val="14"/>
                <w:color w:val="auto"/>
              </w:rPr>
              <w:t>for-sale securities,</w:t>
            </w:r>
          </w:p>
        </w:tc>
        <w:tc>
          <w:tcPr>
            <w:tcW w:w="2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r>
      <w:tr>
        <w:trPr>
          <w:trHeight w:val="173"/>
        </w:trPr>
        <w:tc>
          <w:tcPr>
            <w:tcW w:w="20" w:type="dxa"/>
            <w:vAlign w:val="bottom"/>
          </w:tcPr>
          <w:p>
            <w:pPr>
              <w:spacing w:after="0"/>
              <w:rPr>
                <w:sz w:val="15"/>
                <w:szCs w:val="15"/>
                <w:color w:val="auto"/>
              </w:rPr>
            </w:pPr>
          </w:p>
        </w:tc>
        <w:tc>
          <w:tcPr>
            <w:tcW w:w="11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net of tax</w:t>
            </w:r>
          </w:p>
        </w:tc>
        <w:tc>
          <w:tcPr>
            <w:tcW w:w="740" w:type="dxa"/>
            <w:vAlign w:val="bottom"/>
            <w:tcBorders>
              <w:bottom w:val="single" w:sz="8" w:color="auto"/>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4"/>
                <w:szCs w:val="14"/>
                <w:color w:val="auto"/>
                <w:w w:val="99"/>
              </w:rPr>
              <w:t>3,326,806</w:t>
            </w:r>
          </w:p>
        </w:tc>
        <w:tc>
          <w:tcPr>
            <w:tcW w:w="102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3,326,806</w:t>
            </w:r>
          </w:p>
        </w:tc>
      </w:tr>
      <w:tr>
        <w:trPr>
          <w:trHeight w:val="148"/>
        </w:trPr>
        <w:tc>
          <w:tcPr>
            <w:tcW w:w="20" w:type="dxa"/>
            <w:vAlign w:val="bottom"/>
          </w:tcPr>
          <w:p>
            <w:pPr>
              <w:spacing w:after="0"/>
              <w:rPr>
                <w:sz w:val="12"/>
                <w:szCs w:val="12"/>
                <w:color w:val="auto"/>
              </w:rPr>
            </w:pPr>
          </w:p>
        </w:tc>
        <w:tc>
          <w:tcPr>
            <w:tcW w:w="1880" w:type="dxa"/>
            <w:vAlign w:val="bottom"/>
            <w:gridSpan w:val="2"/>
          </w:tcPr>
          <w:p>
            <w:pPr>
              <w:spacing w:after="0" w:line="147" w:lineRule="exact"/>
              <w:rPr>
                <w:sz w:val="20"/>
                <w:szCs w:val="20"/>
                <w:color w:val="auto"/>
              </w:rPr>
            </w:pPr>
            <w:r>
              <w:rPr>
                <w:rFonts w:ascii="Arial" w:cs="Arial" w:eastAsia="Arial" w:hAnsi="Arial"/>
                <w:sz w:val="14"/>
                <w:szCs w:val="14"/>
                <w:color w:val="auto"/>
              </w:rPr>
              <w:t>Balance, March 31,</w:t>
            </w: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66"/>
        </w:trPr>
        <w:tc>
          <w:tcPr>
            <w:tcW w:w="1160" w:type="dxa"/>
            <w:vAlign w:val="bottom"/>
            <w:gridSpan w:val="2"/>
          </w:tcPr>
          <w:p>
            <w:pPr>
              <w:ind w:left="160"/>
              <w:spacing w:after="0"/>
              <w:rPr>
                <w:sz w:val="20"/>
                <w:szCs w:val="20"/>
                <w:color w:val="auto"/>
              </w:rPr>
            </w:pPr>
            <w:r>
              <w:rPr>
                <w:rFonts w:ascii="Arial" w:cs="Arial" w:eastAsia="Arial" w:hAnsi="Arial"/>
                <w:sz w:val="14"/>
                <w:szCs w:val="14"/>
                <w:color w:val="auto"/>
              </w:rPr>
              <w:t>2019</w:t>
            </w:r>
          </w:p>
        </w:tc>
        <w:tc>
          <w:tcPr>
            <w:tcW w:w="7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color w:val="auto"/>
              </w:rPr>
              <w:t>11,796,188</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117,962</w:t>
            </w:r>
          </w:p>
        </w:tc>
        <w:tc>
          <w:tcPr>
            <w:tcW w:w="104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$ 67,957,604</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color w:val="auto"/>
              </w:rPr>
              <w:t>442,493</w:t>
            </w:r>
          </w:p>
        </w:tc>
        <w:tc>
          <w:tcPr>
            <w:tcW w:w="102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color w:val="auto"/>
              </w:rPr>
              <w:t>$ 17,969,664</w:t>
            </w:r>
          </w:p>
        </w:tc>
        <w:tc>
          <w:tcPr>
            <w:tcW w:w="100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color w:val="auto"/>
              </w:rPr>
              <w:t>1,027,439</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w w:val="94"/>
              </w:rPr>
              <w:t>(2,712,552)</w:t>
            </w: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$ 83,775,171</w:t>
            </w: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See accompanying notes to condensed consolidated financial statements.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25106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ectPr>
          <w:pgSz w:w="11900" w:h="16838" w:orient="portrait"/>
          <w:cols w:equalWidth="0" w:num="1">
            <w:col w:w="11420"/>
          </w:cols>
          <w:pgMar w:left="240" w:top="572" w:right="239" w:bottom="1440" w:gutter="0" w:footer="0" w:header="0"/>
        </w:sectPr>
      </w:pPr>
    </w:p>
    <w:bookmarkStart w:id="7" w:name="page8"/>
    <w:bookmarkEnd w:id="7"/>
    <w:p>
      <w:pPr>
        <w:ind w:left="7240"/>
        <w:spacing w:after="0"/>
        <w:rPr>
          <w:sz w:val="20"/>
          <w:szCs w:val="20"/>
          <w:color w:val="auto"/>
        </w:rPr>
      </w:pPr>
      <w:r>
        <w:rPr>
          <w:rFonts w:ascii="Arial" w:cs="Arial" w:eastAsia="Arial" w:hAnsi="Arial"/>
          <w:sz w:val="16"/>
          <w:szCs w:val="16"/>
          <w:b w:val="1"/>
          <w:bCs w:val="1"/>
          <w:color w:val="auto"/>
        </w:rPr>
        <w:t>KINGSTONE COMPANIES, INC. AND SUBSIDIARIES</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Condensed Consolidated Statements of Cash Flows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165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9140" w:type="dxa"/>
            <w:vAlign w:val="bottom"/>
            <w:gridSpan w:val="2"/>
          </w:tcPr>
          <w:p>
            <w:pPr>
              <w:spacing w:after="0"/>
              <w:rPr>
                <w:sz w:val="20"/>
                <w:szCs w:val="20"/>
                <w:color w:val="auto"/>
              </w:rPr>
            </w:pPr>
            <w:r>
              <w:rPr>
                <w:rFonts w:ascii="Arial" w:cs="Arial" w:eastAsia="Arial" w:hAnsi="Arial"/>
                <w:sz w:val="17"/>
                <w:szCs w:val="17"/>
                <w:i w:val="1"/>
                <w:iCs w:val="1"/>
                <w:color w:val="auto"/>
              </w:rPr>
              <w:t>Three months ended March 31,</w:t>
            </w: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469"/>
        </w:trPr>
        <w:tc>
          <w:tcPr>
            <w:tcW w:w="9140" w:type="dxa"/>
            <w:vAlign w:val="bottom"/>
            <w:gridSpan w:val="2"/>
          </w:tcPr>
          <w:p>
            <w:pPr>
              <w:spacing w:after="0"/>
              <w:rPr>
                <w:sz w:val="20"/>
                <w:szCs w:val="20"/>
                <w:color w:val="auto"/>
              </w:rPr>
            </w:pPr>
            <w:r>
              <w:rPr>
                <w:rFonts w:ascii="Arial" w:cs="Arial" w:eastAsia="Arial" w:hAnsi="Arial"/>
                <w:sz w:val="17"/>
                <w:szCs w:val="17"/>
                <w:b w:val="1"/>
                <w:bCs w:val="1"/>
                <w:color w:val="auto"/>
              </w:rPr>
              <w:t>Cash flows from operating activities:</w:t>
            </w: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7"/>
                <w:szCs w:val="17"/>
                <w:color w:val="auto"/>
              </w:rPr>
              <w:t>Net loss</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94"/>
              </w:rPr>
              <w:t>(7,335,190)</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(2,717,934)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120" w:type="dxa"/>
            <w:vAlign w:val="bottom"/>
          </w:tcPr>
          <w:p>
            <w:pPr>
              <w:spacing w:after="0"/>
              <w:rPr>
                <w:sz w:val="20"/>
                <w:szCs w:val="20"/>
                <w:color w:val="auto"/>
              </w:rPr>
            </w:pPr>
            <w:r>
              <w:rPr>
                <w:rFonts w:ascii="Arial" w:cs="Arial" w:eastAsia="Arial" w:hAnsi="Arial"/>
                <w:sz w:val="17"/>
                <w:szCs w:val="17"/>
                <w:color w:val="auto"/>
              </w:rPr>
              <w:t>Adjustments to reconcile net income to net cash flows provided by operating activities:</w:t>
            </w: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1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Net (gains) losses on sale of investments</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25,192</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243,773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120" w:type="dxa"/>
            <w:vAlign w:val="bottom"/>
          </w:tcPr>
          <w:p>
            <w:pPr>
              <w:ind w:left="140"/>
              <w:spacing w:after="0"/>
              <w:rPr>
                <w:sz w:val="20"/>
                <w:szCs w:val="20"/>
                <w:color w:val="auto"/>
              </w:rPr>
            </w:pPr>
            <w:r>
              <w:rPr>
                <w:rFonts w:ascii="Arial" w:cs="Arial" w:eastAsia="Arial" w:hAnsi="Arial"/>
                <w:sz w:val="17"/>
                <w:szCs w:val="17"/>
                <w:color w:val="auto"/>
              </w:rPr>
              <w:t>Net unrealized (gains) losses of equity investments</w:t>
            </w:r>
          </w:p>
        </w:tc>
        <w:tc>
          <w:tcPr>
            <w:tcW w:w="240" w:type="dxa"/>
            <w:vAlign w:val="bottom"/>
          </w:tcPr>
          <w:p>
            <w:pPr>
              <w:spacing w:after="0"/>
              <w:rPr>
                <w:sz w:val="18"/>
                <w:szCs w:val="18"/>
                <w:color w:val="auto"/>
              </w:rPr>
            </w:pPr>
          </w:p>
        </w:tc>
        <w:tc>
          <w:tcPr>
            <w:tcW w:w="940" w:type="dxa"/>
            <w:vAlign w:val="bottom"/>
          </w:tcPr>
          <w:p>
            <w:pPr>
              <w:jc w:val="right"/>
              <w:ind w:right="15"/>
              <w:spacing w:after="0"/>
              <w:rPr>
                <w:sz w:val="20"/>
                <w:szCs w:val="20"/>
                <w:color w:val="auto"/>
              </w:rPr>
            </w:pPr>
            <w:r>
              <w:rPr>
                <w:rFonts w:ascii="Arial" w:cs="Arial" w:eastAsia="Arial" w:hAnsi="Arial"/>
                <w:sz w:val="17"/>
                <w:szCs w:val="17"/>
                <w:color w:val="auto"/>
                <w:w w:val="94"/>
              </w:rPr>
              <w:t>(1,767,835)</w:t>
            </w:r>
          </w:p>
        </w:tc>
        <w:tc>
          <w:tcPr>
            <w:tcW w:w="160" w:type="dxa"/>
            <w:vAlign w:val="bottom"/>
          </w:tcPr>
          <w:p>
            <w:pPr>
              <w:spacing w:after="0"/>
              <w:rPr>
                <w:sz w:val="18"/>
                <w:szCs w:val="18"/>
                <w:color w:val="auto"/>
              </w:rPr>
            </w:pPr>
          </w:p>
        </w:tc>
        <w:tc>
          <w:tcPr>
            <w:tcW w:w="940" w:type="dxa"/>
            <w:vAlign w:val="bottom"/>
          </w:tcPr>
          <w:p>
            <w:pPr>
              <w:jc w:val="right"/>
              <w:ind w:right="35"/>
              <w:spacing w:after="0"/>
              <w:rPr>
                <w:sz w:val="20"/>
                <w:szCs w:val="20"/>
                <w:color w:val="auto"/>
              </w:rPr>
            </w:pPr>
            <w:r>
              <w:rPr>
                <w:rFonts w:ascii="Arial" w:cs="Arial" w:eastAsia="Arial" w:hAnsi="Arial"/>
                <w:sz w:val="17"/>
                <w:szCs w:val="17"/>
                <w:color w:val="auto"/>
              </w:rPr>
              <w:t>307,214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1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Net unrealized (gains) losses of other investments</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(292,720)</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(27,860)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120" w:type="dxa"/>
            <w:vAlign w:val="bottom"/>
          </w:tcPr>
          <w:p>
            <w:pPr>
              <w:ind w:left="140"/>
              <w:spacing w:after="0"/>
              <w:rPr>
                <w:sz w:val="20"/>
                <w:szCs w:val="20"/>
                <w:color w:val="auto"/>
              </w:rPr>
            </w:pPr>
            <w:r>
              <w:rPr>
                <w:rFonts w:ascii="Arial" w:cs="Arial" w:eastAsia="Arial" w:hAnsi="Arial"/>
                <w:sz w:val="17"/>
                <w:szCs w:val="17"/>
                <w:color w:val="auto"/>
              </w:rPr>
              <w:t>Depreciation and amortization</w:t>
            </w:r>
          </w:p>
        </w:tc>
        <w:tc>
          <w:tcPr>
            <w:tcW w:w="240" w:type="dxa"/>
            <w:vAlign w:val="bottom"/>
          </w:tcPr>
          <w:p>
            <w:pPr>
              <w:spacing w:after="0"/>
              <w:rPr>
                <w:sz w:val="18"/>
                <w:szCs w:val="18"/>
                <w:color w:val="auto"/>
              </w:rPr>
            </w:pPr>
          </w:p>
        </w:tc>
        <w:tc>
          <w:tcPr>
            <w:tcW w:w="940" w:type="dxa"/>
            <w:vAlign w:val="bottom"/>
          </w:tcPr>
          <w:p>
            <w:pPr>
              <w:jc w:val="right"/>
              <w:ind w:right="55"/>
              <w:spacing w:after="0"/>
              <w:rPr>
                <w:sz w:val="20"/>
                <w:szCs w:val="20"/>
                <w:color w:val="auto"/>
              </w:rPr>
            </w:pPr>
            <w:r>
              <w:rPr>
                <w:rFonts w:ascii="Arial" w:cs="Arial" w:eastAsia="Arial" w:hAnsi="Arial"/>
                <w:sz w:val="17"/>
                <w:szCs w:val="17"/>
                <w:color w:val="auto"/>
              </w:rPr>
              <w:t>602,332</w:t>
            </w:r>
          </w:p>
        </w:tc>
        <w:tc>
          <w:tcPr>
            <w:tcW w:w="160" w:type="dxa"/>
            <w:vAlign w:val="bottom"/>
          </w:tcPr>
          <w:p>
            <w:pPr>
              <w:spacing w:after="0"/>
              <w:rPr>
                <w:sz w:val="18"/>
                <w:szCs w:val="18"/>
                <w:color w:val="auto"/>
              </w:rPr>
            </w:pPr>
          </w:p>
        </w:tc>
        <w:tc>
          <w:tcPr>
            <w:tcW w:w="940" w:type="dxa"/>
            <w:vAlign w:val="bottom"/>
          </w:tcPr>
          <w:p>
            <w:pPr>
              <w:jc w:val="right"/>
              <w:ind w:right="35"/>
              <w:spacing w:after="0"/>
              <w:rPr>
                <w:sz w:val="20"/>
                <w:szCs w:val="20"/>
                <w:color w:val="auto"/>
              </w:rPr>
            </w:pPr>
            <w:r>
              <w:rPr>
                <w:rFonts w:ascii="Arial" w:cs="Arial" w:eastAsia="Arial" w:hAnsi="Arial"/>
                <w:sz w:val="17"/>
                <w:szCs w:val="17"/>
                <w:color w:val="auto"/>
              </w:rPr>
              <w:t>409,431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1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Amortization of bond premium, net</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118,568</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118,841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120" w:type="dxa"/>
            <w:vAlign w:val="bottom"/>
          </w:tcPr>
          <w:p>
            <w:pPr>
              <w:ind w:left="140"/>
              <w:spacing w:after="0"/>
              <w:rPr>
                <w:sz w:val="20"/>
                <w:szCs w:val="20"/>
                <w:color w:val="auto"/>
              </w:rPr>
            </w:pPr>
            <w:r>
              <w:rPr>
                <w:rFonts w:ascii="Arial" w:cs="Arial" w:eastAsia="Arial" w:hAnsi="Arial"/>
                <w:sz w:val="17"/>
                <w:szCs w:val="17"/>
                <w:color w:val="auto"/>
              </w:rPr>
              <w:t>Amortization of discount and issuance costs on long-term debt</w:t>
            </w:r>
          </w:p>
        </w:tc>
        <w:tc>
          <w:tcPr>
            <w:tcW w:w="240" w:type="dxa"/>
            <w:vAlign w:val="bottom"/>
          </w:tcPr>
          <w:p>
            <w:pPr>
              <w:spacing w:after="0"/>
              <w:rPr>
                <w:sz w:val="18"/>
                <w:szCs w:val="18"/>
                <w:color w:val="auto"/>
              </w:rPr>
            </w:pPr>
          </w:p>
        </w:tc>
        <w:tc>
          <w:tcPr>
            <w:tcW w:w="940" w:type="dxa"/>
            <w:vAlign w:val="bottom"/>
          </w:tcPr>
          <w:p>
            <w:pPr>
              <w:jc w:val="right"/>
              <w:ind w:right="55"/>
              <w:spacing w:after="0"/>
              <w:rPr>
                <w:sz w:val="20"/>
                <w:szCs w:val="20"/>
                <w:color w:val="auto"/>
              </w:rPr>
            </w:pPr>
            <w:r>
              <w:rPr>
                <w:rFonts w:ascii="Arial" w:cs="Arial" w:eastAsia="Arial" w:hAnsi="Arial"/>
                <w:sz w:val="17"/>
                <w:szCs w:val="17"/>
                <w:color w:val="auto"/>
              </w:rPr>
              <w:t>44,045</w:t>
            </w:r>
          </w:p>
        </w:tc>
        <w:tc>
          <w:tcPr>
            <w:tcW w:w="160" w:type="dxa"/>
            <w:vAlign w:val="bottom"/>
          </w:tcPr>
          <w:p>
            <w:pPr>
              <w:spacing w:after="0"/>
              <w:rPr>
                <w:sz w:val="18"/>
                <w:szCs w:val="18"/>
                <w:color w:val="auto"/>
              </w:rPr>
            </w:pPr>
          </w:p>
        </w:tc>
        <w:tc>
          <w:tcPr>
            <w:tcW w:w="940" w:type="dxa"/>
            <w:vAlign w:val="bottom"/>
          </w:tcPr>
          <w:p>
            <w:pPr>
              <w:jc w:val="right"/>
              <w:ind w:right="35"/>
              <w:spacing w:after="0"/>
              <w:rPr>
                <w:sz w:val="20"/>
                <w:szCs w:val="20"/>
                <w:color w:val="auto"/>
              </w:rPr>
            </w:pPr>
            <w:r>
              <w:rPr>
                <w:rFonts w:ascii="Arial" w:cs="Arial" w:eastAsia="Arial" w:hAnsi="Arial"/>
                <w:sz w:val="17"/>
                <w:szCs w:val="17"/>
                <w:color w:val="auto"/>
              </w:rPr>
              <w:t>36,151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1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Stock-based compensation</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309,882</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108,368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120" w:type="dxa"/>
            <w:vAlign w:val="bottom"/>
          </w:tcPr>
          <w:p>
            <w:pPr>
              <w:ind w:left="140"/>
              <w:spacing w:after="0"/>
              <w:rPr>
                <w:sz w:val="20"/>
                <w:szCs w:val="20"/>
                <w:color w:val="auto"/>
              </w:rPr>
            </w:pPr>
            <w:r>
              <w:rPr>
                <w:rFonts w:ascii="Arial" w:cs="Arial" w:eastAsia="Arial" w:hAnsi="Arial"/>
                <w:sz w:val="17"/>
                <w:szCs w:val="17"/>
                <w:color w:val="auto"/>
              </w:rPr>
              <w:t>Deferred income tax expense</w:t>
            </w:r>
          </w:p>
        </w:tc>
        <w:tc>
          <w:tcPr>
            <w:tcW w:w="240" w:type="dxa"/>
            <w:vAlign w:val="bottom"/>
          </w:tcPr>
          <w:p>
            <w:pPr>
              <w:spacing w:after="0"/>
              <w:rPr>
                <w:sz w:val="18"/>
                <w:szCs w:val="18"/>
                <w:color w:val="auto"/>
              </w:rPr>
            </w:pPr>
          </w:p>
        </w:tc>
        <w:tc>
          <w:tcPr>
            <w:tcW w:w="940" w:type="dxa"/>
            <w:vAlign w:val="bottom"/>
          </w:tcPr>
          <w:p>
            <w:pPr>
              <w:jc w:val="right"/>
              <w:ind w:right="55"/>
              <w:spacing w:after="0"/>
              <w:rPr>
                <w:sz w:val="20"/>
                <w:szCs w:val="20"/>
                <w:color w:val="auto"/>
              </w:rPr>
            </w:pPr>
            <w:r>
              <w:rPr>
                <w:rFonts w:ascii="Arial" w:cs="Arial" w:eastAsia="Arial" w:hAnsi="Arial"/>
                <w:sz w:val="17"/>
                <w:szCs w:val="17"/>
                <w:color w:val="auto"/>
              </w:rPr>
              <w:t>510,533</w:t>
            </w:r>
          </w:p>
        </w:tc>
        <w:tc>
          <w:tcPr>
            <w:tcW w:w="160" w:type="dxa"/>
            <w:vAlign w:val="bottom"/>
          </w:tcPr>
          <w:p>
            <w:pPr>
              <w:spacing w:after="0"/>
              <w:rPr>
                <w:sz w:val="18"/>
                <w:szCs w:val="18"/>
                <w:color w:val="auto"/>
              </w:rPr>
            </w:pPr>
          </w:p>
        </w:tc>
        <w:tc>
          <w:tcPr>
            <w:tcW w:w="940" w:type="dxa"/>
            <w:vAlign w:val="bottom"/>
          </w:tcPr>
          <w:p>
            <w:pPr>
              <w:jc w:val="right"/>
              <w:ind w:right="35"/>
              <w:spacing w:after="0"/>
              <w:rPr>
                <w:sz w:val="20"/>
                <w:szCs w:val="20"/>
                <w:color w:val="auto"/>
              </w:rPr>
            </w:pPr>
            <w:r>
              <w:rPr>
                <w:rFonts w:ascii="Arial" w:cs="Arial" w:eastAsia="Arial" w:hAnsi="Arial"/>
                <w:sz w:val="17"/>
                <w:szCs w:val="17"/>
                <w:color w:val="auto"/>
              </w:rPr>
              <w:t>28,927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7"/>
                <w:szCs w:val="17"/>
                <w:color w:val="auto"/>
              </w:rPr>
              <w:t>(Increase) decrease in operating assets:</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120" w:type="dxa"/>
            <w:vAlign w:val="bottom"/>
          </w:tcPr>
          <w:p>
            <w:pPr>
              <w:ind w:left="140"/>
              <w:spacing w:after="0"/>
              <w:rPr>
                <w:sz w:val="20"/>
                <w:szCs w:val="20"/>
                <w:color w:val="auto"/>
              </w:rPr>
            </w:pPr>
            <w:r>
              <w:rPr>
                <w:rFonts w:ascii="Arial" w:cs="Arial" w:eastAsia="Arial" w:hAnsi="Arial"/>
                <w:sz w:val="17"/>
                <w:szCs w:val="17"/>
                <w:color w:val="auto"/>
              </w:rPr>
              <w:t>Premiums receivable, net</w:t>
            </w:r>
          </w:p>
        </w:tc>
        <w:tc>
          <w:tcPr>
            <w:tcW w:w="240" w:type="dxa"/>
            <w:vAlign w:val="bottom"/>
          </w:tcPr>
          <w:p>
            <w:pPr>
              <w:spacing w:after="0"/>
              <w:rPr>
                <w:sz w:val="18"/>
                <w:szCs w:val="18"/>
                <w:color w:val="auto"/>
              </w:rPr>
            </w:pPr>
          </w:p>
        </w:tc>
        <w:tc>
          <w:tcPr>
            <w:tcW w:w="940" w:type="dxa"/>
            <w:vAlign w:val="bottom"/>
          </w:tcPr>
          <w:p>
            <w:pPr>
              <w:jc w:val="right"/>
              <w:ind w:right="15"/>
              <w:spacing w:after="0"/>
              <w:rPr>
                <w:sz w:val="20"/>
                <w:szCs w:val="20"/>
                <w:color w:val="auto"/>
              </w:rPr>
            </w:pPr>
            <w:r>
              <w:rPr>
                <w:rFonts w:ascii="Arial" w:cs="Arial" w:eastAsia="Arial" w:hAnsi="Arial"/>
                <w:sz w:val="17"/>
                <w:szCs w:val="17"/>
                <w:color w:val="auto"/>
              </w:rPr>
              <w:t>(250,149)</w:t>
            </w:r>
          </w:p>
        </w:tc>
        <w:tc>
          <w:tcPr>
            <w:tcW w:w="160" w:type="dxa"/>
            <w:vAlign w:val="bottom"/>
          </w:tcPr>
          <w:p>
            <w:pPr>
              <w:spacing w:after="0"/>
              <w:rPr>
                <w:sz w:val="18"/>
                <w:szCs w:val="18"/>
                <w:color w:val="auto"/>
              </w:rPr>
            </w:pPr>
          </w:p>
        </w:tc>
        <w:tc>
          <w:tcPr>
            <w:tcW w:w="940" w:type="dxa"/>
            <w:vAlign w:val="bottom"/>
          </w:tcPr>
          <w:p>
            <w:pPr>
              <w:jc w:val="right"/>
              <w:ind w:right="35"/>
              <w:spacing w:after="0"/>
              <w:rPr>
                <w:sz w:val="20"/>
                <w:szCs w:val="20"/>
                <w:color w:val="auto"/>
              </w:rPr>
            </w:pPr>
            <w:r>
              <w:rPr>
                <w:rFonts w:ascii="Arial" w:cs="Arial" w:eastAsia="Arial" w:hAnsi="Arial"/>
                <w:sz w:val="17"/>
                <w:szCs w:val="17"/>
                <w:color w:val="auto"/>
              </w:rPr>
              <w:t>151,824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1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Reinsurance receivables, net</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209,478</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(3,376,350)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120" w:type="dxa"/>
            <w:vAlign w:val="bottom"/>
          </w:tcPr>
          <w:p>
            <w:pPr>
              <w:ind w:left="140"/>
              <w:spacing w:after="0"/>
              <w:rPr>
                <w:sz w:val="20"/>
                <w:szCs w:val="20"/>
                <w:color w:val="auto"/>
              </w:rPr>
            </w:pPr>
            <w:r>
              <w:rPr>
                <w:rFonts w:ascii="Arial" w:cs="Arial" w:eastAsia="Arial" w:hAnsi="Arial"/>
                <w:sz w:val="17"/>
                <w:szCs w:val="17"/>
                <w:color w:val="auto"/>
              </w:rPr>
              <w:t>Deferred policy acquisition costs</w:t>
            </w:r>
          </w:p>
        </w:tc>
        <w:tc>
          <w:tcPr>
            <w:tcW w:w="240" w:type="dxa"/>
            <w:vAlign w:val="bottom"/>
          </w:tcPr>
          <w:p>
            <w:pPr>
              <w:spacing w:after="0"/>
              <w:rPr>
                <w:sz w:val="18"/>
                <w:szCs w:val="18"/>
                <w:color w:val="auto"/>
              </w:rPr>
            </w:pPr>
          </w:p>
        </w:tc>
        <w:tc>
          <w:tcPr>
            <w:tcW w:w="940" w:type="dxa"/>
            <w:vAlign w:val="bottom"/>
          </w:tcPr>
          <w:p>
            <w:pPr>
              <w:jc w:val="right"/>
              <w:ind w:right="15"/>
              <w:spacing w:after="0"/>
              <w:rPr>
                <w:sz w:val="20"/>
                <w:szCs w:val="20"/>
                <w:color w:val="auto"/>
              </w:rPr>
            </w:pPr>
            <w:r>
              <w:rPr>
                <w:rFonts w:ascii="Arial" w:cs="Arial" w:eastAsia="Arial" w:hAnsi="Arial"/>
                <w:sz w:val="17"/>
                <w:szCs w:val="17"/>
                <w:color w:val="auto"/>
              </w:rPr>
              <w:t>(246,544)</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(282,977)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1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Other assets</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94"/>
              </w:rPr>
              <w:t>(3,666,830)</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(1,386,512)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120" w:type="dxa"/>
            <w:vAlign w:val="bottom"/>
          </w:tcPr>
          <w:p>
            <w:pPr>
              <w:spacing w:after="0"/>
              <w:rPr>
                <w:sz w:val="20"/>
                <w:szCs w:val="20"/>
                <w:color w:val="auto"/>
              </w:rPr>
            </w:pPr>
            <w:r>
              <w:rPr>
                <w:rFonts w:ascii="Arial" w:cs="Arial" w:eastAsia="Arial" w:hAnsi="Arial"/>
                <w:sz w:val="17"/>
                <w:szCs w:val="17"/>
                <w:color w:val="auto"/>
              </w:rPr>
              <w:t>Increase (decrease) in operating liabilities:</w:t>
            </w: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1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Loss and loss adjustment expense reserves</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w w:val="91"/>
              </w:rPr>
              <w:t>12,913,165</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7,472,491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120" w:type="dxa"/>
            <w:vAlign w:val="bottom"/>
          </w:tcPr>
          <w:p>
            <w:pPr>
              <w:ind w:left="140"/>
              <w:spacing w:after="0"/>
              <w:rPr>
                <w:sz w:val="20"/>
                <w:szCs w:val="20"/>
                <w:color w:val="auto"/>
              </w:rPr>
            </w:pPr>
            <w:r>
              <w:rPr>
                <w:rFonts w:ascii="Arial" w:cs="Arial" w:eastAsia="Arial" w:hAnsi="Arial"/>
                <w:sz w:val="17"/>
                <w:szCs w:val="17"/>
                <w:color w:val="auto"/>
              </w:rPr>
              <w:t>Unearned premiums</w:t>
            </w:r>
          </w:p>
        </w:tc>
        <w:tc>
          <w:tcPr>
            <w:tcW w:w="240" w:type="dxa"/>
            <w:vAlign w:val="bottom"/>
          </w:tcPr>
          <w:p>
            <w:pPr>
              <w:spacing w:after="0"/>
              <w:rPr>
                <w:sz w:val="18"/>
                <w:szCs w:val="18"/>
                <w:color w:val="auto"/>
              </w:rPr>
            </w:pPr>
          </w:p>
        </w:tc>
        <w:tc>
          <w:tcPr>
            <w:tcW w:w="940" w:type="dxa"/>
            <w:vAlign w:val="bottom"/>
          </w:tcPr>
          <w:p>
            <w:pPr>
              <w:jc w:val="right"/>
              <w:ind w:right="55"/>
              <w:spacing w:after="0"/>
              <w:rPr>
                <w:sz w:val="20"/>
                <w:szCs w:val="20"/>
                <w:color w:val="auto"/>
              </w:rPr>
            </w:pPr>
            <w:r>
              <w:rPr>
                <w:rFonts w:ascii="Arial" w:cs="Arial" w:eastAsia="Arial" w:hAnsi="Arial"/>
                <w:sz w:val="17"/>
                <w:szCs w:val="17"/>
                <w:color w:val="auto"/>
              </w:rPr>
              <w:t>627,872</w:t>
            </w:r>
          </w:p>
        </w:tc>
        <w:tc>
          <w:tcPr>
            <w:tcW w:w="160" w:type="dxa"/>
            <w:vAlign w:val="bottom"/>
          </w:tcPr>
          <w:p>
            <w:pPr>
              <w:spacing w:after="0"/>
              <w:rPr>
                <w:sz w:val="18"/>
                <w:szCs w:val="18"/>
                <w:color w:val="auto"/>
              </w:rPr>
            </w:pPr>
          </w:p>
        </w:tc>
        <w:tc>
          <w:tcPr>
            <w:tcW w:w="940" w:type="dxa"/>
            <w:vAlign w:val="bottom"/>
          </w:tcPr>
          <w:p>
            <w:pPr>
              <w:jc w:val="right"/>
              <w:ind w:right="35"/>
              <w:spacing w:after="0"/>
              <w:rPr>
                <w:sz w:val="20"/>
                <w:szCs w:val="20"/>
                <w:color w:val="auto"/>
              </w:rPr>
            </w:pPr>
            <w:r>
              <w:rPr>
                <w:rFonts w:ascii="Arial" w:cs="Arial" w:eastAsia="Arial" w:hAnsi="Arial"/>
                <w:sz w:val="17"/>
                <w:szCs w:val="17"/>
                <w:color w:val="auto"/>
              </w:rPr>
              <w:t>1,006,969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1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Advance premiums</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956,784</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738,910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120" w:type="dxa"/>
            <w:vAlign w:val="bottom"/>
          </w:tcPr>
          <w:p>
            <w:pPr>
              <w:ind w:left="140"/>
              <w:spacing w:after="0"/>
              <w:rPr>
                <w:sz w:val="20"/>
                <w:szCs w:val="20"/>
                <w:color w:val="auto"/>
              </w:rPr>
            </w:pPr>
            <w:r>
              <w:rPr>
                <w:rFonts w:ascii="Arial" w:cs="Arial" w:eastAsia="Arial" w:hAnsi="Arial"/>
                <w:sz w:val="17"/>
                <w:szCs w:val="17"/>
                <w:color w:val="auto"/>
              </w:rPr>
              <w:t>Reinsurance balances payable</w:t>
            </w:r>
          </w:p>
        </w:tc>
        <w:tc>
          <w:tcPr>
            <w:tcW w:w="240" w:type="dxa"/>
            <w:vAlign w:val="bottom"/>
          </w:tcPr>
          <w:p>
            <w:pPr>
              <w:spacing w:after="0"/>
              <w:rPr>
                <w:sz w:val="18"/>
                <w:szCs w:val="18"/>
                <w:color w:val="auto"/>
              </w:rPr>
            </w:pPr>
          </w:p>
        </w:tc>
        <w:tc>
          <w:tcPr>
            <w:tcW w:w="940" w:type="dxa"/>
            <w:vAlign w:val="bottom"/>
          </w:tcPr>
          <w:p>
            <w:pPr>
              <w:jc w:val="right"/>
              <w:ind w:right="15"/>
              <w:spacing w:after="0"/>
              <w:rPr>
                <w:sz w:val="20"/>
                <w:szCs w:val="20"/>
                <w:color w:val="auto"/>
              </w:rPr>
            </w:pPr>
            <w:r>
              <w:rPr>
                <w:rFonts w:ascii="Arial" w:cs="Arial" w:eastAsia="Arial" w:hAnsi="Arial"/>
                <w:sz w:val="17"/>
                <w:szCs w:val="17"/>
                <w:color w:val="auto"/>
              </w:rPr>
              <w:t>(731,445)</w:t>
            </w:r>
          </w:p>
        </w:tc>
        <w:tc>
          <w:tcPr>
            <w:tcW w:w="160" w:type="dxa"/>
            <w:vAlign w:val="bottom"/>
          </w:tcPr>
          <w:p>
            <w:pPr>
              <w:spacing w:after="0"/>
              <w:rPr>
                <w:sz w:val="18"/>
                <w:szCs w:val="18"/>
                <w:color w:val="auto"/>
              </w:rPr>
            </w:pPr>
          </w:p>
        </w:tc>
        <w:tc>
          <w:tcPr>
            <w:tcW w:w="940" w:type="dxa"/>
            <w:vAlign w:val="bottom"/>
          </w:tcPr>
          <w:p>
            <w:pPr>
              <w:jc w:val="right"/>
              <w:ind w:right="35"/>
              <w:spacing w:after="0"/>
              <w:rPr>
                <w:sz w:val="20"/>
                <w:szCs w:val="20"/>
                <w:color w:val="auto"/>
              </w:rPr>
            </w:pPr>
            <w:r>
              <w:rPr>
                <w:rFonts w:ascii="Arial" w:cs="Arial" w:eastAsia="Arial" w:hAnsi="Arial"/>
                <w:sz w:val="17"/>
                <w:szCs w:val="17"/>
                <w:color w:val="auto"/>
              </w:rPr>
              <w:t>453,768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1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Deferred ceding commission revenue</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58,710</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81,400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9120" w:type="dxa"/>
            <w:vAlign w:val="bottom"/>
          </w:tcPr>
          <w:p>
            <w:pPr>
              <w:ind w:left="140"/>
              <w:spacing w:after="0"/>
              <w:rPr>
                <w:sz w:val="20"/>
                <w:szCs w:val="20"/>
                <w:color w:val="auto"/>
              </w:rPr>
            </w:pPr>
            <w:r>
              <w:rPr>
                <w:rFonts w:ascii="Arial" w:cs="Arial" w:eastAsia="Arial" w:hAnsi="Arial"/>
                <w:sz w:val="17"/>
                <w:szCs w:val="17"/>
                <w:color w:val="auto"/>
              </w:rPr>
              <w:t>Accounts payable, accrued expenses and other liabilities</w:t>
            </w: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616,556</w:t>
            </w: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8"/>
              </w:rPr>
              <w:t>(2,986,061)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9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Net cash flows provided by operating activities</w:t>
            </w:r>
          </w:p>
        </w:tc>
        <w:tc>
          <w:tcPr>
            <w:tcW w:w="2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2,702,404</w:t>
            </w: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380,373</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9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Cash flows from investing activities:</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120" w:type="dxa"/>
            <w:vAlign w:val="bottom"/>
          </w:tcPr>
          <w:p>
            <w:pPr>
              <w:spacing w:after="0"/>
              <w:rPr>
                <w:sz w:val="20"/>
                <w:szCs w:val="20"/>
                <w:color w:val="auto"/>
              </w:rPr>
            </w:pPr>
            <w:r>
              <w:rPr>
                <w:rFonts w:ascii="Arial" w:cs="Arial" w:eastAsia="Arial" w:hAnsi="Arial"/>
                <w:sz w:val="17"/>
                <w:szCs w:val="17"/>
                <w:color w:val="auto"/>
              </w:rPr>
              <w:t>Purchase - fixed-maturity securities available-for-sale</w:t>
            </w:r>
          </w:p>
        </w:tc>
        <w:tc>
          <w:tcPr>
            <w:tcW w:w="240" w:type="dxa"/>
            <w:vAlign w:val="bottom"/>
          </w:tcPr>
          <w:p>
            <w:pPr>
              <w:spacing w:after="0"/>
              <w:rPr>
                <w:sz w:val="18"/>
                <w:szCs w:val="18"/>
                <w:color w:val="auto"/>
              </w:rPr>
            </w:pPr>
          </w:p>
        </w:tc>
        <w:tc>
          <w:tcPr>
            <w:tcW w:w="940" w:type="dxa"/>
            <w:vAlign w:val="bottom"/>
          </w:tcPr>
          <w:p>
            <w:pPr>
              <w:jc w:val="right"/>
              <w:ind w:right="15"/>
              <w:spacing w:after="0"/>
              <w:rPr>
                <w:sz w:val="20"/>
                <w:szCs w:val="20"/>
                <w:color w:val="auto"/>
              </w:rPr>
            </w:pPr>
            <w:r>
              <w:rPr>
                <w:rFonts w:ascii="Arial" w:cs="Arial" w:eastAsia="Arial" w:hAnsi="Arial"/>
                <w:sz w:val="17"/>
                <w:szCs w:val="17"/>
                <w:color w:val="auto"/>
                <w:w w:val="94"/>
              </w:rPr>
              <w:t>(6,094,835)</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w w:val="89"/>
              </w:rPr>
              <w:t>(20,018,600)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7"/>
                <w:szCs w:val="17"/>
                <w:color w:val="auto"/>
              </w:rPr>
              <w:t>Purchase - equity securities</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94"/>
              </w:rPr>
              <w:t>(1,604,615)</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(6,004,614)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120" w:type="dxa"/>
            <w:vAlign w:val="bottom"/>
          </w:tcPr>
          <w:p>
            <w:pPr>
              <w:spacing w:after="0"/>
              <w:rPr>
                <w:sz w:val="20"/>
                <w:szCs w:val="20"/>
                <w:color w:val="auto"/>
              </w:rPr>
            </w:pPr>
            <w:r>
              <w:rPr>
                <w:rFonts w:ascii="Arial" w:cs="Arial" w:eastAsia="Arial" w:hAnsi="Arial"/>
                <w:sz w:val="17"/>
                <w:szCs w:val="17"/>
                <w:color w:val="auto"/>
              </w:rPr>
              <w:t>Sale and redemption - fixed-maturity securities held-to-maturity</w:t>
            </w:r>
          </w:p>
        </w:tc>
        <w:tc>
          <w:tcPr>
            <w:tcW w:w="240" w:type="dxa"/>
            <w:vAlign w:val="bottom"/>
          </w:tcPr>
          <w:p>
            <w:pPr>
              <w:spacing w:after="0"/>
              <w:rPr>
                <w:sz w:val="18"/>
                <w:szCs w:val="18"/>
                <w:color w:val="auto"/>
              </w:rPr>
            </w:pPr>
          </w:p>
        </w:tc>
        <w:tc>
          <w:tcPr>
            <w:tcW w:w="940" w:type="dxa"/>
            <w:vAlign w:val="bottom"/>
          </w:tcPr>
          <w:p>
            <w:pPr>
              <w:jc w:val="right"/>
              <w:ind w:right="55"/>
              <w:spacing w:after="0"/>
              <w:rPr>
                <w:sz w:val="20"/>
                <w:szCs w:val="20"/>
                <w:color w:val="auto"/>
              </w:rPr>
            </w:pPr>
            <w:r>
              <w:rPr>
                <w:rFonts w:ascii="Arial" w:cs="Arial" w:eastAsia="Arial" w:hAnsi="Arial"/>
                <w:sz w:val="17"/>
                <w:szCs w:val="17"/>
                <w:color w:val="auto"/>
              </w:rPr>
              <w:t>400,000</w:t>
            </w:r>
          </w:p>
        </w:tc>
        <w:tc>
          <w:tcPr>
            <w:tcW w:w="160" w:type="dxa"/>
            <w:vAlign w:val="bottom"/>
          </w:tcPr>
          <w:p>
            <w:pPr>
              <w:spacing w:after="0"/>
              <w:rPr>
                <w:sz w:val="18"/>
                <w:szCs w:val="18"/>
                <w:color w:val="auto"/>
              </w:rPr>
            </w:pPr>
          </w:p>
        </w:tc>
        <w:tc>
          <w:tcPr>
            <w:tcW w:w="94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7"/>
                <w:szCs w:val="17"/>
                <w:color w:val="auto"/>
              </w:rPr>
              <w:t>Sale or maturity - fixed-maturity securities available-for-sale</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1,505,382</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7,891,145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120" w:type="dxa"/>
            <w:vAlign w:val="bottom"/>
          </w:tcPr>
          <w:p>
            <w:pPr>
              <w:spacing w:after="0"/>
              <w:rPr>
                <w:sz w:val="20"/>
                <w:szCs w:val="20"/>
                <w:color w:val="auto"/>
              </w:rPr>
            </w:pPr>
            <w:r>
              <w:rPr>
                <w:rFonts w:ascii="Arial" w:cs="Arial" w:eastAsia="Arial" w:hAnsi="Arial"/>
                <w:sz w:val="17"/>
                <w:szCs w:val="17"/>
                <w:color w:val="auto"/>
              </w:rPr>
              <w:t>Sale - equity securities</w:t>
            </w:r>
          </w:p>
        </w:tc>
        <w:tc>
          <w:tcPr>
            <w:tcW w:w="240" w:type="dxa"/>
            <w:vAlign w:val="bottom"/>
          </w:tcPr>
          <w:p>
            <w:pPr>
              <w:spacing w:after="0"/>
              <w:rPr>
                <w:sz w:val="18"/>
                <w:szCs w:val="18"/>
                <w:color w:val="auto"/>
              </w:rPr>
            </w:pPr>
          </w:p>
        </w:tc>
        <w:tc>
          <w:tcPr>
            <w:tcW w:w="940" w:type="dxa"/>
            <w:vAlign w:val="bottom"/>
          </w:tcPr>
          <w:p>
            <w:pPr>
              <w:jc w:val="right"/>
              <w:ind w:right="55"/>
              <w:spacing w:after="0"/>
              <w:rPr>
                <w:sz w:val="20"/>
                <w:szCs w:val="20"/>
                <w:color w:val="auto"/>
              </w:rPr>
            </w:pPr>
            <w:r>
              <w:rPr>
                <w:rFonts w:ascii="Arial" w:cs="Arial" w:eastAsia="Arial" w:hAnsi="Arial"/>
                <w:sz w:val="17"/>
                <w:szCs w:val="17"/>
                <w:color w:val="auto"/>
              </w:rPr>
              <w:t>246,047</w:t>
            </w:r>
          </w:p>
        </w:tc>
        <w:tc>
          <w:tcPr>
            <w:tcW w:w="160" w:type="dxa"/>
            <w:vAlign w:val="bottom"/>
          </w:tcPr>
          <w:p>
            <w:pPr>
              <w:spacing w:after="0"/>
              <w:rPr>
                <w:sz w:val="18"/>
                <w:szCs w:val="18"/>
                <w:color w:val="auto"/>
              </w:rPr>
            </w:pPr>
          </w:p>
        </w:tc>
        <w:tc>
          <w:tcPr>
            <w:tcW w:w="940" w:type="dxa"/>
            <w:vAlign w:val="bottom"/>
          </w:tcPr>
          <w:p>
            <w:pPr>
              <w:jc w:val="right"/>
              <w:ind w:right="35"/>
              <w:spacing w:after="0"/>
              <w:rPr>
                <w:sz w:val="20"/>
                <w:szCs w:val="20"/>
                <w:color w:val="auto"/>
              </w:rPr>
            </w:pPr>
            <w:r>
              <w:rPr>
                <w:rFonts w:ascii="Arial" w:cs="Arial" w:eastAsia="Arial" w:hAnsi="Arial"/>
                <w:sz w:val="17"/>
                <w:szCs w:val="17"/>
                <w:color w:val="auto"/>
              </w:rPr>
              <w:t>3,378,515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7"/>
                <w:szCs w:val="17"/>
                <w:color w:val="auto"/>
              </w:rPr>
              <w:t>Acquisition of property and equipment</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94"/>
              </w:rPr>
              <w:t>(1,048,604)</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(684,609)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9120" w:type="dxa"/>
            <w:vAlign w:val="bottom"/>
          </w:tcPr>
          <w:p>
            <w:pPr>
              <w:spacing w:after="0"/>
              <w:rPr>
                <w:sz w:val="20"/>
                <w:szCs w:val="20"/>
                <w:color w:val="auto"/>
              </w:rPr>
            </w:pPr>
            <w:r>
              <w:rPr>
                <w:rFonts w:ascii="Arial" w:cs="Arial" w:eastAsia="Arial" w:hAnsi="Arial"/>
                <w:sz w:val="17"/>
                <w:szCs w:val="17"/>
                <w:color w:val="auto"/>
              </w:rPr>
              <w:t>Other investing activities</w:t>
            </w: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(287,733)</w:t>
            </w: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9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Net cash flows used in investing activities</w:t>
            </w:r>
          </w:p>
        </w:tc>
        <w:tc>
          <w:tcPr>
            <w:tcW w:w="2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w w:val="94"/>
              </w:rPr>
              <w:t>(6,884,358)</w:t>
            </w: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9"/>
              </w:rPr>
              <w:t>(15,438,163)</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9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Cash flows from financing activities:</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120" w:type="dxa"/>
            <w:vAlign w:val="bottom"/>
          </w:tcPr>
          <w:p>
            <w:pPr>
              <w:spacing w:after="0"/>
              <w:rPr>
                <w:sz w:val="20"/>
                <w:szCs w:val="20"/>
                <w:color w:val="auto"/>
              </w:rPr>
            </w:pPr>
            <w:r>
              <w:rPr>
                <w:rFonts w:ascii="Arial" w:cs="Arial" w:eastAsia="Arial" w:hAnsi="Arial"/>
                <w:sz w:val="17"/>
                <w:szCs w:val="17"/>
                <w:color w:val="auto"/>
              </w:rPr>
              <w:t>Proceeds from exercise of stock options</w:t>
            </w:r>
          </w:p>
        </w:tc>
        <w:tc>
          <w:tcPr>
            <w:tcW w:w="240" w:type="dxa"/>
            <w:vAlign w:val="bottom"/>
          </w:tcPr>
          <w:p>
            <w:pPr>
              <w:spacing w:after="0"/>
              <w:rPr>
                <w:sz w:val="18"/>
                <w:szCs w:val="18"/>
                <w:color w:val="auto"/>
              </w:rPr>
            </w:pPr>
          </w:p>
        </w:tc>
        <w:tc>
          <w:tcPr>
            <w:tcW w:w="94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940" w:type="dxa"/>
            <w:vAlign w:val="bottom"/>
          </w:tcPr>
          <w:p>
            <w:pPr>
              <w:jc w:val="right"/>
              <w:ind w:right="35"/>
              <w:spacing w:after="0"/>
              <w:rPr>
                <w:sz w:val="20"/>
                <w:szCs w:val="20"/>
                <w:color w:val="auto"/>
              </w:rPr>
            </w:pPr>
            <w:r>
              <w:rPr>
                <w:rFonts w:ascii="Arial" w:cs="Arial" w:eastAsia="Arial" w:hAnsi="Arial"/>
                <w:sz w:val="17"/>
                <w:szCs w:val="17"/>
                <w:color w:val="auto"/>
              </w:rPr>
              <w:t>29,577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7"/>
                <w:szCs w:val="17"/>
                <w:color w:val="auto"/>
              </w:rPr>
              <w:t>Withholding taxes paid on net exercise of stock options</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(341,770)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120" w:type="dxa"/>
            <w:vAlign w:val="bottom"/>
          </w:tcPr>
          <w:p>
            <w:pPr>
              <w:spacing w:after="0"/>
              <w:rPr>
                <w:sz w:val="20"/>
                <w:szCs w:val="20"/>
                <w:color w:val="auto"/>
              </w:rPr>
            </w:pPr>
            <w:r>
              <w:rPr>
                <w:rFonts w:ascii="Arial" w:cs="Arial" w:eastAsia="Arial" w:hAnsi="Arial"/>
                <w:sz w:val="17"/>
                <w:szCs w:val="17"/>
                <w:color w:val="auto"/>
              </w:rPr>
              <w:t>Withholding taxes paid on vested retricted stock awards</w:t>
            </w:r>
          </w:p>
        </w:tc>
        <w:tc>
          <w:tcPr>
            <w:tcW w:w="240" w:type="dxa"/>
            <w:vAlign w:val="bottom"/>
          </w:tcPr>
          <w:p>
            <w:pPr>
              <w:spacing w:after="0"/>
              <w:rPr>
                <w:sz w:val="18"/>
                <w:szCs w:val="18"/>
                <w:color w:val="auto"/>
              </w:rPr>
            </w:pPr>
          </w:p>
        </w:tc>
        <w:tc>
          <w:tcPr>
            <w:tcW w:w="940" w:type="dxa"/>
            <w:vAlign w:val="bottom"/>
          </w:tcPr>
          <w:p>
            <w:pPr>
              <w:jc w:val="right"/>
              <w:ind w:right="15"/>
              <w:spacing w:after="0"/>
              <w:rPr>
                <w:sz w:val="20"/>
                <w:szCs w:val="20"/>
                <w:color w:val="auto"/>
              </w:rPr>
            </w:pPr>
            <w:r>
              <w:rPr>
                <w:rFonts w:ascii="Arial" w:cs="Arial" w:eastAsia="Arial" w:hAnsi="Arial"/>
                <w:sz w:val="17"/>
                <w:szCs w:val="17"/>
                <w:color w:val="auto"/>
              </w:rPr>
              <w:t>(116,007)</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(12,214)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7"/>
                <w:szCs w:val="17"/>
                <w:color w:val="auto"/>
              </w:rPr>
              <w:t>Purchase of treasury stock</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(336,894)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9120" w:type="dxa"/>
            <w:vAlign w:val="bottom"/>
          </w:tcPr>
          <w:p>
            <w:pPr>
              <w:spacing w:after="0"/>
              <w:rPr>
                <w:sz w:val="20"/>
                <w:szCs w:val="20"/>
                <w:color w:val="auto"/>
              </w:rPr>
            </w:pPr>
            <w:r>
              <w:rPr>
                <w:rFonts w:ascii="Arial" w:cs="Arial" w:eastAsia="Arial" w:hAnsi="Arial"/>
                <w:sz w:val="17"/>
                <w:szCs w:val="17"/>
                <w:color w:val="auto"/>
              </w:rPr>
              <w:t>Dividends paid</w:t>
            </w: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w w:val="94"/>
              </w:rPr>
              <w:t>(1,075,962)</w:t>
            </w: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8"/>
              </w:rPr>
              <w:t>(1,068,375)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9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Net cash flows used in financing activities</w:t>
            </w:r>
          </w:p>
        </w:tc>
        <w:tc>
          <w:tcPr>
            <w:tcW w:w="2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w w:val="94"/>
              </w:rPr>
              <w:t>(1,191,969)</w:t>
            </w: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8"/>
              </w:rPr>
              <w:t>(1,729,676)</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9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7"/>
                <w:szCs w:val="17"/>
                <w:color w:val="auto"/>
              </w:rPr>
              <w:t>Decrease in cash and cash equivalents</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94"/>
              </w:rPr>
              <w:t>(5,373,923)</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(16,787,466)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9120" w:type="dxa"/>
            <w:vAlign w:val="bottom"/>
          </w:tcPr>
          <w:p>
            <w:pPr>
              <w:spacing w:after="0"/>
              <w:rPr>
                <w:sz w:val="20"/>
                <w:szCs w:val="20"/>
                <w:color w:val="auto"/>
              </w:rPr>
            </w:pPr>
            <w:r>
              <w:rPr>
                <w:rFonts w:ascii="Arial" w:cs="Arial" w:eastAsia="Arial" w:hAnsi="Arial"/>
                <w:sz w:val="17"/>
                <w:szCs w:val="17"/>
                <w:color w:val="auto"/>
              </w:rPr>
              <w:t>Cash and cash equivalents, beginning of period</w:t>
            </w: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w w:val="91"/>
              </w:rPr>
              <w:t>21,138,403</w:t>
            </w: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w w:val="93"/>
              </w:rPr>
              <w:t>48,381,633</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9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Cash and cash equivalents, end of period</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w w:val="91"/>
              </w:rPr>
              <w:t>15,764,480</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w w:val="93"/>
              </w:rPr>
              <w:t>31,594,167</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9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Supplemental disclosures of cash flow information:</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120" w:type="dxa"/>
            <w:vAlign w:val="bottom"/>
          </w:tcPr>
          <w:p>
            <w:pPr>
              <w:spacing w:after="0"/>
              <w:rPr>
                <w:sz w:val="20"/>
                <w:szCs w:val="20"/>
                <w:color w:val="auto"/>
              </w:rPr>
            </w:pPr>
            <w:r>
              <w:rPr>
                <w:rFonts w:ascii="Arial" w:cs="Arial" w:eastAsia="Arial" w:hAnsi="Arial"/>
                <w:sz w:val="17"/>
                <w:szCs w:val="17"/>
                <w:color w:val="auto"/>
              </w:rPr>
              <w:t>Cash paid for income taxes</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94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94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7"/>
                <w:szCs w:val="17"/>
                <w:color w:val="auto"/>
              </w:rPr>
              <w:t>Cash paid for interest</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See accompanying notes to condensed consolidated financial statements.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25106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ectPr>
          <w:pgSz w:w="11900" w:h="16838" w:orient="portrait"/>
          <w:cols w:equalWidth="0" w:num="1">
            <w:col w:w="11420"/>
          </w:cols>
          <w:pgMar w:left="240" w:top="519" w:right="239" w:bottom="1440" w:gutter="0" w:footer="0" w:header="0"/>
        </w:sectPr>
      </w:pPr>
    </w:p>
    <w:bookmarkStart w:id="8" w:name="page9"/>
    <w:bookmarkEnd w:id="8"/>
    <w:p>
      <w:pPr>
        <w:ind w:left="3620"/>
        <w:spacing w:after="0"/>
        <w:rPr>
          <w:sz w:val="20"/>
          <w:szCs w:val="20"/>
          <w:color w:val="auto"/>
        </w:rPr>
      </w:pPr>
      <w:r>
        <w:rPr>
          <w:rFonts w:ascii="Arial" w:cs="Arial" w:eastAsia="Arial" w:hAnsi="Arial"/>
          <w:sz w:val="17"/>
          <w:szCs w:val="17"/>
          <w:b w:val="1"/>
          <w:bCs w:val="1"/>
          <w:color w:val="auto"/>
        </w:rPr>
        <w:t>KINGSTONE COMPANIES, INC. AND SUBSIDIARIES</w:t>
      </w:r>
    </w:p>
    <w:p>
      <w:pPr>
        <w:spacing w:after="0" w:line="158" w:lineRule="exact"/>
        <w:rPr>
          <w:sz w:val="20"/>
          <w:szCs w:val="20"/>
          <w:color w:val="auto"/>
        </w:rPr>
      </w:pPr>
    </w:p>
    <w:p>
      <w:pPr>
        <w:ind w:left="2940"/>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1 - Nature of Business and Basis of Presentation</w:t>
      </w:r>
    </w:p>
    <w:p>
      <w:pPr>
        <w:spacing w:after="0" w:line="162"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Kingstone Companies, Inc. (referred to herein as "Kingstone" or the “Company”), through its wholly owned subsidiary, Kingstone Insurance Company (“KICO”), underwrites property and casualty insurance to small businesses and individuals exclusively through agents and brokers. KICO is a licensed insurance company in the States of New York, New Jersey, Rhode Island, Massachusetts, Pennsylvania, Connecticut, Maine and New Hampshire. KICO is currently offering its property and casualty insurance products in New York, New Jersey, Rhode Island, Massachusetts, Connecticut and Pennsylvania. Although New Jersey, Rhode Island, Massachusetts and Connecticut are now growing expansion markets for the Company, 91.4% and 97.2% of KICO’s direct written premiums for the three months ended March 31, 2019 and 2018, respectively, came from the New York policies.</w:t>
      </w:r>
    </w:p>
    <w:p>
      <w:pPr>
        <w:spacing w:after="0" w:line="124" w:lineRule="exact"/>
        <w:rPr>
          <w:sz w:val="20"/>
          <w:szCs w:val="20"/>
          <w:color w:val="auto"/>
        </w:rPr>
      </w:pPr>
    </w:p>
    <w:p>
      <w:pPr>
        <w:jc w:val="both"/>
        <w:spacing w:after="0" w:line="298" w:lineRule="auto"/>
        <w:rPr>
          <w:sz w:val="20"/>
          <w:szCs w:val="20"/>
          <w:color w:val="auto"/>
        </w:rPr>
      </w:pPr>
      <w:r>
        <w:rPr>
          <w:rFonts w:ascii="Arial" w:cs="Arial" w:eastAsia="Arial" w:hAnsi="Arial"/>
          <w:sz w:val="15"/>
          <w:szCs w:val="15"/>
          <w:color w:val="auto"/>
        </w:rPr>
        <w:t>The accompanying unaudited condensed consolidated financial statements have been prepared in accordance with accounting principles generally accepted in the United States (“GAAP”) for interim financial information and the instructions to Securities and Exchange Commission (“SEC”) Form 10-Q and Article 10 of SEC Regulation S-X. The principles for condensed interim financial information do not require the inclusion of all the information and footnotes required by generally accepted accounting principles for complete financial statements. Therefore, these condensed consolidated financial statements should be read in conjunction with the consolidated financial statements as of and for the year ended December 31, 2018 and notes thereto included in the Company’s Annual Report on Form 10-K filed with the SEC on March 18, 2019. The accompanying condensed consolidated financial statements have not been audited by an independent registered public accounting firm in accordance with standards of the Public Company Accounting Oversight Board (United States) but, in the opinion of management, such financial statements include all adjustments, consisting only of normal recurring adjustments, necessary for a fair statement of the Company’s financial position and results of operations. The results of operations for the three months ended March 31, 2019 may not be indicative of the results that may be expected for the year ending December 31, 2019.</w:t>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2 – Accounting Policies</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Use of Estimates</w:t>
      </w:r>
    </w:p>
    <w:p>
      <w:pPr>
        <w:spacing w:after="0" w:line="223"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these estimates and assumptions, which include the reserves for losses and loss adjustment expenses and are subject to estimation errors due to the inherent uncertainty in projecting ultimate claim amounts that will be reported and settled over a period of many years. In addition, estimates and assumptions associated with receivables under reinsurance contracts related to contingent ceding commission revenue require judgments by management. On an on-going basis, management reevaluates its assumptions and the methods for calculating these estimates. Actual results may differ significantly from the estimates and assumptions used in preparing the consolidated financial statements.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Principles of Consolidation</w:t>
      </w:r>
    </w:p>
    <w:p>
      <w:pPr>
        <w:spacing w:after="0" w:line="22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condensed consolidated financial statements consist of Kingstone and its wholly owned subsidiaries, as well as KICO and its wholly owned subsidiaries, CMIC Properties, Inc. (“Properties”) and 15 Joys Lane, LLC (“15 Joys Lane”), which together own the land and building from which KICO operates. All significant inter-company account balances and transactions have been eliminated in consolidation.</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Accounting Changes</w:t>
      </w:r>
    </w:p>
    <w:p>
      <w:pPr>
        <w:spacing w:after="0" w:line="158" w:lineRule="exact"/>
        <w:rPr>
          <w:sz w:val="20"/>
          <w:szCs w:val="20"/>
          <w:color w:val="auto"/>
        </w:rPr>
      </w:pPr>
    </w:p>
    <w:p>
      <w:pPr>
        <w:jc w:val="both"/>
        <w:spacing w:after="0" w:line="303" w:lineRule="auto"/>
        <w:rPr>
          <w:sz w:val="20"/>
          <w:szCs w:val="20"/>
          <w:color w:val="auto"/>
        </w:rPr>
      </w:pPr>
      <w:r>
        <w:rPr>
          <w:rFonts w:ascii="Arial" w:cs="Arial" w:eastAsia="Arial" w:hAnsi="Arial"/>
          <w:sz w:val="15"/>
          <w:szCs w:val="15"/>
          <w:color w:val="auto"/>
        </w:rPr>
        <w:t>In August 2018, the SEC adopted the final rule under SEC Release No. 33-10532, “Disclosure Update and Simplification,” amending certain disclosure requirements that were redundant, duplicative, overlapping, outdated or superseded. In addition, the amendments expanded the disclosure requirements on the analysis of stockholders' equity for interim financial statements. Under the amendments, an analysis of changes in each caption of stockholders' equity presented in the balance sheet must be provided in a note or separate statement. The analysis should present a reconciliation of the beginning balance to the ending balance of each period for which a statement of comprehensive income is required to be filed. This final rule was effective on November 5, 2018. The Company adopted the provisions of this Release effective January 1, 2019, and included the required presentation of changes in stockholders’ equity for the months ended March 31, 2019 and 2018.</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25106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ectPr>
          <w:pgSz w:w="11900" w:h="16838" w:orient="portrait"/>
          <w:cols w:equalWidth="0" w:num="1">
            <w:col w:w="11420"/>
          </w:cols>
          <w:pgMar w:left="240" w:top="493" w:right="239" w:bottom="1440" w:gutter="0" w:footer="0" w:header="0"/>
        </w:sectPr>
      </w:pPr>
    </w:p>
    <w:bookmarkStart w:id="9" w:name="page10"/>
    <w:bookmarkEnd w:id="9"/>
    <w:p>
      <w:pPr>
        <w:jc w:val="both"/>
        <w:spacing w:after="0" w:line="278" w:lineRule="auto"/>
        <w:rPr>
          <w:sz w:val="20"/>
          <w:szCs w:val="20"/>
          <w:color w:val="auto"/>
        </w:rPr>
      </w:pPr>
      <w:r>
        <w:rPr>
          <w:rFonts w:ascii="Arial" w:cs="Arial" w:eastAsia="Arial" w:hAnsi="Arial"/>
          <w:sz w:val="16"/>
          <w:szCs w:val="16"/>
          <w:color w:val="auto"/>
        </w:rPr>
        <w:t>In February 2016, the FASB issued ASU 2016-02 – Leases (Topic 842) (“ASU 2016-02”). Under this ASU, the Company recognized a right-of-use-asset and corresponding liability on the balance sheet for all leases, except for leases covering a period of fewer than 12 months. The liability has been measured at the present value of the future minimum lease payments taking into account renewal options if applicable plus initial incremental direct costs such as commissions. The minimum payments are discounted using the Company’s incremental borrowing rate. The Company adopted ASU 2016-02 effective January 1, 2019 using the cumulative effect adjustment transition method, which applies the provision of the standard at the effective date without adjusting the comparative periods presented. The adoption of the updated guidance resulted in the Company recognizing a right-of-use asset of $855,000 as part of other assets and a lease liability of $855,000 as part of accounts payable, accrued expenses and other liabilities in the condensed consolidated balance sheet. The right-of use-asset is amortized as rent expense on a straight line basis. The adoption of this ASU did not have a material effect on the Company's results of operations or liquidity.</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Accounting Pronouncements</w:t>
      </w:r>
    </w:p>
    <w:p>
      <w:pPr>
        <w:spacing w:after="0" w:line="158"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In June 2016, FASB issued ASU 2016-13 - Financial Instruments - Credit Losses (Topic 326): Measurement of Credit Losses on Financial Instruments (“ASU 2016-13”). The revised accounting guidance requires the measurement of all expected credit losses for financial assets held at the reporting date based on historical experience, current conditions, and reasonable and supportable forecasts and requires enhanced disclosures related to the significant estimates and judgments used in estimating credit losses, as well as the credit quality and underwriting standards of an organization’s portfolio. In addition, ASU 2016-13 amends the accounting for credit losses of available-for-sale debt securities and purchased financial assets with credit deterioration. ASU 2016-13 will be effective on January 1, 2020. The Company is currently evaluating the effect the updated guidance will have on its consolidated financial statements.</w:t>
      </w:r>
    </w:p>
    <w:p>
      <w:pPr>
        <w:spacing w:after="0" w:line="107" w:lineRule="exact"/>
        <w:rPr>
          <w:sz w:val="20"/>
          <w:szCs w:val="20"/>
          <w:color w:val="auto"/>
        </w:rPr>
      </w:pPr>
    </w:p>
    <w:p>
      <w:pPr>
        <w:jc w:val="both"/>
        <w:spacing w:after="0" w:line="281" w:lineRule="auto"/>
        <w:rPr>
          <w:sz w:val="20"/>
          <w:szCs w:val="20"/>
          <w:color w:val="auto"/>
        </w:rPr>
      </w:pPr>
      <w:r>
        <w:rPr>
          <w:rFonts w:ascii="Arial" w:cs="Arial" w:eastAsia="Arial" w:hAnsi="Arial"/>
          <w:sz w:val="17"/>
          <w:szCs w:val="17"/>
          <w:color w:val="auto"/>
        </w:rPr>
        <w:t>The Company has determined that all other recently issued accounting pronouncements will not have a material impact on its consolidated financial position, results of operations and cash flows, or do not apply to its operations.</w:t>
      </w:r>
    </w:p>
    <w:p>
      <w:pPr>
        <w:spacing w:after="0" w:line="1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3 - Investments</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Fixed-Maturity Securities</w:t>
      </w:r>
    </w:p>
    <w:p>
      <w:pPr>
        <w:spacing w:after="0" w:line="223" w:lineRule="exact"/>
        <w:rPr>
          <w:sz w:val="20"/>
          <w:szCs w:val="20"/>
          <w:color w:val="auto"/>
        </w:rPr>
      </w:pPr>
    </w:p>
    <w:p>
      <w:pPr>
        <w:spacing w:after="0" w:line="281" w:lineRule="auto"/>
        <w:rPr>
          <w:sz w:val="20"/>
          <w:szCs w:val="20"/>
          <w:color w:val="auto"/>
        </w:rPr>
      </w:pPr>
      <w:r>
        <w:rPr>
          <w:rFonts w:ascii="Arial" w:cs="Arial" w:eastAsia="Arial" w:hAnsi="Arial"/>
          <w:sz w:val="17"/>
          <w:szCs w:val="17"/>
          <w:color w:val="auto"/>
        </w:rPr>
        <w:t>The amortized cost, estimated fair value, and unrealized gains and losses of investments in fixed-maturity securities classified as available-for-sale as of March 31, 2019 and December 31, 2018 are summarized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20" w:type="dxa"/>
            <w:vAlign w:val="bottom"/>
          </w:tcPr>
          <w:p>
            <w:pPr>
              <w:spacing w:after="0"/>
              <w:rPr>
                <w:sz w:val="15"/>
                <w:szCs w:val="15"/>
                <w:color w:val="auto"/>
              </w:rPr>
            </w:pPr>
          </w:p>
        </w:tc>
        <w:tc>
          <w:tcPr>
            <w:tcW w:w="45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gridSpan w:val="3"/>
          </w:tcPr>
          <w:p>
            <w:pPr>
              <w:jc w:val="right"/>
              <w:ind w:right="577"/>
              <w:spacing w:after="0"/>
              <w:rPr>
                <w:sz w:val="20"/>
                <w:szCs w:val="20"/>
                <w:color w:val="auto"/>
              </w:rPr>
            </w:pPr>
            <w:r>
              <w:rPr>
                <w:rFonts w:ascii="Arial" w:cs="Arial" w:eastAsia="Arial" w:hAnsi="Arial"/>
                <w:sz w:val="14"/>
                <w:szCs w:val="14"/>
                <w:b w:val="1"/>
                <w:bCs w:val="1"/>
                <w:color w:val="auto"/>
              </w:rPr>
              <w:t>March 31, 2019</w:t>
            </w:r>
          </w:p>
        </w:tc>
        <w:tc>
          <w:tcPr>
            <w:tcW w:w="11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center"/>
              <w:ind w:right="141"/>
              <w:spacing w:after="0"/>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center"/>
              <w:ind w:right="142"/>
              <w:spacing w:after="0"/>
              <w:rPr>
                <w:sz w:val="20"/>
                <w:szCs w:val="20"/>
                <w:color w:val="auto"/>
              </w:rPr>
            </w:pPr>
            <w:r>
              <w:rPr>
                <w:rFonts w:ascii="Arial" w:cs="Arial" w:eastAsia="Arial" w:hAnsi="Arial"/>
                <w:sz w:val="14"/>
                <w:szCs w:val="14"/>
                <w:b w:val="1"/>
                <w:bCs w:val="1"/>
                <w:color w:val="auto"/>
                <w:w w:val="89"/>
              </w:rPr>
              <w:t>Cost or</w:t>
            </w:r>
          </w:p>
        </w:tc>
        <w:tc>
          <w:tcPr>
            <w:tcW w:w="220" w:type="dxa"/>
            <w:vAlign w:val="bottom"/>
          </w:tcPr>
          <w:p>
            <w:pPr>
              <w:spacing w:after="0"/>
              <w:rPr>
                <w:sz w:val="17"/>
                <w:szCs w:val="17"/>
                <w:color w:val="auto"/>
              </w:rPr>
            </w:pPr>
          </w:p>
        </w:tc>
        <w:tc>
          <w:tcPr>
            <w:tcW w:w="920" w:type="dxa"/>
            <w:vAlign w:val="bottom"/>
          </w:tcPr>
          <w:p>
            <w:pPr>
              <w:jc w:val="center"/>
              <w:ind w:right="160"/>
              <w:spacing w:after="0"/>
              <w:rPr>
                <w:sz w:val="20"/>
                <w:szCs w:val="20"/>
                <w:color w:val="auto"/>
              </w:rPr>
            </w:pPr>
            <w:r>
              <w:rPr>
                <w:rFonts w:ascii="Arial" w:cs="Arial" w:eastAsia="Arial" w:hAnsi="Arial"/>
                <w:sz w:val="14"/>
                <w:szCs w:val="14"/>
                <w:b w:val="1"/>
                <w:bCs w:val="1"/>
                <w:color w:val="auto"/>
                <w:w w:val="88"/>
              </w:rPr>
              <w:t>Gross</w:t>
            </w:r>
          </w:p>
        </w:tc>
        <w:tc>
          <w:tcPr>
            <w:tcW w:w="26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gridSpan w:val="3"/>
          </w:tcPr>
          <w:p>
            <w:pPr>
              <w:jc w:val="right"/>
              <w:ind w:right="297"/>
              <w:spacing w:after="0"/>
              <w:rPr>
                <w:sz w:val="20"/>
                <w:szCs w:val="20"/>
                <w:color w:val="auto"/>
              </w:rPr>
            </w:pPr>
            <w:r>
              <w:rPr>
                <w:rFonts w:ascii="Arial" w:cs="Arial" w:eastAsia="Arial" w:hAnsi="Arial"/>
                <w:sz w:val="14"/>
                <w:szCs w:val="14"/>
                <w:b w:val="1"/>
                <w:bCs w:val="1"/>
                <w:color w:val="auto"/>
                <w:w w:val="95"/>
              </w:rPr>
              <w:t>Gross Unrealized Losses</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2"/>
              </w:rPr>
              <w:t>Estimated</w:t>
            </w:r>
          </w:p>
        </w:tc>
        <w:tc>
          <w:tcPr>
            <w:tcW w:w="220" w:type="dxa"/>
            <w:vAlign w:val="bottom"/>
          </w:tcPr>
          <w:p>
            <w:pPr>
              <w:spacing w:after="0"/>
              <w:rPr>
                <w:sz w:val="17"/>
                <w:szCs w:val="17"/>
                <w:color w:val="auto"/>
              </w:rPr>
            </w:pPr>
          </w:p>
        </w:tc>
        <w:tc>
          <w:tcPr>
            <w:tcW w:w="920" w:type="dxa"/>
            <w:vAlign w:val="bottom"/>
          </w:tcPr>
          <w:p>
            <w:pPr>
              <w:jc w:val="center"/>
              <w:ind w:right="141"/>
              <w:spacing w:after="0"/>
              <w:rPr>
                <w:sz w:val="20"/>
                <w:szCs w:val="20"/>
                <w:color w:val="auto"/>
              </w:rPr>
            </w:pPr>
            <w:r>
              <w:rPr>
                <w:rFonts w:ascii="Arial" w:cs="Arial" w:eastAsia="Arial" w:hAnsi="Arial"/>
                <w:sz w:val="14"/>
                <w:szCs w:val="14"/>
                <w:b w:val="1"/>
                <w:bCs w:val="1"/>
                <w:color w:val="auto"/>
                <w:w w:val="93"/>
              </w:rPr>
              <w:t>Unrealized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center"/>
              <w:ind w:right="142"/>
              <w:spacing w:after="0"/>
              <w:rPr>
                <w:sz w:val="20"/>
                <w:szCs w:val="20"/>
                <w:color w:val="auto"/>
              </w:rPr>
            </w:pPr>
            <w:r>
              <w:rPr>
                <w:rFonts w:ascii="Arial" w:cs="Arial" w:eastAsia="Arial" w:hAnsi="Arial"/>
                <w:sz w:val="14"/>
                <w:szCs w:val="14"/>
                <w:b w:val="1"/>
                <w:bCs w:val="1"/>
                <w:color w:val="auto"/>
                <w:w w:val="93"/>
              </w:rPr>
              <w:t>Amortized</w:t>
            </w:r>
          </w:p>
        </w:tc>
        <w:tc>
          <w:tcPr>
            <w:tcW w:w="220" w:type="dxa"/>
            <w:vAlign w:val="bottom"/>
          </w:tcPr>
          <w:p>
            <w:pPr>
              <w:spacing w:after="0"/>
              <w:rPr>
                <w:sz w:val="17"/>
                <w:szCs w:val="17"/>
                <w:color w:val="auto"/>
              </w:rPr>
            </w:pPr>
          </w:p>
        </w:tc>
        <w:tc>
          <w:tcPr>
            <w:tcW w:w="920" w:type="dxa"/>
            <w:vAlign w:val="bottom"/>
          </w:tcPr>
          <w:p>
            <w:pPr>
              <w:jc w:val="center"/>
              <w:ind w:right="160"/>
              <w:spacing w:after="0"/>
              <w:rPr>
                <w:sz w:val="20"/>
                <w:szCs w:val="20"/>
                <w:color w:val="auto"/>
              </w:rPr>
            </w:pPr>
            <w:r>
              <w:rPr>
                <w:rFonts w:ascii="Arial" w:cs="Arial" w:eastAsia="Arial" w:hAnsi="Arial"/>
                <w:sz w:val="14"/>
                <w:szCs w:val="14"/>
                <w:b w:val="1"/>
                <w:bCs w:val="1"/>
                <w:color w:val="auto"/>
                <w:w w:val="95"/>
              </w:rPr>
              <w:t>Unrealized</w:t>
            </w:r>
          </w:p>
        </w:tc>
        <w:tc>
          <w:tcPr>
            <w:tcW w:w="116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Less than 12</w:t>
            </w:r>
          </w:p>
        </w:tc>
        <w:tc>
          <w:tcPr>
            <w:tcW w:w="1100" w:type="dxa"/>
            <w:vAlign w:val="bottom"/>
            <w:gridSpan w:val="2"/>
          </w:tcPr>
          <w:p>
            <w:pPr>
              <w:jc w:val="right"/>
              <w:ind w:right="57"/>
              <w:spacing w:after="0"/>
              <w:rPr>
                <w:sz w:val="20"/>
                <w:szCs w:val="20"/>
                <w:color w:val="auto"/>
              </w:rPr>
            </w:pPr>
            <w:r>
              <w:rPr>
                <w:rFonts w:ascii="Arial" w:cs="Arial" w:eastAsia="Arial" w:hAnsi="Arial"/>
                <w:sz w:val="14"/>
                <w:szCs w:val="14"/>
                <w:b w:val="1"/>
                <w:bCs w:val="1"/>
                <w:color w:val="auto"/>
              </w:rPr>
              <w:t>More than 12</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Fair</w:t>
            </w:r>
          </w:p>
        </w:tc>
        <w:tc>
          <w:tcPr>
            <w:tcW w:w="220" w:type="dxa"/>
            <w:vAlign w:val="bottom"/>
          </w:tcPr>
          <w:p>
            <w:pPr>
              <w:spacing w:after="0"/>
              <w:rPr>
                <w:sz w:val="17"/>
                <w:szCs w:val="17"/>
                <w:color w:val="auto"/>
              </w:rPr>
            </w:pPr>
          </w:p>
        </w:tc>
        <w:tc>
          <w:tcPr>
            <w:tcW w:w="920" w:type="dxa"/>
            <w:vAlign w:val="bottom"/>
          </w:tcPr>
          <w:p>
            <w:pPr>
              <w:jc w:val="center"/>
              <w:ind w:right="121"/>
              <w:spacing w:after="0"/>
              <w:rPr>
                <w:sz w:val="20"/>
                <w:szCs w:val="20"/>
                <w:color w:val="auto"/>
              </w:rPr>
            </w:pPr>
            <w:r>
              <w:rPr>
                <w:rFonts w:ascii="Arial" w:cs="Arial" w:eastAsia="Arial" w:hAnsi="Arial"/>
                <w:sz w:val="14"/>
                <w:szCs w:val="14"/>
                <w:b w:val="1"/>
                <w:bCs w:val="1"/>
                <w:color w:val="auto"/>
                <w:w w:val="93"/>
              </w:rPr>
              <w:t>Gains/</w:t>
            </w:r>
          </w:p>
        </w:tc>
        <w:tc>
          <w:tcPr>
            <w:tcW w:w="0" w:type="dxa"/>
            <w:vAlign w:val="bottom"/>
          </w:tcPr>
          <w:p>
            <w:pPr>
              <w:spacing w:after="0"/>
              <w:rPr>
                <w:sz w:val="1"/>
                <w:szCs w:val="1"/>
                <w:color w:val="auto"/>
              </w:rPr>
            </w:pPr>
          </w:p>
        </w:tc>
      </w:tr>
      <w:tr>
        <w:trPr>
          <w:trHeight w:val="177"/>
        </w:trPr>
        <w:tc>
          <w:tcPr>
            <w:tcW w:w="45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Category</w:t>
            </w: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142"/>
              <w:spacing w:after="0"/>
              <w:rPr>
                <w:sz w:val="20"/>
                <w:szCs w:val="20"/>
                <w:color w:val="auto"/>
              </w:rPr>
            </w:pPr>
            <w:r>
              <w:rPr>
                <w:rFonts w:ascii="Arial" w:cs="Arial" w:eastAsia="Arial" w:hAnsi="Arial"/>
                <w:sz w:val="14"/>
                <w:szCs w:val="14"/>
                <w:b w:val="1"/>
                <w:bCs w:val="1"/>
                <w:color w:val="auto"/>
                <w:w w:val="89"/>
              </w:rPr>
              <w:t>Cost</w:t>
            </w: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160"/>
              <w:spacing w:after="0"/>
              <w:rPr>
                <w:sz w:val="20"/>
                <w:szCs w:val="20"/>
                <w:color w:val="auto"/>
              </w:rPr>
            </w:pPr>
            <w:r>
              <w:rPr>
                <w:rFonts w:ascii="Arial" w:cs="Arial" w:eastAsia="Arial" w:hAnsi="Arial"/>
                <w:sz w:val="14"/>
                <w:szCs w:val="14"/>
                <w:b w:val="1"/>
                <w:bCs w:val="1"/>
                <w:color w:val="auto"/>
                <w:w w:val="92"/>
              </w:rPr>
              <w:t>Gains</w:t>
            </w: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Months</w:t>
            </w:r>
          </w:p>
        </w:tc>
        <w:tc>
          <w:tcPr>
            <w:tcW w:w="2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Months</w:t>
            </w: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Value</w:t>
            </w: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141"/>
              <w:spacing w:after="0"/>
              <w:rPr>
                <w:sz w:val="20"/>
                <w:szCs w:val="20"/>
                <w:color w:val="auto"/>
              </w:rPr>
            </w:pPr>
            <w:r>
              <w:rPr>
                <w:rFonts w:ascii="Arial" w:cs="Arial" w:eastAsia="Arial" w:hAnsi="Arial"/>
                <w:sz w:val="14"/>
                <w:szCs w:val="14"/>
                <w:b w:val="1"/>
                <w:bCs w:val="1"/>
                <w:color w:val="auto"/>
                <w:w w:val="86"/>
              </w:rPr>
              <w:t>(Losses)</w:t>
            </w:r>
          </w:p>
        </w:tc>
        <w:tc>
          <w:tcPr>
            <w:tcW w:w="0" w:type="dxa"/>
            <w:vAlign w:val="bottom"/>
          </w:tcPr>
          <w:p>
            <w:pPr>
              <w:spacing w:after="0"/>
              <w:rPr>
                <w:sz w:val="1"/>
                <w:szCs w:val="1"/>
                <w:color w:val="auto"/>
              </w:rPr>
            </w:pPr>
          </w:p>
        </w:tc>
      </w:tr>
      <w:tr>
        <w:trPr>
          <w:trHeight w:val="470"/>
        </w:trPr>
        <w:tc>
          <w:tcPr>
            <w:tcW w:w="4580" w:type="dxa"/>
            <w:vAlign w:val="bottom"/>
            <w:gridSpan w:val="2"/>
          </w:tcPr>
          <w:p>
            <w:pPr>
              <w:spacing w:after="0"/>
              <w:rPr>
                <w:sz w:val="20"/>
                <w:szCs w:val="20"/>
                <w:color w:val="auto"/>
              </w:rPr>
            </w:pPr>
            <w:r>
              <w:rPr>
                <w:rFonts w:ascii="Arial" w:cs="Arial" w:eastAsia="Arial" w:hAnsi="Arial"/>
                <w:sz w:val="17"/>
                <w:szCs w:val="17"/>
                <w:b w:val="1"/>
                <w:bCs w:val="1"/>
                <w:color w:val="auto"/>
              </w:rPr>
              <w:t>Fixed-Maturity Securities:</w:t>
            </w: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7"/>
                <w:szCs w:val="17"/>
                <w:color w:val="auto"/>
              </w:rPr>
              <w:t>U.S. Treasury securities and obligations of U.S. government</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5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corporations and agencies</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ind w:right="42"/>
              <w:spacing w:after="0"/>
              <w:rPr>
                <w:sz w:val="20"/>
                <w:szCs w:val="20"/>
                <w:color w:val="auto"/>
              </w:rPr>
            </w:pPr>
            <w:r>
              <w:rPr>
                <w:rFonts w:ascii="Arial" w:cs="Arial" w:eastAsia="Arial" w:hAnsi="Arial"/>
                <w:sz w:val="17"/>
                <w:szCs w:val="17"/>
                <w:color w:val="auto"/>
              </w:rPr>
              <w:t>8,229,100</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ind w:right="40"/>
              <w:spacing w:after="0"/>
              <w:rPr>
                <w:sz w:val="20"/>
                <w:szCs w:val="20"/>
                <w:color w:val="auto"/>
              </w:rPr>
            </w:pPr>
            <w:r>
              <w:rPr>
                <w:rFonts w:ascii="Arial" w:cs="Arial" w:eastAsia="Arial" w:hAnsi="Arial"/>
                <w:sz w:val="17"/>
                <w:szCs w:val="17"/>
                <w:color w:val="auto"/>
              </w:rPr>
              <w:t>70,628</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(9,784)</w:t>
            </w:r>
          </w:p>
        </w:tc>
        <w:tc>
          <w:tcPr>
            <w:tcW w:w="1140" w:type="dxa"/>
            <w:vAlign w:val="bottom"/>
            <w:shd w:val="clear" w:color="auto" w:fill="CCEEFF"/>
          </w:tcPr>
          <w:p>
            <w:pPr>
              <w:jc w:val="right"/>
              <w:ind w:right="20"/>
              <w:spacing w:after="0"/>
              <w:rPr>
                <w:sz w:val="20"/>
                <w:szCs w:val="20"/>
                <w:color w:val="auto"/>
              </w:rPr>
            </w:pPr>
            <w:r>
              <w:rPr>
                <w:rFonts w:ascii="Arial" w:cs="Arial" w:eastAsia="Arial" w:hAnsi="Arial"/>
                <w:sz w:val="17"/>
                <w:szCs w:val="17"/>
                <w:color w:val="auto"/>
              </w:rPr>
              <w:t>$  8,289,944</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ind w:right="41"/>
              <w:spacing w:after="0"/>
              <w:rPr>
                <w:sz w:val="20"/>
                <w:szCs w:val="20"/>
                <w:color w:val="auto"/>
              </w:rPr>
            </w:pPr>
            <w:r>
              <w:rPr>
                <w:rFonts w:ascii="Arial" w:cs="Arial" w:eastAsia="Arial" w:hAnsi="Arial"/>
                <w:sz w:val="17"/>
                <w:szCs w:val="17"/>
                <w:color w:val="auto"/>
              </w:rPr>
              <w:t>60,844</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7"/>
                <w:szCs w:val="17"/>
                <w:color w:val="auto"/>
              </w:rPr>
              <w:t>Political subdivisions of States,</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7"/>
                <w:szCs w:val="17"/>
                <w:color w:val="auto"/>
              </w:rPr>
              <w:t>Territories and Possessions</w:t>
            </w:r>
          </w:p>
        </w:tc>
        <w:tc>
          <w:tcPr>
            <w:tcW w:w="220" w:type="dxa"/>
            <w:vAlign w:val="bottom"/>
          </w:tcPr>
          <w:p>
            <w:pPr>
              <w:spacing w:after="0"/>
              <w:rPr>
                <w:sz w:val="18"/>
                <w:szCs w:val="18"/>
                <w:color w:val="auto"/>
              </w:rPr>
            </w:pPr>
          </w:p>
        </w:tc>
        <w:tc>
          <w:tcPr>
            <w:tcW w:w="940" w:type="dxa"/>
            <w:vAlign w:val="bottom"/>
          </w:tcPr>
          <w:p>
            <w:pPr>
              <w:jc w:val="right"/>
              <w:ind w:right="42"/>
              <w:spacing w:after="0"/>
              <w:rPr>
                <w:sz w:val="20"/>
                <w:szCs w:val="20"/>
                <w:color w:val="auto"/>
              </w:rPr>
            </w:pPr>
            <w:r>
              <w:rPr>
                <w:rFonts w:ascii="Arial" w:cs="Arial" w:eastAsia="Arial" w:hAnsi="Arial"/>
                <w:sz w:val="17"/>
                <w:szCs w:val="17"/>
                <w:color w:val="auto"/>
              </w:rPr>
              <w:t>5,688,302</w:t>
            </w:r>
          </w:p>
        </w:tc>
        <w:tc>
          <w:tcPr>
            <w:tcW w:w="220" w:type="dxa"/>
            <w:vAlign w:val="bottom"/>
          </w:tcPr>
          <w:p>
            <w:pPr>
              <w:spacing w:after="0"/>
              <w:rPr>
                <w:sz w:val="18"/>
                <w:szCs w:val="18"/>
                <w:color w:val="auto"/>
              </w:rPr>
            </w:pPr>
          </w:p>
        </w:tc>
        <w:tc>
          <w:tcPr>
            <w:tcW w:w="920" w:type="dxa"/>
            <w:vAlign w:val="bottom"/>
          </w:tcPr>
          <w:p>
            <w:pPr>
              <w:jc w:val="right"/>
              <w:ind w:right="40"/>
              <w:spacing w:after="0"/>
              <w:rPr>
                <w:sz w:val="20"/>
                <w:szCs w:val="20"/>
                <w:color w:val="auto"/>
              </w:rPr>
            </w:pPr>
            <w:r>
              <w:rPr>
                <w:rFonts w:ascii="Arial" w:cs="Arial" w:eastAsia="Arial" w:hAnsi="Arial"/>
                <w:sz w:val="17"/>
                <w:szCs w:val="17"/>
                <w:color w:val="auto"/>
              </w:rPr>
              <w:t>117,032</w:t>
            </w:r>
          </w:p>
        </w:tc>
        <w:tc>
          <w:tcPr>
            <w:tcW w:w="260" w:type="dxa"/>
            <w:vAlign w:val="bottom"/>
          </w:tcPr>
          <w:p>
            <w:pPr>
              <w:spacing w:after="0"/>
              <w:rPr>
                <w:sz w:val="18"/>
                <w:szCs w:val="18"/>
                <w:color w:val="auto"/>
              </w:rPr>
            </w:pPr>
          </w:p>
        </w:tc>
        <w:tc>
          <w:tcPr>
            <w:tcW w:w="900" w:type="dxa"/>
            <w:vAlign w:val="bottom"/>
          </w:tcPr>
          <w:p>
            <w:pPr>
              <w:jc w:val="right"/>
              <w:ind w:right="6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(6,230)</w:t>
            </w:r>
          </w:p>
        </w:tc>
        <w:tc>
          <w:tcPr>
            <w:tcW w:w="1140" w:type="dxa"/>
            <w:vAlign w:val="bottom"/>
          </w:tcPr>
          <w:p>
            <w:pPr>
              <w:jc w:val="right"/>
              <w:ind w:right="20"/>
              <w:spacing w:after="0"/>
              <w:rPr>
                <w:sz w:val="20"/>
                <w:szCs w:val="20"/>
                <w:color w:val="auto"/>
              </w:rPr>
            </w:pPr>
            <w:r>
              <w:rPr>
                <w:rFonts w:ascii="Arial" w:cs="Arial" w:eastAsia="Arial" w:hAnsi="Arial"/>
                <w:sz w:val="17"/>
                <w:szCs w:val="17"/>
                <w:color w:val="auto"/>
              </w:rPr>
              <w:t>5,799,104</w:t>
            </w:r>
          </w:p>
        </w:tc>
        <w:tc>
          <w:tcPr>
            <w:tcW w:w="220" w:type="dxa"/>
            <w:vAlign w:val="bottom"/>
          </w:tcPr>
          <w:p>
            <w:pPr>
              <w:spacing w:after="0"/>
              <w:rPr>
                <w:sz w:val="18"/>
                <w:szCs w:val="18"/>
                <w:color w:val="auto"/>
              </w:rPr>
            </w:pPr>
          </w:p>
        </w:tc>
        <w:tc>
          <w:tcPr>
            <w:tcW w:w="920" w:type="dxa"/>
            <w:vAlign w:val="bottom"/>
          </w:tcPr>
          <w:p>
            <w:pPr>
              <w:jc w:val="right"/>
              <w:ind w:right="41"/>
              <w:spacing w:after="0"/>
              <w:rPr>
                <w:sz w:val="20"/>
                <w:szCs w:val="20"/>
                <w:color w:val="auto"/>
              </w:rPr>
            </w:pPr>
            <w:r>
              <w:rPr>
                <w:rFonts w:ascii="Arial" w:cs="Arial" w:eastAsia="Arial" w:hAnsi="Arial"/>
                <w:sz w:val="17"/>
                <w:szCs w:val="17"/>
                <w:color w:val="auto"/>
              </w:rPr>
              <w:t>110,802</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7"/>
                <w:szCs w:val="17"/>
                <w:color w:val="auto"/>
              </w:rPr>
              <w:t>Corporate and other bonds</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7"/>
                <w:szCs w:val="17"/>
                <w:color w:val="auto"/>
              </w:rPr>
              <w:t>Industrial and miscellaneous</w:t>
            </w:r>
          </w:p>
        </w:tc>
        <w:tc>
          <w:tcPr>
            <w:tcW w:w="1160" w:type="dxa"/>
            <w:vAlign w:val="bottom"/>
            <w:gridSpan w:val="2"/>
            <w:shd w:val="clear" w:color="auto" w:fill="CCEEFF"/>
          </w:tcPr>
          <w:p>
            <w:pPr>
              <w:jc w:val="right"/>
              <w:ind w:right="42"/>
              <w:spacing w:after="0"/>
              <w:rPr>
                <w:sz w:val="20"/>
                <w:szCs w:val="20"/>
                <w:color w:val="auto"/>
              </w:rPr>
            </w:pPr>
            <w:r>
              <w:rPr>
                <w:rFonts w:ascii="Arial" w:cs="Arial" w:eastAsia="Arial" w:hAnsi="Arial"/>
                <w:sz w:val="17"/>
                <w:szCs w:val="17"/>
                <w:color w:val="auto"/>
              </w:rPr>
              <w:t>124,354,135</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40"/>
              <w:spacing w:after="0"/>
              <w:rPr>
                <w:sz w:val="20"/>
                <w:szCs w:val="20"/>
                <w:color w:val="auto"/>
              </w:rPr>
            </w:pPr>
            <w:r>
              <w:rPr>
                <w:rFonts w:ascii="Arial" w:cs="Arial" w:eastAsia="Arial" w:hAnsi="Arial"/>
                <w:sz w:val="17"/>
                <w:szCs w:val="17"/>
                <w:color w:val="auto"/>
              </w:rPr>
              <w:t>1,368,129</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(57,955)</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(710,936)</w:t>
            </w:r>
          </w:p>
        </w:tc>
        <w:tc>
          <w:tcPr>
            <w:tcW w:w="1140" w:type="dxa"/>
            <w:vAlign w:val="bottom"/>
            <w:shd w:val="clear" w:color="auto" w:fill="CCEEFF"/>
          </w:tcPr>
          <w:p>
            <w:pPr>
              <w:jc w:val="right"/>
              <w:ind w:right="20"/>
              <w:spacing w:after="0"/>
              <w:rPr>
                <w:sz w:val="20"/>
                <w:szCs w:val="20"/>
                <w:color w:val="auto"/>
              </w:rPr>
            </w:pPr>
            <w:r>
              <w:rPr>
                <w:rFonts w:ascii="Arial" w:cs="Arial" w:eastAsia="Arial" w:hAnsi="Arial"/>
                <w:sz w:val="17"/>
                <w:szCs w:val="17"/>
                <w:color w:val="auto"/>
              </w:rPr>
              <w:t>124,953,373</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41"/>
              <w:spacing w:after="0"/>
              <w:rPr>
                <w:sz w:val="20"/>
                <w:szCs w:val="20"/>
                <w:color w:val="auto"/>
              </w:rPr>
            </w:pPr>
            <w:r>
              <w:rPr>
                <w:rFonts w:ascii="Arial" w:cs="Arial" w:eastAsia="Arial" w:hAnsi="Arial"/>
                <w:sz w:val="17"/>
                <w:szCs w:val="17"/>
                <w:color w:val="auto"/>
              </w:rPr>
              <w:t>599,238</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7"/>
                <w:szCs w:val="17"/>
                <w:color w:val="auto"/>
              </w:rPr>
              <w:t>Residential mortgage and other</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60" w:type="dxa"/>
            <w:vAlign w:val="bottom"/>
          </w:tcPr>
          <w:p>
            <w:pPr>
              <w:ind w:left="140"/>
              <w:spacing w:after="0"/>
              <w:rPr>
                <w:sz w:val="20"/>
                <w:szCs w:val="20"/>
                <w:color w:val="auto"/>
              </w:rPr>
            </w:pPr>
            <w:r>
              <w:rPr>
                <w:rFonts w:ascii="Arial" w:cs="Arial" w:eastAsia="Arial" w:hAnsi="Arial"/>
                <w:sz w:val="17"/>
                <w:szCs w:val="17"/>
                <w:color w:val="auto"/>
              </w:rPr>
              <w:t>asset backed securities (1)</w:t>
            </w: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2"/>
              <w:spacing w:after="0"/>
              <w:rPr>
                <w:sz w:val="20"/>
                <w:szCs w:val="20"/>
                <w:color w:val="auto"/>
              </w:rPr>
            </w:pPr>
            <w:r>
              <w:rPr>
                <w:rFonts w:ascii="Arial" w:cs="Arial" w:eastAsia="Arial" w:hAnsi="Arial"/>
                <w:sz w:val="17"/>
                <w:szCs w:val="17"/>
                <w:color w:val="auto"/>
                <w:w w:val="93"/>
              </w:rPr>
              <w:t>21,648,213</w:t>
            </w: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7"/>
                <w:szCs w:val="17"/>
                <w:color w:val="auto"/>
              </w:rPr>
              <w:t>271,364</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(95,026)</w:t>
            </w: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(389,820)</w:t>
            </w:r>
          </w:p>
        </w:tc>
        <w:tc>
          <w:tcPr>
            <w:tcW w:w="1140" w:type="dxa"/>
            <w:vAlign w:val="bottom"/>
            <w:tcBorders>
              <w:bottom w:val="single" w:sz="8" w:color="auto"/>
            </w:tcBorders>
          </w:tcPr>
          <w:p>
            <w:pPr>
              <w:jc w:val="right"/>
              <w:ind w:right="20"/>
              <w:spacing w:after="0"/>
              <w:rPr>
                <w:sz w:val="20"/>
                <w:szCs w:val="20"/>
                <w:color w:val="auto"/>
              </w:rPr>
            </w:pPr>
            <w:r>
              <w:rPr>
                <w:rFonts w:ascii="Arial" w:cs="Arial" w:eastAsia="Arial" w:hAnsi="Arial"/>
                <w:sz w:val="17"/>
                <w:szCs w:val="17"/>
                <w:color w:val="auto"/>
              </w:rPr>
              <w:t>21,434,731</w:t>
            </w: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(213,482)</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Total</w:t>
            </w:r>
          </w:p>
        </w:tc>
        <w:tc>
          <w:tcPr>
            <w:tcW w:w="1160" w:type="dxa"/>
            <w:vAlign w:val="bottom"/>
            <w:tcBorders>
              <w:bottom w:val="single" w:sz="8" w:color="auto"/>
            </w:tcBorders>
            <w:gridSpan w:val="2"/>
            <w:shd w:val="clear" w:color="auto" w:fill="CCEEFF"/>
          </w:tcPr>
          <w:p>
            <w:pPr>
              <w:jc w:val="right"/>
              <w:ind w:right="42"/>
              <w:spacing w:after="0"/>
              <w:rPr>
                <w:sz w:val="20"/>
                <w:szCs w:val="20"/>
                <w:color w:val="auto"/>
              </w:rPr>
            </w:pPr>
            <w:r>
              <w:rPr>
                <w:rFonts w:ascii="Arial" w:cs="Arial" w:eastAsia="Arial" w:hAnsi="Arial"/>
                <w:sz w:val="17"/>
                <w:szCs w:val="17"/>
                <w:color w:val="auto"/>
                <w:w w:val="98"/>
              </w:rPr>
              <w:t>$159,919,750</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7"/>
                <w:szCs w:val="17"/>
                <w:color w:val="auto"/>
              </w:rPr>
              <w:t>1,827,153</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(152,981)</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4"/>
              </w:rPr>
              <w:t>(1,116,770)</w:t>
            </w:r>
          </w:p>
        </w:tc>
        <w:tc>
          <w:tcPr>
            <w:tcW w:w="11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7"/>
                <w:szCs w:val="17"/>
                <w:color w:val="auto"/>
                <w:w w:val="98"/>
              </w:rPr>
              <w:t>$160,477,152</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7"/>
                <w:szCs w:val="17"/>
                <w:color w:val="auto"/>
              </w:rPr>
              <w:t>557,402</w:t>
            </w: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ind w:left="640" w:hanging="321"/>
        <w:spacing w:after="0" w:line="286" w:lineRule="auto"/>
        <w:tabs>
          <w:tab w:leader="none" w:pos="640" w:val="left"/>
        </w:tabs>
        <w:numPr>
          <w:ilvl w:val="0"/>
          <w:numId w:val="5"/>
        </w:numPr>
        <w:rPr>
          <w:rFonts w:ascii="Arial" w:cs="Arial" w:eastAsia="Arial" w:hAnsi="Arial"/>
          <w:sz w:val="16"/>
          <w:szCs w:val="16"/>
          <w:color w:val="auto"/>
        </w:rPr>
      </w:pPr>
      <w:r>
        <w:rPr>
          <w:rFonts w:ascii="Arial" w:cs="Arial" w:eastAsia="Arial" w:hAnsi="Arial"/>
          <w:sz w:val="16"/>
          <w:szCs w:val="16"/>
          <w:color w:val="auto"/>
        </w:rPr>
        <w:t>In 2017, KICO placed certain residential mortgage backed securities as eligible collateral in a designated custodian account related to its membership in the Federal Home Loan Bank of New York ("FHLBNY") (See Note 7). The eligible collateral would be pledged to FHLBNY if KICO draws an advance from the FHBLNY credit line. As of March 31, 2019, the estimated fair value of the eligible investments was approximately $5,553,000. KICO will retain all rights regarding all securities if pledged as collateral. As of March 31, 2019, there was no outstanding balance on the FHLBNY credit line.</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25106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ectPr>
          <w:pgSz w:w="11900" w:h="16838" w:orient="portrait"/>
          <w:cols w:equalWidth="0" w:num="1">
            <w:col w:w="11420"/>
          </w:cols>
          <w:pgMar w:left="240" w:top="497" w:right="2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77"/>
        </w:trPr>
        <w:tc>
          <w:tcPr>
            <w:tcW w:w="20" w:type="dxa"/>
            <w:vAlign w:val="bottom"/>
          </w:tcPr>
          <w:p>
            <w:pPr>
              <w:spacing w:after="0"/>
              <w:rPr>
                <w:sz w:val="15"/>
                <w:szCs w:val="15"/>
                <w:color w:val="auto"/>
              </w:rPr>
            </w:pPr>
          </w:p>
        </w:tc>
        <w:tc>
          <w:tcPr>
            <w:tcW w:w="45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gridSpan w:val="3"/>
          </w:tcPr>
          <w:p>
            <w:pPr>
              <w:jc w:val="right"/>
              <w:ind w:right="477"/>
              <w:spacing w:after="0"/>
              <w:rPr>
                <w:sz w:val="20"/>
                <w:szCs w:val="20"/>
                <w:color w:val="auto"/>
              </w:rPr>
            </w:pPr>
            <w:r>
              <w:rPr>
                <w:rFonts w:ascii="Arial" w:cs="Arial" w:eastAsia="Arial" w:hAnsi="Arial"/>
                <w:sz w:val="14"/>
                <w:szCs w:val="14"/>
                <w:b w:val="1"/>
                <w:bCs w:val="1"/>
                <w:color w:val="auto"/>
              </w:rPr>
              <w:t>December 31, 2018</w:t>
            </w:r>
          </w:p>
        </w:tc>
        <w:tc>
          <w:tcPr>
            <w:tcW w:w="11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center"/>
              <w:ind w:right="141"/>
              <w:spacing w:after="0"/>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center"/>
              <w:ind w:right="142"/>
              <w:spacing w:after="0"/>
              <w:rPr>
                <w:sz w:val="20"/>
                <w:szCs w:val="20"/>
                <w:color w:val="auto"/>
              </w:rPr>
            </w:pPr>
            <w:r>
              <w:rPr>
                <w:rFonts w:ascii="Arial" w:cs="Arial" w:eastAsia="Arial" w:hAnsi="Arial"/>
                <w:sz w:val="14"/>
                <w:szCs w:val="14"/>
                <w:b w:val="1"/>
                <w:bCs w:val="1"/>
                <w:color w:val="auto"/>
                <w:w w:val="89"/>
              </w:rPr>
              <w:t>Cost or</w:t>
            </w:r>
          </w:p>
        </w:tc>
        <w:tc>
          <w:tcPr>
            <w:tcW w:w="220" w:type="dxa"/>
            <w:vAlign w:val="bottom"/>
          </w:tcPr>
          <w:p>
            <w:pPr>
              <w:spacing w:after="0"/>
              <w:rPr>
                <w:sz w:val="17"/>
                <w:szCs w:val="17"/>
                <w:color w:val="auto"/>
              </w:rPr>
            </w:pPr>
          </w:p>
        </w:tc>
        <w:tc>
          <w:tcPr>
            <w:tcW w:w="920" w:type="dxa"/>
            <w:vAlign w:val="bottom"/>
          </w:tcPr>
          <w:p>
            <w:pPr>
              <w:jc w:val="center"/>
              <w:ind w:right="160"/>
              <w:spacing w:after="0"/>
              <w:rPr>
                <w:sz w:val="20"/>
                <w:szCs w:val="20"/>
                <w:color w:val="auto"/>
              </w:rPr>
            </w:pPr>
            <w:r>
              <w:rPr>
                <w:rFonts w:ascii="Arial" w:cs="Arial" w:eastAsia="Arial" w:hAnsi="Arial"/>
                <w:sz w:val="14"/>
                <w:szCs w:val="14"/>
                <w:b w:val="1"/>
                <w:bCs w:val="1"/>
                <w:color w:val="auto"/>
                <w:w w:val="88"/>
              </w:rPr>
              <w:t>Gross</w:t>
            </w:r>
          </w:p>
        </w:tc>
        <w:tc>
          <w:tcPr>
            <w:tcW w:w="24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gridSpan w:val="3"/>
          </w:tcPr>
          <w:p>
            <w:pPr>
              <w:jc w:val="right"/>
              <w:ind w:right="297"/>
              <w:spacing w:after="0"/>
              <w:rPr>
                <w:sz w:val="20"/>
                <w:szCs w:val="20"/>
                <w:color w:val="auto"/>
              </w:rPr>
            </w:pPr>
            <w:r>
              <w:rPr>
                <w:rFonts w:ascii="Arial" w:cs="Arial" w:eastAsia="Arial" w:hAnsi="Arial"/>
                <w:sz w:val="14"/>
                <w:szCs w:val="14"/>
                <w:b w:val="1"/>
                <w:bCs w:val="1"/>
                <w:color w:val="auto"/>
                <w:w w:val="96"/>
              </w:rPr>
              <w:t>Gross Unrealized Losses</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2"/>
              </w:rPr>
              <w:t>Estimated</w:t>
            </w:r>
          </w:p>
        </w:tc>
        <w:tc>
          <w:tcPr>
            <w:tcW w:w="220" w:type="dxa"/>
            <w:vAlign w:val="bottom"/>
          </w:tcPr>
          <w:p>
            <w:pPr>
              <w:spacing w:after="0"/>
              <w:rPr>
                <w:sz w:val="17"/>
                <w:szCs w:val="17"/>
                <w:color w:val="auto"/>
              </w:rPr>
            </w:pPr>
          </w:p>
        </w:tc>
        <w:tc>
          <w:tcPr>
            <w:tcW w:w="920" w:type="dxa"/>
            <w:vAlign w:val="bottom"/>
          </w:tcPr>
          <w:p>
            <w:pPr>
              <w:jc w:val="center"/>
              <w:ind w:right="141"/>
              <w:spacing w:after="0"/>
              <w:rPr>
                <w:sz w:val="20"/>
                <w:szCs w:val="20"/>
                <w:color w:val="auto"/>
              </w:rPr>
            </w:pPr>
            <w:r>
              <w:rPr>
                <w:rFonts w:ascii="Arial" w:cs="Arial" w:eastAsia="Arial" w:hAnsi="Arial"/>
                <w:sz w:val="14"/>
                <w:szCs w:val="14"/>
                <w:b w:val="1"/>
                <w:bCs w:val="1"/>
                <w:color w:val="auto"/>
                <w:w w:val="93"/>
              </w:rPr>
              <w:t>Unrealized</w:t>
            </w:r>
          </w:p>
        </w:tc>
        <w:tc>
          <w:tcPr>
            <w:tcW w:w="0" w:type="dxa"/>
            <w:vAlign w:val="bottom"/>
          </w:tcPr>
          <w:p>
            <w:pPr>
              <w:spacing w:after="0"/>
              <w:rPr>
                <w:sz w:val="1"/>
                <w:szCs w:val="1"/>
                <w:color w:val="auto"/>
              </w:rPr>
            </w:pPr>
          </w:p>
        </w:tc>
      </w:tr>
      <w:tr>
        <w:trPr>
          <w:trHeight w:val="222"/>
        </w:trPr>
        <w:tc>
          <w:tcPr>
            <w:tcW w:w="45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Category</w:t>
            </w:r>
          </w:p>
        </w:tc>
        <w:tc>
          <w:tcPr>
            <w:tcW w:w="220" w:type="dxa"/>
            <w:vAlign w:val="bottom"/>
          </w:tcPr>
          <w:p>
            <w:pPr>
              <w:spacing w:after="0"/>
              <w:rPr>
                <w:sz w:val="19"/>
                <w:szCs w:val="19"/>
                <w:color w:val="auto"/>
              </w:rPr>
            </w:pPr>
          </w:p>
        </w:tc>
        <w:tc>
          <w:tcPr>
            <w:tcW w:w="940" w:type="dxa"/>
            <w:vAlign w:val="bottom"/>
          </w:tcPr>
          <w:p>
            <w:pPr>
              <w:jc w:val="center"/>
              <w:ind w:right="142"/>
              <w:spacing w:after="0"/>
              <w:rPr>
                <w:sz w:val="20"/>
                <w:szCs w:val="20"/>
                <w:color w:val="auto"/>
              </w:rPr>
            </w:pPr>
            <w:r>
              <w:rPr>
                <w:rFonts w:ascii="Arial" w:cs="Arial" w:eastAsia="Arial" w:hAnsi="Arial"/>
                <w:sz w:val="14"/>
                <w:szCs w:val="14"/>
                <w:b w:val="1"/>
                <w:bCs w:val="1"/>
                <w:color w:val="auto"/>
                <w:w w:val="93"/>
              </w:rPr>
              <w:t>Amortized</w:t>
            </w:r>
          </w:p>
        </w:tc>
        <w:tc>
          <w:tcPr>
            <w:tcW w:w="220" w:type="dxa"/>
            <w:vAlign w:val="bottom"/>
          </w:tcPr>
          <w:p>
            <w:pPr>
              <w:spacing w:after="0"/>
              <w:rPr>
                <w:sz w:val="19"/>
                <w:szCs w:val="19"/>
                <w:color w:val="auto"/>
              </w:rPr>
            </w:pPr>
          </w:p>
        </w:tc>
        <w:tc>
          <w:tcPr>
            <w:tcW w:w="920" w:type="dxa"/>
            <w:vAlign w:val="bottom"/>
          </w:tcPr>
          <w:p>
            <w:pPr>
              <w:jc w:val="center"/>
              <w:ind w:right="160"/>
              <w:spacing w:after="0"/>
              <w:rPr>
                <w:sz w:val="20"/>
                <w:szCs w:val="20"/>
                <w:color w:val="auto"/>
              </w:rPr>
            </w:pPr>
            <w:r>
              <w:rPr>
                <w:rFonts w:ascii="Arial" w:cs="Arial" w:eastAsia="Arial" w:hAnsi="Arial"/>
                <w:sz w:val="14"/>
                <w:szCs w:val="14"/>
                <w:b w:val="1"/>
                <w:bCs w:val="1"/>
                <w:color w:val="auto"/>
                <w:w w:val="95"/>
              </w:rPr>
              <w:t>Unrealized</w:t>
            </w:r>
          </w:p>
        </w:tc>
        <w:tc>
          <w:tcPr>
            <w:tcW w:w="116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Less than 12</w:t>
            </w:r>
          </w:p>
        </w:tc>
        <w:tc>
          <w:tcPr>
            <w:tcW w:w="1100" w:type="dxa"/>
            <w:vAlign w:val="bottom"/>
            <w:gridSpan w:val="2"/>
          </w:tcPr>
          <w:p>
            <w:pPr>
              <w:jc w:val="right"/>
              <w:ind w:right="57"/>
              <w:spacing w:after="0"/>
              <w:rPr>
                <w:sz w:val="20"/>
                <w:szCs w:val="20"/>
                <w:color w:val="auto"/>
              </w:rPr>
            </w:pPr>
            <w:r>
              <w:rPr>
                <w:rFonts w:ascii="Arial" w:cs="Arial" w:eastAsia="Arial" w:hAnsi="Arial"/>
                <w:sz w:val="14"/>
                <w:szCs w:val="14"/>
                <w:b w:val="1"/>
                <w:bCs w:val="1"/>
                <w:color w:val="auto"/>
              </w:rPr>
              <w:t>More than 12</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Fair</w:t>
            </w:r>
          </w:p>
        </w:tc>
        <w:tc>
          <w:tcPr>
            <w:tcW w:w="220" w:type="dxa"/>
            <w:vAlign w:val="bottom"/>
          </w:tcPr>
          <w:p>
            <w:pPr>
              <w:spacing w:after="0"/>
              <w:rPr>
                <w:sz w:val="19"/>
                <w:szCs w:val="19"/>
                <w:color w:val="auto"/>
              </w:rPr>
            </w:pPr>
          </w:p>
        </w:tc>
        <w:tc>
          <w:tcPr>
            <w:tcW w:w="920" w:type="dxa"/>
            <w:vAlign w:val="bottom"/>
          </w:tcPr>
          <w:p>
            <w:pPr>
              <w:jc w:val="center"/>
              <w:ind w:right="121"/>
              <w:spacing w:after="0"/>
              <w:rPr>
                <w:sz w:val="20"/>
                <w:szCs w:val="20"/>
                <w:color w:val="auto"/>
              </w:rPr>
            </w:pPr>
            <w:r>
              <w:rPr>
                <w:rFonts w:ascii="Arial" w:cs="Arial" w:eastAsia="Arial" w:hAnsi="Arial"/>
                <w:sz w:val="14"/>
                <w:szCs w:val="14"/>
                <w:b w:val="1"/>
                <w:bCs w:val="1"/>
                <w:color w:val="auto"/>
                <w:w w:val="93"/>
              </w:rPr>
              <w:t>Gains/</w:t>
            </w:r>
          </w:p>
        </w:tc>
        <w:tc>
          <w:tcPr>
            <w:tcW w:w="0" w:type="dxa"/>
            <w:vAlign w:val="bottom"/>
          </w:tcPr>
          <w:p>
            <w:pPr>
              <w:spacing w:after="0"/>
              <w:rPr>
                <w:sz w:val="1"/>
                <w:szCs w:val="1"/>
                <w:color w:val="auto"/>
              </w:rPr>
            </w:pPr>
          </w:p>
        </w:tc>
      </w:tr>
      <w:tr>
        <w:trPr>
          <w:trHeight w:val="177"/>
        </w:trPr>
        <w:tc>
          <w:tcPr>
            <w:tcW w:w="4580" w:type="dxa"/>
            <w:vAlign w:val="bottom"/>
            <w:tcBorders>
              <w:bottom w:val="single" w:sz="8" w:color="auto"/>
            </w:tcBorders>
            <w:gridSpan w:val="2"/>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142"/>
              <w:spacing w:after="0"/>
              <w:rPr>
                <w:sz w:val="20"/>
                <w:szCs w:val="20"/>
                <w:color w:val="auto"/>
              </w:rPr>
            </w:pPr>
            <w:r>
              <w:rPr>
                <w:rFonts w:ascii="Arial" w:cs="Arial" w:eastAsia="Arial" w:hAnsi="Arial"/>
                <w:sz w:val="14"/>
                <w:szCs w:val="14"/>
                <w:b w:val="1"/>
                <w:bCs w:val="1"/>
                <w:color w:val="auto"/>
                <w:w w:val="89"/>
              </w:rPr>
              <w:t>Cost</w:t>
            </w: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160"/>
              <w:spacing w:after="0"/>
              <w:rPr>
                <w:sz w:val="20"/>
                <w:szCs w:val="20"/>
                <w:color w:val="auto"/>
              </w:rPr>
            </w:pPr>
            <w:r>
              <w:rPr>
                <w:rFonts w:ascii="Arial" w:cs="Arial" w:eastAsia="Arial" w:hAnsi="Arial"/>
                <w:sz w:val="14"/>
                <w:szCs w:val="14"/>
                <w:b w:val="1"/>
                <w:bCs w:val="1"/>
                <w:color w:val="auto"/>
                <w:w w:val="92"/>
              </w:rPr>
              <w:t>Gains</w:t>
            </w: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Months</w:t>
            </w:r>
          </w:p>
        </w:tc>
        <w:tc>
          <w:tcPr>
            <w:tcW w:w="2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Months</w:t>
            </w: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Value</w:t>
            </w: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141"/>
              <w:spacing w:after="0"/>
              <w:rPr>
                <w:sz w:val="20"/>
                <w:szCs w:val="20"/>
                <w:color w:val="auto"/>
              </w:rPr>
            </w:pPr>
            <w:r>
              <w:rPr>
                <w:rFonts w:ascii="Arial" w:cs="Arial" w:eastAsia="Arial" w:hAnsi="Arial"/>
                <w:sz w:val="14"/>
                <w:szCs w:val="14"/>
                <w:b w:val="1"/>
                <w:bCs w:val="1"/>
                <w:color w:val="auto"/>
                <w:w w:val="86"/>
              </w:rPr>
              <w:t>(Losses)</w:t>
            </w:r>
          </w:p>
        </w:tc>
        <w:tc>
          <w:tcPr>
            <w:tcW w:w="0" w:type="dxa"/>
            <w:vAlign w:val="bottom"/>
          </w:tcPr>
          <w:p>
            <w:pPr>
              <w:spacing w:after="0"/>
              <w:rPr>
                <w:sz w:val="1"/>
                <w:szCs w:val="1"/>
                <w:color w:val="auto"/>
              </w:rPr>
            </w:pPr>
          </w:p>
        </w:tc>
      </w:tr>
      <w:tr>
        <w:trPr>
          <w:trHeight w:val="470"/>
        </w:trPr>
        <w:tc>
          <w:tcPr>
            <w:tcW w:w="4580" w:type="dxa"/>
            <w:vAlign w:val="bottom"/>
            <w:gridSpan w:val="2"/>
          </w:tcPr>
          <w:p>
            <w:pPr>
              <w:spacing w:after="0"/>
              <w:rPr>
                <w:sz w:val="20"/>
                <w:szCs w:val="20"/>
                <w:color w:val="auto"/>
              </w:rPr>
            </w:pPr>
            <w:r>
              <w:rPr>
                <w:rFonts w:ascii="Arial" w:cs="Arial" w:eastAsia="Arial" w:hAnsi="Arial"/>
                <w:sz w:val="17"/>
                <w:szCs w:val="17"/>
                <w:b w:val="1"/>
                <w:bCs w:val="1"/>
                <w:color w:val="auto"/>
              </w:rPr>
              <w:t>Fixed-Maturity Securities:</w:t>
            </w: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7"/>
                <w:szCs w:val="17"/>
                <w:color w:val="auto"/>
              </w:rPr>
              <w:t>U.S. Treasury securities and obligations of U.S. government</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5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corporations and agencies</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ind w:right="42"/>
              <w:spacing w:after="0"/>
              <w:rPr>
                <w:sz w:val="20"/>
                <w:szCs w:val="20"/>
                <w:color w:val="auto"/>
              </w:rPr>
            </w:pPr>
            <w:r>
              <w:rPr>
                <w:rFonts w:ascii="Arial" w:cs="Arial" w:eastAsia="Arial" w:hAnsi="Arial"/>
                <w:sz w:val="17"/>
                <w:szCs w:val="17"/>
                <w:color w:val="auto"/>
              </w:rPr>
              <w:t>8,222,050</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ind w:right="40"/>
              <w:spacing w:after="0"/>
              <w:rPr>
                <w:sz w:val="20"/>
                <w:szCs w:val="20"/>
                <w:color w:val="auto"/>
              </w:rPr>
            </w:pPr>
            <w:r>
              <w:rPr>
                <w:rFonts w:ascii="Arial" w:cs="Arial" w:eastAsia="Arial" w:hAnsi="Arial"/>
                <w:sz w:val="17"/>
                <w:szCs w:val="17"/>
                <w:color w:val="auto"/>
              </w:rPr>
              <w:t>26,331</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(28,000)</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ind w:right="20"/>
              <w:spacing w:after="0"/>
              <w:rPr>
                <w:sz w:val="20"/>
                <w:szCs w:val="20"/>
                <w:color w:val="auto"/>
              </w:rPr>
            </w:pPr>
            <w:r>
              <w:rPr>
                <w:rFonts w:ascii="Arial" w:cs="Arial" w:eastAsia="Arial" w:hAnsi="Arial"/>
                <w:sz w:val="17"/>
                <w:szCs w:val="17"/>
                <w:color w:val="auto"/>
              </w:rPr>
              <w:t>$  8,220,381</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(1,669)</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7"/>
                <w:szCs w:val="17"/>
                <w:color w:val="auto"/>
              </w:rPr>
              <w:t>Political subdivisions of States,</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7"/>
                <w:szCs w:val="17"/>
                <w:color w:val="auto"/>
              </w:rPr>
              <w:t>Territories and Possessions</w:t>
            </w:r>
          </w:p>
        </w:tc>
        <w:tc>
          <w:tcPr>
            <w:tcW w:w="220" w:type="dxa"/>
            <w:vAlign w:val="bottom"/>
          </w:tcPr>
          <w:p>
            <w:pPr>
              <w:spacing w:after="0"/>
              <w:rPr>
                <w:sz w:val="18"/>
                <w:szCs w:val="18"/>
                <w:color w:val="auto"/>
              </w:rPr>
            </w:pPr>
          </w:p>
        </w:tc>
        <w:tc>
          <w:tcPr>
            <w:tcW w:w="940" w:type="dxa"/>
            <w:vAlign w:val="bottom"/>
          </w:tcPr>
          <w:p>
            <w:pPr>
              <w:jc w:val="right"/>
              <w:ind w:right="42"/>
              <w:spacing w:after="0"/>
              <w:rPr>
                <w:sz w:val="20"/>
                <w:szCs w:val="20"/>
                <w:color w:val="auto"/>
              </w:rPr>
            </w:pPr>
            <w:r>
              <w:rPr>
                <w:rFonts w:ascii="Arial" w:cs="Arial" w:eastAsia="Arial" w:hAnsi="Arial"/>
                <w:sz w:val="17"/>
                <w:szCs w:val="17"/>
                <w:color w:val="auto"/>
              </w:rPr>
              <w:t>6,339,540</w:t>
            </w:r>
          </w:p>
        </w:tc>
        <w:tc>
          <w:tcPr>
            <w:tcW w:w="220" w:type="dxa"/>
            <w:vAlign w:val="bottom"/>
          </w:tcPr>
          <w:p>
            <w:pPr>
              <w:spacing w:after="0"/>
              <w:rPr>
                <w:sz w:val="18"/>
                <w:szCs w:val="18"/>
                <w:color w:val="auto"/>
              </w:rPr>
            </w:pPr>
          </w:p>
        </w:tc>
        <w:tc>
          <w:tcPr>
            <w:tcW w:w="920" w:type="dxa"/>
            <w:vAlign w:val="bottom"/>
          </w:tcPr>
          <w:p>
            <w:pPr>
              <w:jc w:val="right"/>
              <w:ind w:right="40"/>
              <w:spacing w:after="0"/>
              <w:rPr>
                <w:sz w:val="20"/>
                <w:szCs w:val="20"/>
                <w:color w:val="auto"/>
              </w:rPr>
            </w:pPr>
            <w:r>
              <w:rPr>
                <w:rFonts w:ascii="Arial" w:cs="Arial" w:eastAsia="Arial" w:hAnsi="Arial"/>
                <w:sz w:val="17"/>
                <w:szCs w:val="17"/>
                <w:color w:val="auto"/>
              </w:rPr>
              <w:t>50,903</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(12,327)</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(36,508)</w:t>
            </w:r>
          </w:p>
        </w:tc>
        <w:tc>
          <w:tcPr>
            <w:tcW w:w="1140" w:type="dxa"/>
            <w:vAlign w:val="bottom"/>
          </w:tcPr>
          <w:p>
            <w:pPr>
              <w:jc w:val="right"/>
              <w:ind w:right="20"/>
              <w:spacing w:after="0"/>
              <w:rPr>
                <w:sz w:val="20"/>
                <w:szCs w:val="20"/>
                <w:color w:val="auto"/>
              </w:rPr>
            </w:pPr>
            <w:r>
              <w:rPr>
                <w:rFonts w:ascii="Arial" w:cs="Arial" w:eastAsia="Arial" w:hAnsi="Arial"/>
                <w:sz w:val="17"/>
                <w:szCs w:val="17"/>
                <w:color w:val="auto"/>
              </w:rPr>
              <w:t>6,341,608</w:t>
            </w:r>
          </w:p>
        </w:tc>
        <w:tc>
          <w:tcPr>
            <w:tcW w:w="220" w:type="dxa"/>
            <w:vAlign w:val="bottom"/>
          </w:tcPr>
          <w:p>
            <w:pPr>
              <w:spacing w:after="0"/>
              <w:rPr>
                <w:sz w:val="18"/>
                <w:szCs w:val="18"/>
                <w:color w:val="auto"/>
              </w:rPr>
            </w:pPr>
          </w:p>
        </w:tc>
        <w:tc>
          <w:tcPr>
            <w:tcW w:w="920" w:type="dxa"/>
            <w:vAlign w:val="bottom"/>
          </w:tcPr>
          <w:p>
            <w:pPr>
              <w:jc w:val="right"/>
              <w:ind w:right="41"/>
              <w:spacing w:after="0"/>
              <w:rPr>
                <w:sz w:val="20"/>
                <w:szCs w:val="20"/>
                <w:color w:val="auto"/>
              </w:rPr>
            </w:pPr>
            <w:r>
              <w:rPr>
                <w:rFonts w:ascii="Arial" w:cs="Arial" w:eastAsia="Arial" w:hAnsi="Arial"/>
                <w:sz w:val="17"/>
                <w:szCs w:val="17"/>
                <w:color w:val="auto"/>
              </w:rPr>
              <w:t>2,068</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7"/>
                <w:szCs w:val="17"/>
                <w:color w:val="auto"/>
              </w:rPr>
              <w:t>Corporate and other bonds</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7"/>
                <w:szCs w:val="17"/>
                <w:color w:val="auto"/>
              </w:rPr>
              <w:t>Industrial and miscellaneous</w:t>
            </w:r>
          </w:p>
        </w:tc>
        <w:tc>
          <w:tcPr>
            <w:tcW w:w="1160" w:type="dxa"/>
            <w:vAlign w:val="bottom"/>
            <w:gridSpan w:val="2"/>
            <w:shd w:val="clear" w:color="auto" w:fill="CCEEFF"/>
          </w:tcPr>
          <w:p>
            <w:pPr>
              <w:jc w:val="right"/>
              <w:ind w:right="42"/>
              <w:spacing w:after="0"/>
              <w:rPr>
                <w:sz w:val="20"/>
                <w:szCs w:val="20"/>
                <w:color w:val="auto"/>
              </w:rPr>
            </w:pPr>
            <w:r>
              <w:rPr>
                <w:rFonts w:ascii="Arial" w:cs="Arial" w:eastAsia="Arial" w:hAnsi="Arial"/>
                <w:sz w:val="17"/>
                <w:szCs w:val="17"/>
                <w:color w:val="auto"/>
              </w:rPr>
              <w:t>119,078,698</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40"/>
              <w:spacing w:after="0"/>
              <w:rPr>
                <w:sz w:val="20"/>
                <w:szCs w:val="20"/>
                <w:color w:val="auto"/>
              </w:rPr>
            </w:pPr>
            <w:r>
              <w:rPr>
                <w:rFonts w:ascii="Arial" w:cs="Arial" w:eastAsia="Arial" w:hAnsi="Arial"/>
                <w:sz w:val="17"/>
                <w:szCs w:val="17"/>
                <w:color w:val="auto"/>
              </w:rPr>
              <w:t>123,740</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4"/>
              </w:rPr>
              <w:t>(2,775,540)</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(676,605)</w:t>
            </w:r>
          </w:p>
        </w:tc>
        <w:tc>
          <w:tcPr>
            <w:tcW w:w="1140" w:type="dxa"/>
            <w:vAlign w:val="bottom"/>
            <w:shd w:val="clear" w:color="auto" w:fill="CCEEFF"/>
          </w:tcPr>
          <w:p>
            <w:pPr>
              <w:jc w:val="right"/>
              <w:ind w:right="20"/>
              <w:spacing w:after="0"/>
              <w:rPr>
                <w:sz w:val="20"/>
                <w:szCs w:val="20"/>
                <w:color w:val="auto"/>
              </w:rPr>
            </w:pPr>
            <w:r>
              <w:rPr>
                <w:rFonts w:ascii="Arial" w:cs="Arial" w:eastAsia="Arial" w:hAnsi="Arial"/>
                <w:sz w:val="17"/>
                <w:szCs w:val="17"/>
                <w:color w:val="auto"/>
              </w:rPr>
              <w:t>115,750,293</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(3,328,405)</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7"/>
                <w:szCs w:val="17"/>
                <w:color w:val="auto"/>
              </w:rPr>
              <w:t>Residential mortgage and other</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60" w:type="dxa"/>
            <w:vAlign w:val="bottom"/>
          </w:tcPr>
          <w:p>
            <w:pPr>
              <w:ind w:left="140"/>
              <w:spacing w:after="0"/>
              <w:rPr>
                <w:sz w:val="20"/>
                <w:szCs w:val="20"/>
                <w:color w:val="auto"/>
              </w:rPr>
            </w:pPr>
            <w:r>
              <w:rPr>
                <w:rFonts w:ascii="Arial" w:cs="Arial" w:eastAsia="Arial" w:hAnsi="Arial"/>
                <w:sz w:val="17"/>
                <w:szCs w:val="17"/>
                <w:color w:val="auto"/>
              </w:rPr>
              <w:t>asset backed securities (1)</w:t>
            </w: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2"/>
              <w:spacing w:after="0"/>
              <w:rPr>
                <w:sz w:val="20"/>
                <w:szCs w:val="20"/>
                <w:color w:val="auto"/>
              </w:rPr>
            </w:pPr>
            <w:r>
              <w:rPr>
                <w:rFonts w:ascii="Arial" w:cs="Arial" w:eastAsia="Arial" w:hAnsi="Arial"/>
                <w:sz w:val="17"/>
                <w:szCs w:val="17"/>
                <w:color w:val="auto"/>
                <w:w w:val="93"/>
              </w:rPr>
              <w:t>21,790,973</w:t>
            </w: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7"/>
                <w:szCs w:val="17"/>
                <w:color w:val="auto"/>
              </w:rPr>
              <w:t>236,502</w:t>
            </w: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(231,229)</w:t>
            </w: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(331,012)</w:t>
            </w:r>
          </w:p>
        </w:tc>
        <w:tc>
          <w:tcPr>
            <w:tcW w:w="1140" w:type="dxa"/>
            <w:vAlign w:val="bottom"/>
            <w:tcBorders>
              <w:bottom w:val="single" w:sz="8" w:color="auto"/>
            </w:tcBorders>
          </w:tcPr>
          <w:p>
            <w:pPr>
              <w:jc w:val="right"/>
              <w:ind w:right="20"/>
              <w:spacing w:after="0"/>
              <w:rPr>
                <w:sz w:val="20"/>
                <w:szCs w:val="20"/>
                <w:color w:val="auto"/>
              </w:rPr>
            </w:pPr>
            <w:r>
              <w:rPr>
                <w:rFonts w:ascii="Arial" w:cs="Arial" w:eastAsia="Arial" w:hAnsi="Arial"/>
                <w:sz w:val="17"/>
                <w:szCs w:val="17"/>
                <w:color w:val="auto"/>
              </w:rPr>
              <w:t>21,465,234</w:t>
            </w: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(325,739)</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Total</w:t>
            </w:r>
          </w:p>
        </w:tc>
        <w:tc>
          <w:tcPr>
            <w:tcW w:w="1160" w:type="dxa"/>
            <w:vAlign w:val="bottom"/>
            <w:tcBorders>
              <w:bottom w:val="single" w:sz="8" w:color="auto"/>
            </w:tcBorders>
            <w:gridSpan w:val="2"/>
            <w:shd w:val="clear" w:color="auto" w:fill="CCEEFF"/>
          </w:tcPr>
          <w:p>
            <w:pPr>
              <w:jc w:val="right"/>
              <w:ind w:right="42"/>
              <w:spacing w:after="0"/>
              <w:rPr>
                <w:sz w:val="20"/>
                <w:szCs w:val="20"/>
                <w:color w:val="auto"/>
              </w:rPr>
            </w:pPr>
            <w:r>
              <w:rPr>
                <w:rFonts w:ascii="Arial" w:cs="Arial" w:eastAsia="Arial" w:hAnsi="Arial"/>
                <w:sz w:val="17"/>
                <w:szCs w:val="17"/>
                <w:u w:val="single" w:color="auto"/>
                <w:color w:val="auto"/>
                <w:w w:val="98"/>
              </w:rPr>
              <w:t>$</w:t>
            </w:r>
            <w:r>
              <w:rPr>
                <w:rFonts w:ascii="Arial" w:cs="Arial" w:eastAsia="Arial" w:hAnsi="Arial"/>
                <w:sz w:val="17"/>
                <w:szCs w:val="17"/>
                <w:color w:val="auto"/>
                <w:w w:val="98"/>
              </w:rPr>
              <w:t>155,431,261</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7"/>
                <w:szCs w:val="17"/>
                <w:color w:val="auto"/>
              </w:rPr>
              <w:t>437,476</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4"/>
              </w:rPr>
              <w:t>(3,047,096)</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4"/>
              </w:rPr>
              <w:t>(1,044,125)</w:t>
            </w:r>
          </w:p>
        </w:tc>
        <w:tc>
          <w:tcPr>
            <w:tcW w:w="11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7"/>
                <w:szCs w:val="17"/>
                <w:u w:val="single" w:color="auto"/>
                <w:color w:val="auto"/>
                <w:w w:val="98"/>
              </w:rPr>
              <w:t>$</w:t>
            </w:r>
            <w:r>
              <w:rPr>
                <w:rFonts w:ascii="Arial" w:cs="Arial" w:eastAsia="Arial" w:hAnsi="Arial"/>
                <w:sz w:val="17"/>
                <w:szCs w:val="17"/>
                <w:color w:val="auto"/>
                <w:w w:val="98"/>
              </w:rPr>
              <w:t>151,777,516</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6"/>
              </w:rPr>
              <w:t>(3,653,745)</w:t>
            </w: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ind w:left="640" w:hanging="321"/>
        <w:spacing w:after="0" w:line="265" w:lineRule="auto"/>
        <w:tabs>
          <w:tab w:leader="none" w:pos="640" w:val="left"/>
        </w:tabs>
        <w:numPr>
          <w:ilvl w:val="0"/>
          <w:numId w:val="6"/>
        </w:numPr>
        <w:rPr>
          <w:rFonts w:ascii="Arial" w:cs="Arial" w:eastAsia="Arial" w:hAnsi="Arial"/>
          <w:sz w:val="17"/>
          <w:szCs w:val="17"/>
          <w:color w:val="auto"/>
        </w:rPr>
      </w:pPr>
      <w:r>
        <w:rPr>
          <w:rFonts w:ascii="Arial" w:cs="Arial" w:eastAsia="Arial" w:hAnsi="Arial"/>
          <w:sz w:val="17"/>
          <w:szCs w:val="17"/>
          <w:color w:val="auto"/>
        </w:rPr>
        <w:t>In 2017, KICO placed certain residential mortgage backed securities as eligible collateral in a designated custodian account related to its membership in the FHLBNY (see Note 7). The eligible collateral would be pledged to FHLBNY if KICO draws an advance from the FHBLNY credit line. As of December 31, 2018, the estimated fair value of the eligible investments was approximately $5,116,000. KICO will retain all rights regarding all securities if pledged as collateral. As of December 31, 2018, there was no outstanding balance on the FHLBNY credit line.</w:t>
      </w:r>
    </w:p>
    <w:p>
      <w:pPr>
        <w:spacing w:after="0" w:line="183" w:lineRule="exact"/>
        <w:rPr>
          <w:sz w:val="20"/>
          <w:szCs w:val="20"/>
          <w:color w:val="auto"/>
        </w:rPr>
      </w:pPr>
    </w:p>
    <w:p>
      <w:pPr>
        <w:spacing w:after="0"/>
        <w:rPr>
          <w:sz w:val="20"/>
          <w:szCs w:val="20"/>
          <w:color w:val="auto"/>
        </w:rPr>
      </w:pPr>
      <w:r>
        <w:rPr>
          <w:rFonts w:ascii="Arial" w:cs="Arial" w:eastAsia="Arial" w:hAnsi="Arial"/>
          <w:sz w:val="15"/>
          <w:szCs w:val="15"/>
          <w:color w:val="auto"/>
        </w:rPr>
        <w:t>A summary of the amortized cost and estimated fair value of the Company’s investments in available-for-sale fixed-maturity securities by contractual maturity as of</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March 31, 2019 and December 31, 2018 is shown below:</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20" w:type="dxa"/>
            <w:vAlign w:val="bottom"/>
          </w:tcPr>
          <w:p>
            <w:pPr>
              <w:spacing w:after="0"/>
              <w:rPr>
                <w:sz w:val="15"/>
                <w:szCs w:val="15"/>
                <w:color w:val="auto"/>
              </w:rPr>
            </w:pPr>
          </w:p>
        </w:tc>
        <w:tc>
          <w:tcPr>
            <w:tcW w:w="466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2280" w:type="dxa"/>
            <w:vAlign w:val="bottom"/>
            <w:tcBorders>
              <w:bottom w:val="single" w:sz="8" w:color="auto"/>
            </w:tcBorders>
            <w:gridSpan w:val="2"/>
          </w:tcPr>
          <w:p>
            <w:pPr>
              <w:jc w:val="right"/>
              <w:ind w:right="578"/>
              <w:spacing w:after="0"/>
              <w:rPr>
                <w:sz w:val="20"/>
                <w:szCs w:val="20"/>
                <w:color w:val="auto"/>
              </w:rPr>
            </w:pPr>
            <w:r>
              <w:rPr>
                <w:rFonts w:ascii="Arial" w:cs="Arial" w:eastAsia="Arial" w:hAnsi="Arial"/>
                <w:sz w:val="14"/>
                <w:szCs w:val="14"/>
                <w:b w:val="1"/>
                <w:bCs w:val="1"/>
                <w:color w:val="auto"/>
              </w:rPr>
              <w:t>March 31, 2019</w:t>
            </w:r>
          </w:p>
        </w:tc>
        <w:tc>
          <w:tcPr>
            <w:tcW w:w="2280" w:type="dxa"/>
            <w:vAlign w:val="bottom"/>
            <w:tcBorders>
              <w:bottom w:val="single" w:sz="8" w:color="auto"/>
            </w:tcBorders>
            <w:gridSpan w:val="2"/>
          </w:tcPr>
          <w:p>
            <w:pPr>
              <w:jc w:val="right"/>
              <w:ind w:right="478"/>
              <w:spacing w:after="0"/>
              <w:rPr>
                <w:sz w:val="20"/>
                <w:szCs w:val="20"/>
                <w:color w:val="auto"/>
              </w:rPr>
            </w:pPr>
            <w:r>
              <w:rPr>
                <w:rFonts w:ascii="Arial" w:cs="Arial" w:eastAsia="Arial" w:hAnsi="Arial"/>
                <w:sz w:val="14"/>
                <w:szCs w:val="14"/>
                <w:b w:val="1"/>
                <w:bCs w:val="1"/>
                <w:color w:val="auto"/>
              </w:rPr>
              <w:t>December 31, 2018</w:t>
            </w:r>
          </w:p>
        </w:tc>
        <w:tc>
          <w:tcPr>
            <w:tcW w:w="0" w:type="dxa"/>
            <w:vAlign w:val="bottom"/>
          </w:tcPr>
          <w:p>
            <w:pPr>
              <w:spacing w:after="0"/>
              <w:rPr>
                <w:sz w:val="1"/>
                <w:szCs w:val="1"/>
                <w:color w:val="auto"/>
              </w:rPr>
            </w:pPr>
          </w:p>
        </w:tc>
      </w:tr>
      <w:tr>
        <w:trPr>
          <w:trHeight w:val="222"/>
        </w:trPr>
        <w:tc>
          <w:tcPr>
            <w:tcW w:w="46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Remaining Time to Maturity</w:t>
            </w:r>
          </w:p>
        </w:tc>
        <w:tc>
          <w:tcPr>
            <w:tcW w:w="2180" w:type="dxa"/>
            <w:vAlign w:val="bottom"/>
          </w:tcPr>
          <w:p>
            <w:pPr>
              <w:spacing w:after="0"/>
              <w:rPr>
                <w:sz w:val="19"/>
                <w:szCs w:val="19"/>
                <w:color w:val="auto"/>
              </w:rPr>
            </w:pPr>
          </w:p>
        </w:tc>
        <w:tc>
          <w:tcPr>
            <w:tcW w:w="1140" w:type="dxa"/>
            <w:vAlign w:val="bottom"/>
          </w:tcPr>
          <w:p>
            <w:pPr>
              <w:jc w:val="right"/>
              <w:ind w:right="165"/>
              <w:spacing w:after="0"/>
              <w:rPr>
                <w:sz w:val="20"/>
                <w:szCs w:val="20"/>
                <w:color w:val="auto"/>
              </w:rPr>
            </w:pPr>
            <w:r>
              <w:rPr>
                <w:rFonts w:ascii="Arial" w:cs="Arial" w:eastAsia="Arial" w:hAnsi="Arial"/>
                <w:sz w:val="14"/>
                <w:szCs w:val="14"/>
                <w:b w:val="1"/>
                <w:bCs w:val="1"/>
                <w:color w:val="auto"/>
              </w:rPr>
              <w:t>Amortized</w:t>
            </w:r>
          </w:p>
        </w:tc>
        <w:tc>
          <w:tcPr>
            <w:tcW w:w="1140" w:type="dxa"/>
            <w:vAlign w:val="bottom"/>
          </w:tcPr>
          <w:p>
            <w:pPr>
              <w:jc w:val="right"/>
              <w:ind w:right="158"/>
              <w:spacing w:after="0"/>
              <w:rPr>
                <w:sz w:val="20"/>
                <w:szCs w:val="20"/>
                <w:color w:val="auto"/>
              </w:rPr>
            </w:pPr>
            <w:r>
              <w:rPr>
                <w:rFonts w:ascii="Arial" w:cs="Arial" w:eastAsia="Arial" w:hAnsi="Arial"/>
                <w:sz w:val="14"/>
                <w:szCs w:val="14"/>
                <w:b w:val="1"/>
                <w:bCs w:val="1"/>
                <w:color w:val="auto"/>
              </w:rPr>
              <w:t>Estimated</w:t>
            </w:r>
          </w:p>
        </w:tc>
        <w:tc>
          <w:tcPr>
            <w:tcW w:w="1140" w:type="dxa"/>
            <w:vAlign w:val="bottom"/>
          </w:tcPr>
          <w:p>
            <w:pPr>
              <w:jc w:val="right"/>
              <w:ind w:right="159"/>
              <w:spacing w:after="0"/>
              <w:rPr>
                <w:sz w:val="20"/>
                <w:szCs w:val="20"/>
                <w:color w:val="auto"/>
              </w:rPr>
            </w:pPr>
            <w:r>
              <w:rPr>
                <w:rFonts w:ascii="Arial" w:cs="Arial" w:eastAsia="Arial" w:hAnsi="Arial"/>
                <w:sz w:val="14"/>
                <w:szCs w:val="14"/>
                <w:b w:val="1"/>
                <w:bCs w:val="1"/>
                <w:color w:val="auto"/>
              </w:rPr>
              <w:t>Amortized</w:t>
            </w:r>
          </w:p>
        </w:tc>
        <w:tc>
          <w:tcPr>
            <w:tcW w:w="1140" w:type="dxa"/>
            <w:vAlign w:val="bottom"/>
          </w:tcPr>
          <w:p>
            <w:pPr>
              <w:jc w:val="right"/>
              <w:ind w:right="178"/>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77"/>
        </w:trPr>
        <w:tc>
          <w:tcPr>
            <w:tcW w:w="4680" w:type="dxa"/>
            <w:vAlign w:val="bottom"/>
            <w:gridSpan w:val="2"/>
            <w:vMerge w:val="continue"/>
          </w:tcPr>
          <w:p>
            <w:pPr>
              <w:spacing w:after="0"/>
              <w:rPr>
                <w:sz w:val="15"/>
                <w:szCs w:val="15"/>
                <w:color w:val="auto"/>
              </w:rPr>
            </w:pPr>
          </w:p>
        </w:tc>
        <w:tc>
          <w:tcPr>
            <w:tcW w:w="2180" w:type="dxa"/>
            <w:vAlign w:val="bottom"/>
          </w:tcPr>
          <w:p>
            <w:pPr>
              <w:spacing w:after="0"/>
              <w:rPr>
                <w:sz w:val="15"/>
                <w:szCs w:val="15"/>
                <w:color w:val="auto"/>
              </w:rPr>
            </w:pPr>
          </w:p>
        </w:tc>
        <w:tc>
          <w:tcPr>
            <w:tcW w:w="1140" w:type="dxa"/>
            <w:vAlign w:val="bottom"/>
          </w:tcPr>
          <w:p>
            <w:pPr>
              <w:jc w:val="right"/>
              <w:ind w:right="345"/>
              <w:spacing w:after="0"/>
              <w:rPr>
                <w:sz w:val="20"/>
                <w:szCs w:val="20"/>
                <w:color w:val="auto"/>
              </w:rPr>
            </w:pPr>
            <w:r>
              <w:rPr>
                <w:rFonts w:ascii="Arial" w:cs="Arial" w:eastAsia="Arial" w:hAnsi="Arial"/>
                <w:sz w:val="14"/>
                <w:szCs w:val="14"/>
                <w:b w:val="1"/>
                <w:bCs w:val="1"/>
                <w:color w:val="auto"/>
              </w:rPr>
              <w:t>Cost</w:t>
            </w:r>
          </w:p>
        </w:tc>
        <w:tc>
          <w:tcPr>
            <w:tcW w:w="1140" w:type="dxa"/>
            <w:vAlign w:val="bottom"/>
          </w:tcPr>
          <w:p>
            <w:pPr>
              <w:jc w:val="right"/>
              <w:ind w:right="158"/>
              <w:spacing w:after="0"/>
              <w:rPr>
                <w:sz w:val="20"/>
                <w:szCs w:val="20"/>
                <w:color w:val="auto"/>
              </w:rPr>
            </w:pPr>
            <w:r>
              <w:rPr>
                <w:rFonts w:ascii="Arial" w:cs="Arial" w:eastAsia="Arial" w:hAnsi="Arial"/>
                <w:sz w:val="14"/>
                <w:szCs w:val="14"/>
                <w:b w:val="1"/>
                <w:bCs w:val="1"/>
                <w:color w:val="auto"/>
              </w:rPr>
              <w:t>Fair Value</w:t>
            </w:r>
          </w:p>
        </w:tc>
        <w:tc>
          <w:tcPr>
            <w:tcW w:w="1140" w:type="dxa"/>
            <w:vAlign w:val="bottom"/>
          </w:tcPr>
          <w:p>
            <w:pPr>
              <w:jc w:val="right"/>
              <w:ind w:right="339"/>
              <w:spacing w:after="0"/>
              <w:rPr>
                <w:sz w:val="20"/>
                <w:szCs w:val="20"/>
                <w:color w:val="auto"/>
              </w:rPr>
            </w:pPr>
            <w:r>
              <w:rPr>
                <w:rFonts w:ascii="Arial" w:cs="Arial" w:eastAsia="Arial" w:hAnsi="Arial"/>
                <w:sz w:val="14"/>
                <w:szCs w:val="14"/>
                <w:b w:val="1"/>
                <w:bCs w:val="1"/>
                <w:color w:val="auto"/>
              </w:rPr>
              <w:t>Cost</w:t>
            </w:r>
          </w:p>
        </w:tc>
        <w:tc>
          <w:tcPr>
            <w:tcW w:w="1140" w:type="dxa"/>
            <w:vAlign w:val="bottom"/>
          </w:tcPr>
          <w:p>
            <w:pPr>
              <w:jc w:val="right"/>
              <w:ind w:right="158"/>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35"/>
        </w:trPr>
        <w:tc>
          <w:tcPr>
            <w:tcW w:w="20" w:type="dxa"/>
            <w:vAlign w:val="bottom"/>
            <w:vMerge w:val="restart"/>
          </w:tcPr>
          <w:p>
            <w:pPr>
              <w:spacing w:after="0"/>
              <w:rPr>
                <w:sz w:val="20"/>
                <w:szCs w:val="20"/>
                <w:color w:val="auto"/>
              </w:rPr>
            </w:pPr>
          </w:p>
        </w:tc>
        <w:tc>
          <w:tcPr>
            <w:tcW w:w="4660" w:type="dxa"/>
            <w:vAlign w:val="bottom"/>
            <w:tcBorders>
              <w:top w:val="single" w:sz="8" w:color="auto"/>
            </w:tcBorders>
          </w:tcPr>
          <w:p>
            <w:pPr>
              <w:spacing w:after="0"/>
              <w:rPr>
                <w:sz w:val="20"/>
                <w:szCs w:val="20"/>
                <w:color w:val="auto"/>
              </w:rPr>
            </w:pPr>
          </w:p>
        </w:tc>
        <w:tc>
          <w:tcPr>
            <w:tcW w:w="21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7"/>
                <w:szCs w:val="17"/>
                <w:color w:val="auto"/>
              </w:rPr>
              <w:t>Less than one year</w:t>
            </w:r>
          </w:p>
        </w:tc>
        <w:tc>
          <w:tcPr>
            <w:tcW w:w="3320" w:type="dxa"/>
            <w:vAlign w:val="bottom"/>
            <w:gridSpan w:val="2"/>
            <w:shd w:val="clear" w:color="auto" w:fill="CCEEFF"/>
          </w:tcPr>
          <w:p>
            <w:pPr>
              <w:jc w:val="right"/>
              <w:ind w:right="25"/>
              <w:spacing w:after="0"/>
              <w:rPr>
                <w:sz w:val="20"/>
                <w:szCs w:val="20"/>
                <w:color w:val="auto"/>
              </w:rPr>
            </w:pPr>
            <w:r>
              <w:rPr>
                <w:rFonts w:ascii="Arial" w:cs="Arial" w:eastAsia="Arial" w:hAnsi="Arial"/>
                <w:sz w:val="17"/>
                <w:szCs w:val="17"/>
                <w:color w:val="auto"/>
              </w:rPr>
              <w:t>$ 14,232,940</w:t>
            </w:r>
          </w:p>
        </w:tc>
        <w:tc>
          <w:tcPr>
            <w:tcW w:w="114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$ 14,242,115</w:t>
            </w: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7"/>
                <w:szCs w:val="17"/>
                <w:color w:val="auto"/>
              </w:rPr>
              <w:t>$  6,742,519</w:t>
            </w:r>
          </w:p>
        </w:tc>
        <w:tc>
          <w:tcPr>
            <w:tcW w:w="1140" w:type="dxa"/>
            <w:vAlign w:val="bottom"/>
            <w:shd w:val="clear" w:color="auto" w:fill="CCEEFF"/>
          </w:tcPr>
          <w:p>
            <w:pPr>
              <w:jc w:val="right"/>
              <w:ind w:right="38"/>
              <w:spacing w:after="0"/>
              <w:rPr>
                <w:sz w:val="20"/>
                <w:szCs w:val="20"/>
                <w:color w:val="auto"/>
              </w:rPr>
            </w:pPr>
            <w:r>
              <w:rPr>
                <w:rFonts w:ascii="Arial" w:cs="Arial" w:eastAsia="Arial" w:hAnsi="Arial"/>
                <w:sz w:val="17"/>
                <w:szCs w:val="17"/>
                <w:color w:val="auto"/>
              </w:rPr>
              <w:t>$  6,738,014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7"/>
                <w:szCs w:val="17"/>
                <w:color w:val="auto"/>
              </w:rPr>
              <w:t>One to five years</w:t>
            </w:r>
          </w:p>
        </w:tc>
        <w:tc>
          <w:tcPr>
            <w:tcW w:w="3320" w:type="dxa"/>
            <w:vAlign w:val="bottom"/>
            <w:gridSpan w:val="2"/>
          </w:tcPr>
          <w:p>
            <w:pPr>
              <w:jc w:val="right"/>
              <w:ind w:right="25"/>
              <w:spacing w:after="0"/>
              <w:rPr>
                <w:sz w:val="20"/>
                <w:szCs w:val="20"/>
                <w:color w:val="auto"/>
              </w:rPr>
            </w:pPr>
            <w:r>
              <w:rPr>
                <w:rFonts w:ascii="Arial" w:cs="Arial" w:eastAsia="Arial" w:hAnsi="Arial"/>
                <w:sz w:val="17"/>
                <w:szCs w:val="17"/>
                <w:color w:val="auto"/>
              </w:rPr>
              <w:t>43,224,501</w:t>
            </w:r>
          </w:p>
        </w:tc>
        <w:tc>
          <w:tcPr>
            <w:tcW w:w="1140" w:type="dxa"/>
            <w:vAlign w:val="bottom"/>
          </w:tcPr>
          <w:p>
            <w:pPr>
              <w:jc w:val="right"/>
              <w:ind w:right="18"/>
              <w:spacing w:after="0"/>
              <w:rPr>
                <w:sz w:val="20"/>
                <w:szCs w:val="20"/>
                <w:color w:val="auto"/>
              </w:rPr>
            </w:pPr>
            <w:r>
              <w:rPr>
                <w:rFonts w:ascii="Arial" w:cs="Arial" w:eastAsia="Arial" w:hAnsi="Arial"/>
                <w:sz w:val="17"/>
                <w:szCs w:val="17"/>
                <w:color w:val="auto"/>
              </w:rPr>
              <w:t>43,505,313</w:t>
            </w:r>
          </w:p>
        </w:tc>
        <w:tc>
          <w:tcPr>
            <w:tcW w:w="1140" w:type="dxa"/>
            <w:vAlign w:val="bottom"/>
          </w:tcPr>
          <w:p>
            <w:pPr>
              <w:jc w:val="right"/>
              <w:ind w:right="19"/>
              <w:spacing w:after="0"/>
              <w:rPr>
                <w:sz w:val="20"/>
                <w:szCs w:val="20"/>
                <w:color w:val="auto"/>
              </w:rPr>
            </w:pPr>
            <w:r>
              <w:rPr>
                <w:rFonts w:ascii="Arial" w:cs="Arial" w:eastAsia="Arial" w:hAnsi="Arial"/>
                <w:sz w:val="17"/>
                <w:szCs w:val="17"/>
                <w:color w:val="auto"/>
              </w:rPr>
              <w:t>47,038,838</w:t>
            </w:r>
          </w:p>
        </w:tc>
        <w:tc>
          <w:tcPr>
            <w:tcW w:w="1140" w:type="dxa"/>
            <w:vAlign w:val="bottom"/>
          </w:tcPr>
          <w:p>
            <w:pPr>
              <w:jc w:val="right"/>
              <w:ind w:right="38"/>
              <w:spacing w:after="0"/>
              <w:rPr>
                <w:sz w:val="20"/>
                <w:szCs w:val="20"/>
                <w:color w:val="auto"/>
              </w:rPr>
            </w:pPr>
            <w:r>
              <w:rPr>
                <w:rFonts w:ascii="Arial" w:cs="Arial" w:eastAsia="Arial" w:hAnsi="Arial"/>
                <w:sz w:val="17"/>
                <w:szCs w:val="17"/>
                <w:color w:val="auto"/>
              </w:rPr>
              <w:t>46,640,012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7"/>
                <w:szCs w:val="17"/>
                <w:color w:val="auto"/>
              </w:rPr>
              <w:t>Five to ten years</w:t>
            </w:r>
          </w:p>
        </w:tc>
        <w:tc>
          <w:tcPr>
            <w:tcW w:w="3320" w:type="dxa"/>
            <w:vAlign w:val="bottom"/>
            <w:gridSpan w:val="2"/>
            <w:shd w:val="clear" w:color="auto" w:fill="CCEEFF"/>
          </w:tcPr>
          <w:p>
            <w:pPr>
              <w:jc w:val="right"/>
              <w:ind w:right="25"/>
              <w:spacing w:after="0"/>
              <w:rPr>
                <w:sz w:val="20"/>
                <w:szCs w:val="20"/>
                <w:color w:val="auto"/>
              </w:rPr>
            </w:pPr>
            <w:r>
              <w:rPr>
                <w:rFonts w:ascii="Arial" w:cs="Arial" w:eastAsia="Arial" w:hAnsi="Arial"/>
                <w:sz w:val="17"/>
                <w:szCs w:val="17"/>
                <w:color w:val="auto"/>
              </w:rPr>
              <w:t>77,839,224</w:t>
            </w:r>
          </w:p>
        </w:tc>
        <w:tc>
          <w:tcPr>
            <w:tcW w:w="114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78,416,804</w:t>
            </w: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7"/>
                <w:szCs w:val="17"/>
                <w:color w:val="auto"/>
              </w:rPr>
              <w:t>76,884,505</w:t>
            </w:r>
          </w:p>
        </w:tc>
        <w:tc>
          <w:tcPr>
            <w:tcW w:w="1140" w:type="dxa"/>
            <w:vAlign w:val="bottom"/>
            <w:shd w:val="clear" w:color="auto" w:fill="CCEEFF"/>
          </w:tcPr>
          <w:p>
            <w:pPr>
              <w:jc w:val="right"/>
              <w:ind w:right="38"/>
              <w:spacing w:after="0"/>
              <w:rPr>
                <w:sz w:val="20"/>
                <w:szCs w:val="20"/>
                <w:color w:val="auto"/>
              </w:rPr>
            </w:pPr>
            <w:r>
              <w:rPr>
                <w:rFonts w:ascii="Arial" w:cs="Arial" w:eastAsia="Arial" w:hAnsi="Arial"/>
                <w:sz w:val="17"/>
                <w:szCs w:val="17"/>
                <w:color w:val="auto"/>
              </w:rPr>
              <w:t>74,290,076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7"/>
                <w:szCs w:val="17"/>
                <w:color w:val="auto"/>
              </w:rPr>
              <w:t>More than 10 years</w:t>
            </w:r>
          </w:p>
        </w:tc>
        <w:tc>
          <w:tcPr>
            <w:tcW w:w="3320" w:type="dxa"/>
            <w:vAlign w:val="bottom"/>
            <w:gridSpan w:val="2"/>
          </w:tcPr>
          <w:p>
            <w:pPr>
              <w:jc w:val="right"/>
              <w:ind w:right="25"/>
              <w:spacing w:after="0"/>
              <w:rPr>
                <w:sz w:val="20"/>
                <w:szCs w:val="20"/>
                <w:color w:val="auto"/>
              </w:rPr>
            </w:pPr>
            <w:r>
              <w:rPr>
                <w:rFonts w:ascii="Arial" w:cs="Arial" w:eastAsia="Arial" w:hAnsi="Arial"/>
                <w:sz w:val="17"/>
                <w:szCs w:val="17"/>
                <w:color w:val="auto"/>
              </w:rPr>
              <w:t>2,974,872</w:t>
            </w:r>
          </w:p>
        </w:tc>
        <w:tc>
          <w:tcPr>
            <w:tcW w:w="1140" w:type="dxa"/>
            <w:vAlign w:val="bottom"/>
          </w:tcPr>
          <w:p>
            <w:pPr>
              <w:jc w:val="right"/>
              <w:ind w:right="18"/>
              <w:spacing w:after="0"/>
              <w:rPr>
                <w:sz w:val="20"/>
                <w:szCs w:val="20"/>
                <w:color w:val="auto"/>
              </w:rPr>
            </w:pPr>
            <w:r>
              <w:rPr>
                <w:rFonts w:ascii="Arial" w:cs="Arial" w:eastAsia="Arial" w:hAnsi="Arial"/>
                <w:sz w:val="17"/>
                <w:szCs w:val="17"/>
                <w:color w:val="auto"/>
              </w:rPr>
              <w:t>2,878,189</w:t>
            </w:r>
          </w:p>
        </w:tc>
        <w:tc>
          <w:tcPr>
            <w:tcW w:w="1140" w:type="dxa"/>
            <w:vAlign w:val="bottom"/>
          </w:tcPr>
          <w:p>
            <w:pPr>
              <w:jc w:val="right"/>
              <w:ind w:right="19"/>
              <w:spacing w:after="0"/>
              <w:rPr>
                <w:sz w:val="20"/>
                <w:szCs w:val="20"/>
                <w:color w:val="auto"/>
              </w:rPr>
            </w:pPr>
            <w:r>
              <w:rPr>
                <w:rFonts w:ascii="Arial" w:cs="Arial" w:eastAsia="Arial" w:hAnsi="Arial"/>
                <w:sz w:val="17"/>
                <w:szCs w:val="17"/>
                <w:color w:val="auto"/>
              </w:rPr>
              <w:t>2,974,426</w:t>
            </w:r>
          </w:p>
        </w:tc>
        <w:tc>
          <w:tcPr>
            <w:tcW w:w="1140" w:type="dxa"/>
            <w:vAlign w:val="bottom"/>
          </w:tcPr>
          <w:p>
            <w:pPr>
              <w:jc w:val="right"/>
              <w:ind w:right="38"/>
              <w:spacing w:after="0"/>
              <w:rPr>
                <w:sz w:val="20"/>
                <w:szCs w:val="20"/>
                <w:color w:val="auto"/>
              </w:rPr>
            </w:pPr>
            <w:r>
              <w:rPr>
                <w:rFonts w:ascii="Arial" w:cs="Arial" w:eastAsia="Arial" w:hAnsi="Arial"/>
                <w:sz w:val="17"/>
                <w:szCs w:val="17"/>
                <w:color w:val="auto"/>
              </w:rPr>
              <w:t>2,644,180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Residential mortgage and other asset backed securities</w:t>
            </w:r>
          </w:p>
        </w:tc>
        <w:tc>
          <w:tcPr>
            <w:tcW w:w="218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7"/>
                <w:szCs w:val="17"/>
                <w:color w:val="auto"/>
              </w:rPr>
              <w:t>21,648,213</w:t>
            </w:r>
          </w:p>
        </w:tc>
        <w:tc>
          <w:tcPr>
            <w:tcW w:w="114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7"/>
                <w:szCs w:val="17"/>
                <w:color w:val="auto"/>
              </w:rPr>
              <w:t>21,434,731</w:t>
            </w: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7"/>
                <w:szCs w:val="17"/>
                <w:color w:val="auto"/>
              </w:rPr>
              <w:t>21,790,973</w:t>
            </w:r>
          </w:p>
        </w:tc>
        <w:tc>
          <w:tcPr>
            <w:tcW w:w="114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7"/>
                <w:szCs w:val="17"/>
                <w:color w:val="auto"/>
              </w:rPr>
              <w:t>21,465,234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7"/>
                <w:szCs w:val="17"/>
                <w:color w:val="auto"/>
              </w:rPr>
              <w:t>Total</w:t>
            </w:r>
          </w:p>
        </w:tc>
        <w:tc>
          <w:tcPr>
            <w:tcW w:w="3320" w:type="dxa"/>
            <w:vAlign w:val="bottom"/>
            <w:gridSpan w:val="2"/>
          </w:tcPr>
          <w:p>
            <w:pPr>
              <w:jc w:val="right"/>
              <w:ind w:right="25"/>
              <w:spacing w:after="0"/>
              <w:rPr>
                <w:sz w:val="20"/>
                <w:szCs w:val="20"/>
                <w:color w:val="auto"/>
              </w:rPr>
            </w:pPr>
            <w:r>
              <w:rPr>
                <w:rFonts w:ascii="Arial" w:cs="Arial" w:eastAsia="Arial" w:hAnsi="Arial"/>
                <w:sz w:val="17"/>
                <w:szCs w:val="17"/>
                <w:color w:val="auto"/>
              </w:rPr>
              <w:t>$159,919,750</w:t>
            </w:r>
          </w:p>
        </w:tc>
        <w:tc>
          <w:tcPr>
            <w:tcW w:w="1140" w:type="dxa"/>
            <w:vAlign w:val="bottom"/>
          </w:tcPr>
          <w:p>
            <w:pPr>
              <w:jc w:val="right"/>
              <w:ind w:right="18"/>
              <w:spacing w:after="0"/>
              <w:rPr>
                <w:sz w:val="20"/>
                <w:szCs w:val="20"/>
                <w:color w:val="auto"/>
              </w:rPr>
            </w:pPr>
            <w:r>
              <w:rPr>
                <w:rFonts w:ascii="Arial" w:cs="Arial" w:eastAsia="Arial" w:hAnsi="Arial"/>
                <w:sz w:val="17"/>
                <w:szCs w:val="17"/>
                <w:color w:val="auto"/>
                <w:w w:val="98"/>
              </w:rPr>
              <w:t>$160,477,152</w:t>
            </w:r>
          </w:p>
        </w:tc>
        <w:tc>
          <w:tcPr>
            <w:tcW w:w="1140" w:type="dxa"/>
            <w:vAlign w:val="bottom"/>
          </w:tcPr>
          <w:p>
            <w:pPr>
              <w:jc w:val="right"/>
              <w:ind w:right="19"/>
              <w:spacing w:after="0"/>
              <w:rPr>
                <w:sz w:val="20"/>
                <w:szCs w:val="20"/>
                <w:color w:val="auto"/>
              </w:rPr>
            </w:pPr>
            <w:r>
              <w:rPr>
                <w:rFonts w:ascii="Arial" w:cs="Arial" w:eastAsia="Arial" w:hAnsi="Arial"/>
                <w:sz w:val="17"/>
                <w:szCs w:val="17"/>
                <w:color w:val="auto"/>
                <w:w w:val="98"/>
              </w:rPr>
              <w:t>$155,431,261</w:t>
            </w:r>
          </w:p>
        </w:tc>
        <w:tc>
          <w:tcPr>
            <w:tcW w:w="1140" w:type="dxa"/>
            <w:vAlign w:val="bottom"/>
          </w:tcPr>
          <w:p>
            <w:pPr>
              <w:jc w:val="right"/>
              <w:ind w:right="38"/>
              <w:spacing w:after="0"/>
              <w:rPr>
                <w:sz w:val="20"/>
                <w:szCs w:val="20"/>
                <w:color w:val="auto"/>
              </w:rPr>
            </w:pPr>
            <w:r>
              <w:rPr>
                <w:rFonts w:ascii="Arial" w:cs="Arial" w:eastAsia="Arial" w:hAnsi="Arial"/>
                <w:sz w:val="17"/>
                <w:szCs w:val="17"/>
                <w:color w:val="auto"/>
                <w:w w:val="96"/>
              </w:rPr>
              <w:t>$151,777,516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2180" w:type="dxa"/>
            <w:vAlign w:val="bottom"/>
            <w:vMerge w:val="restart"/>
          </w:tcPr>
          <w:p>
            <w:pPr>
              <w:jc w:val="right"/>
              <w:ind w:right="975"/>
              <w:spacing w:after="0"/>
              <w:rPr>
                <w:sz w:val="20"/>
                <w:szCs w:val="20"/>
                <w:color w:val="auto"/>
              </w:rPr>
            </w:pPr>
            <w:r>
              <w:rPr>
                <w:rFonts w:ascii="Arial" w:cs="Arial" w:eastAsia="Arial" w:hAnsi="Arial"/>
                <w:sz w:val="17"/>
                <w:szCs w:val="17"/>
                <w:color w:val="auto"/>
              </w:rPr>
              <w:t>11</w:t>
            </w: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5"/>
        </w:trPr>
        <w:tc>
          <w:tcPr>
            <w:tcW w:w="20" w:type="dxa"/>
            <w:vAlign w:val="bottom"/>
          </w:tcPr>
          <w:p>
            <w:pPr>
              <w:spacing w:after="0"/>
              <w:rPr>
                <w:sz w:val="24"/>
                <w:szCs w:val="24"/>
                <w:color w:val="auto"/>
              </w:rPr>
            </w:pPr>
          </w:p>
        </w:tc>
        <w:tc>
          <w:tcPr>
            <w:tcW w:w="466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vMerge w:val="continue"/>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45" w:right="239" w:bottom="1440" w:gutter="0" w:footer="0" w:header="0"/>
        </w:sectPr>
      </w:pPr>
    </w:p>
    <w:bookmarkStart w:id="11" w:name="page12"/>
    <w:bookmarkEnd w:id="11"/>
    <w:p>
      <w:pPr>
        <w:spacing w:after="0"/>
        <w:rPr>
          <w:sz w:val="20"/>
          <w:szCs w:val="20"/>
          <w:color w:val="auto"/>
        </w:rPr>
      </w:pPr>
      <w:r>
        <w:rPr>
          <w:rFonts w:ascii="Arial" w:cs="Arial" w:eastAsia="Arial" w:hAnsi="Arial"/>
          <w:sz w:val="16"/>
          <w:szCs w:val="16"/>
          <w:color w:val="auto"/>
        </w:rPr>
        <w:t>The actual maturities may differ from contractual maturities because certain borrowers have the right to call or prepay obligations with or without penalties.</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Equity Securities</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color w:val="auto"/>
        </w:rPr>
        <w:t>The cost, estimated fair value, and gross gains and losses of investments in equity securities as of March 31, 2019 and December 31, 2018 are as follows: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20" w:type="dxa"/>
            <w:vAlign w:val="bottom"/>
          </w:tcPr>
          <w:p>
            <w:pPr>
              <w:spacing w:after="0"/>
              <w:rPr>
                <w:sz w:val="15"/>
                <w:szCs w:val="15"/>
                <w:color w:val="auto"/>
              </w:rPr>
            </w:pPr>
          </w:p>
        </w:tc>
        <w:tc>
          <w:tcPr>
            <w:tcW w:w="68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gridSpan w:val="3"/>
          </w:tcPr>
          <w:p>
            <w:pPr>
              <w:jc w:val="right"/>
              <w:ind w:right="620"/>
              <w:spacing w:after="0"/>
              <w:rPr>
                <w:sz w:val="20"/>
                <w:szCs w:val="20"/>
                <w:color w:val="auto"/>
              </w:rPr>
            </w:pPr>
            <w:r>
              <w:rPr>
                <w:rFonts w:ascii="Arial" w:cs="Arial" w:eastAsia="Arial" w:hAnsi="Arial"/>
                <w:sz w:val="14"/>
                <w:szCs w:val="14"/>
                <w:b w:val="1"/>
                <w:bCs w:val="1"/>
                <w:color w:val="auto"/>
              </w:rPr>
              <w:t>March 31, 2019</w:t>
            </w:r>
          </w:p>
        </w:tc>
        <w:tc>
          <w:tcPr>
            <w:tcW w:w="1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68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Category</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ind w:right="302"/>
              <w:spacing w:after="0"/>
              <w:rPr>
                <w:sz w:val="20"/>
                <w:szCs w:val="20"/>
                <w:color w:val="auto"/>
              </w:rPr>
            </w:pPr>
            <w:r>
              <w:rPr>
                <w:rFonts w:ascii="Arial" w:cs="Arial" w:eastAsia="Arial" w:hAnsi="Arial"/>
                <w:sz w:val="14"/>
                <w:szCs w:val="14"/>
                <w:b w:val="1"/>
                <w:bCs w:val="1"/>
                <w:color w:val="auto"/>
              </w:rPr>
              <w:t>Gross</w:t>
            </w:r>
          </w:p>
        </w:tc>
        <w:tc>
          <w:tcPr>
            <w:tcW w:w="260" w:type="dxa"/>
            <w:vAlign w:val="bottom"/>
          </w:tcPr>
          <w:p>
            <w:pPr>
              <w:spacing w:after="0"/>
              <w:rPr>
                <w:sz w:val="19"/>
                <w:szCs w:val="19"/>
                <w:color w:val="auto"/>
              </w:rPr>
            </w:pPr>
          </w:p>
        </w:tc>
        <w:tc>
          <w:tcPr>
            <w:tcW w:w="920" w:type="dxa"/>
            <w:vAlign w:val="bottom"/>
          </w:tcPr>
          <w:p>
            <w:pPr>
              <w:jc w:val="center"/>
              <w:ind w:right="200"/>
              <w:spacing w:after="0"/>
              <w:rPr>
                <w:sz w:val="20"/>
                <w:szCs w:val="20"/>
                <w:color w:val="auto"/>
              </w:rPr>
            </w:pPr>
            <w:r>
              <w:rPr>
                <w:rFonts w:ascii="Arial" w:cs="Arial" w:eastAsia="Arial" w:hAnsi="Arial"/>
                <w:sz w:val="14"/>
                <w:szCs w:val="14"/>
                <w:b w:val="1"/>
                <w:bCs w:val="1"/>
                <w:color w:val="auto"/>
                <w:w w:val="88"/>
              </w:rPr>
              <w:t>Gross</w:t>
            </w:r>
          </w:p>
        </w:tc>
        <w:tc>
          <w:tcPr>
            <w:tcW w:w="180" w:type="dxa"/>
            <w:vAlign w:val="bottom"/>
          </w:tcPr>
          <w:p>
            <w:pPr>
              <w:spacing w:after="0"/>
              <w:rPr>
                <w:sz w:val="19"/>
                <w:szCs w:val="19"/>
                <w:color w:val="auto"/>
              </w:rPr>
            </w:pPr>
          </w:p>
        </w:tc>
        <w:tc>
          <w:tcPr>
            <w:tcW w:w="920" w:type="dxa"/>
            <w:vAlign w:val="bottom"/>
          </w:tcPr>
          <w:p>
            <w:pPr>
              <w:ind w:left="40"/>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77"/>
        </w:trPr>
        <w:tc>
          <w:tcPr>
            <w:tcW w:w="6860" w:type="dxa"/>
            <w:vAlign w:val="bottom"/>
            <w:tcBorders>
              <w:bottom w:val="single" w:sz="8" w:color="auto"/>
            </w:tcBorders>
            <w:gridSpan w:val="2"/>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38"/>
              <w:spacing w:after="0"/>
              <w:rPr>
                <w:sz w:val="20"/>
                <w:szCs w:val="20"/>
                <w:color w:val="auto"/>
              </w:rPr>
            </w:pPr>
            <w:r>
              <w:rPr>
                <w:rFonts w:ascii="Arial" w:cs="Arial" w:eastAsia="Arial" w:hAnsi="Arial"/>
                <w:sz w:val="14"/>
                <w:szCs w:val="14"/>
                <w:b w:val="1"/>
                <w:bCs w:val="1"/>
                <w:color w:val="auto"/>
              </w:rPr>
              <w:t>Cost</w:t>
            </w:r>
          </w:p>
        </w:tc>
        <w:tc>
          <w:tcPr>
            <w:tcW w:w="3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Gains</w:t>
            </w: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200"/>
              <w:spacing w:after="0"/>
              <w:rPr>
                <w:sz w:val="20"/>
                <w:szCs w:val="20"/>
                <w:color w:val="auto"/>
              </w:rPr>
            </w:pPr>
            <w:r>
              <w:rPr>
                <w:rFonts w:ascii="Arial" w:cs="Arial" w:eastAsia="Arial" w:hAnsi="Arial"/>
                <w:sz w:val="14"/>
                <w:szCs w:val="14"/>
                <w:b w:val="1"/>
                <w:bCs w:val="1"/>
                <w:color w:val="auto"/>
                <w:w w:val="82"/>
              </w:rPr>
              <w:t>Losses</w:t>
            </w:r>
          </w:p>
        </w:tc>
        <w:tc>
          <w:tcPr>
            <w:tcW w:w="1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469"/>
        </w:trPr>
        <w:tc>
          <w:tcPr>
            <w:tcW w:w="6860" w:type="dxa"/>
            <w:vAlign w:val="bottom"/>
            <w:gridSpan w:val="2"/>
          </w:tcPr>
          <w:p>
            <w:pPr>
              <w:spacing w:after="0"/>
              <w:rPr>
                <w:sz w:val="20"/>
                <w:szCs w:val="20"/>
                <w:color w:val="auto"/>
              </w:rPr>
            </w:pPr>
            <w:r>
              <w:rPr>
                <w:rFonts w:ascii="Arial" w:cs="Arial" w:eastAsia="Arial" w:hAnsi="Arial"/>
                <w:sz w:val="17"/>
                <w:szCs w:val="17"/>
                <w:b w:val="1"/>
                <w:bCs w:val="1"/>
                <w:color w:val="auto"/>
              </w:rPr>
              <w:t>Equity Securities:</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7"/>
                <w:szCs w:val="17"/>
                <w:color w:val="auto"/>
              </w:rPr>
              <w:t>Preferred stocks</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7,882,618</w:t>
            </w:r>
          </w:p>
        </w:tc>
        <w:tc>
          <w:tcPr>
            <w:tcW w:w="3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ind w:right="22"/>
              <w:spacing w:after="0"/>
              <w:rPr>
                <w:sz w:val="20"/>
                <w:szCs w:val="20"/>
                <w:color w:val="auto"/>
              </w:rPr>
            </w:pPr>
            <w:r>
              <w:rPr>
                <w:rFonts w:ascii="Arial" w:cs="Arial" w:eastAsia="Arial" w:hAnsi="Arial"/>
                <w:sz w:val="17"/>
                <w:szCs w:val="17"/>
                <w:color w:val="auto"/>
              </w:rPr>
              <w:t>109,135</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ind w:right="20"/>
              <w:spacing w:after="0"/>
              <w:rPr>
                <w:sz w:val="20"/>
                <w:szCs w:val="20"/>
                <w:color w:val="auto"/>
              </w:rPr>
            </w:pPr>
            <w:r>
              <w:rPr>
                <w:rFonts w:ascii="Arial" w:cs="Arial" w:eastAsia="Arial" w:hAnsi="Arial"/>
                <w:sz w:val="17"/>
                <w:szCs w:val="17"/>
                <w:color w:val="auto"/>
              </w:rPr>
              <w:t>(101,961)</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ind w:right="40"/>
              <w:spacing w:after="0"/>
              <w:rPr>
                <w:sz w:val="20"/>
                <w:szCs w:val="20"/>
                <w:color w:val="auto"/>
              </w:rPr>
            </w:pPr>
            <w:r>
              <w:rPr>
                <w:rFonts w:ascii="Arial" w:cs="Arial" w:eastAsia="Arial" w:hAnsi="Arial"/>
                <w:sz w:val="17"/>
                <w:szCs w:val="17"/>
                <w:color w:val="auto"/>
              </w:rPr>
              <w:t>7,889,792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7"/>
                <w:szCs w:val="17"/>
                <w:color w:val="auto"/>
              </w:rPr>
              <w:t>Common stocks and exchange</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8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traded mutual funds</w:t>
            </w: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7"/>
                <w:szCs w:val="17"/>
                <w:color w:val="auto"/>
                <w:w w:val="91"/>
              </w:rPr>
              <w:t>11,763,863</w:t>
            </w:r>
          </w:p>
        </w:tc>
        <w:tc>
          <w:tcPr>
            <w:tcW w:w="3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7"/>
                <w:szCs w:val="17"/>
                <w:color w:val="auto"/>
              </w:rPr>
              <w:t>679,795</w:t>
            </w: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7"/>
                <w:szCs w:val="17"/>
                <w:color w:val="auto"/>
              </w:rPr>
              <w:t>(669,463)</w:t>
            </w:r>
          </w:p>
        </w:tc>
        <w:tc>
          <w:tcPr>
            <w:tcW w:w="1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7"/>
                <w:szCs w:val="17"/>
                <w:color w:val="auto"/>
                <w:w w:val="91"/>
              </w:rPr>
              <w:t>11,774,195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7"/>
                <w:szCs w:val="17"/>
                <w:color w:val="auto"/>
              </w:rPr>
              <w:t>Total</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tcPr>
          <w:p>
            <w:pPr>
              <w:jc w:val="right"/>
              <w:ind w:right="18"/>
              <w:spacing w:after="0"/>
              <w:rPr>
                <w:sz w:val="20"/>
                <w:szCs w:val="20"/>
                <w:color w:val="auto"/>
              </w:rPr>
            </w:pPr>
            <w:r>
              <w:rPr>
                <w:rFonts w:ascii="Arial" w:cs="Arial" w:eastAsia="Arial" w:hAnsi="Arial"/>
                <w:sz w:val="17"/>
                <w:szCs w:val="17"/>
                <w:color w:val="auto"/>
                <w:w w:val="91"/>
              </w:rPr>
              <w:t>19,646,481</w:t>
            </w:r>
          </w:p>
        </w:tc>
        <w:tc>
          <w:tcPr>
            <w:tcW w:w="3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auto"/>
            </w:tcBorders>
          </w:tcPr>
          <w:p>
            <w:pPr>
              <w:jc w:val="right"/>
              <w:ind w:right="22"/>
              <w:spacing w:after="0"/>
              <w:rPr>
                <w:sz w:val="20"/>
                <w:szCs w:val="20"/>
                <w:color w:val="auto"/>
              </w:rPr>
            </w:pPr>
            <w:r>
              <w:rPr>
                <w:rFonts w:ascii="Arial" w:cs="Arial" w:eastAsia="Arial" w:hAnsi="Arial"/>
                <w:sz w:val="17"/>
                <w:szCs w:val="17"/>
                <w:color w:val="auto"/>
              </w:rPr>
              <w:t>788,930</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7"/>
                <w:szCs w:val="17"/>
                <w:color w:val="auto"/>
              </w:rPr>
              <w:t>(771,424)</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7"/>
                <w:szCs w:val="17"/>
                <w:color w:val="auto"/>
                <w:w w:val="91"/>
              </w:rPr>
              <w:t>19,663,987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gridSpan w:val="3"/>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20" w:type="dxa"/>
            <w:vAlign w:val="bottom"/>
          </w:tcPr>
          <w:p>
            <w:pPr>
              <w:spacing w:after="0"/>
              <w:rPr>
                <w:sz w:val="24"/>
                <w:szCs w:val="24"/>
                <w:color w:val="auto"/>
              </w:rPr>
            </w:pPr>
          </w:p>
        </w:tc>
        <w:tc>
          <w:tcPr>
            <w:tcW w:w="68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3"/>
          </w:tcPr>
          <w:p>
            <w:pPr>
              <w:jc w:val="right"/>
              <w:ind w:right="520"/>
              <w:spacing w:after="0"/>
              <w:rPr>
                <w:sz w:val="20"/>
                <w:szCs w:val="20"/>
                <w:color w:val="auto"/>
              </w:rPr>
            </w:pPr>
            <w:r>
              <w:rPr>
                <w:rFonts w:ascii="Arial" w:cs="Arial" w:eastAsia="Arial" w:hAnsi="Arial"/>
                <w:sz w:val="14"/>
                <w:szCs w:val="14"/>
                <w:b w:val="1"/>
                <w:bCs w:val="1"/>
                <w:color w:val="auto"/>
              </w:rPr>
              <w:t>December 31, 2018</w:t>
            </w: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68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Category</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ind w:right="302"/>
              <w:spacing w:after="0"/>
              <w:rPr>
                <w:sz w:val="20"/>
                <w:szCs w:val="20"/>
                <w:color w:val="auto"/>
              </w:rPr>
            </w:pPr>
            <w:r>
              <w:rPr>
                <w:rFonts w:ascii="Arial" w:cs="Arial" w:eastAsia="Arial" w:hAnsi="Arial"/>
                <w:sz w:val="14"/>
                <w:szCs w:val="14"/>
                <w:b w:val="1"/>
                <w:bCs w:val="1"/>
                <w:color w:val="auto"/>
              </w:rPr>
              <w:t>Gross</w:t>
            </w:r>
          </w:p>
        </w:tc>
        <w:tc>
          <w:tcPr>
            <w:tcW w:w="260" w:type="dxa"/>
            <w:vAlign w:val="bottom"/>
          </w:tcPr>
          <w:p>
            <w:pPr>
              <w:spacing w:after="0"/>
              <w:rPr>
                <w:sz w:val="19"/>
                <w:szCs w:val="19"/>
                <w:color w:val="auto"/>
              </w:rPr>
            </w:pPr>
          </w:p>
        </w:tc>
        <w:tc>
          <w:tcPr>
            <w:tcW w:w="920" w:type="dxa"/>
            <w:vAlign w:val="bottom"/>
          </w:tcPr>
          <w:p>
            <w:pPr>
              <w:jc w:val="center"/>
              <w:ind w:right="200"/>
              <w:spacing w:after="0"/>
              <w:rPr>
                <w:sz w:val="20"/>
                <w:szCs w:val="20"/>
                <w:color w:val="auto"/>
              </w:rPr>
            </w:pPr>
            <w:r>
              <w:rPr>
                <w:rFonts w:ascii="Arial" w:cs="Arial" w:eastAsia="Arial" w:hAnsi="Arial"/>
                <w:sz w:val="14"/>
                <w:szCs w:val="14"/>
                <w:b w:val="1"/>
                <w:bCs w:val="1"/>
                <w:color w:val="auto"/>
                <w:w w:val="88"/>
              </w:rPr>
              <w:t>Gross</w:t>
            </w:r>
          </w:p>
        </w:tc>
        <w:tc>
          <w:tcPr>
            <w:tcW w:w="180" w:type="dxa"/>
            <w:vAlign w:val="bottom"/>
          </w:tcPr>
          <w:p>
            <w:pPr>
              <w:spacing w:after="0"/>
              <w:rPr>
                <w:sz w:val="19"/>
                <w:szCs w:val="19"/>
                <w:color w:val="auto"/>
              </w:rPr>
            </w:pPr>
          </w:p>
        </w:tc>
        <w:tc>
          <w:tcPr>
            <w:tcW w:w="920" w:type="dxa"/>
            <w:vAlign w:val="bottom"/>
          </w:tcPr>
          <w:p>
            <w:pPr>
              <w:ind w:left="40"/>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77"/>
        </w:trPr>
        <w:tc>
          <w:tcPr>
            <w:tcW w:w="6860" w:type="dxa"/>
            <w:vAlign w:val="bottom"/>
            <w:tcBorders>
              <w:bottom w:val="single" w:sz="8" w:color="auto"/>
            </w:tcBorders>
            <w:gridSpan w:val="2"/>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38"/>
              <w:spacing w:after="0"/>
              <w:rPr>
                <w:sz w:val="20"/>
                <w:szCs w:val="20"/>
                <w:color w:val="auto"/>
              </w:rPr>
            </w:pPr>
            <w:r>
              <w:rPr>
                <w:rFonts w:ascii="Arial" w:cs="Arial" w:eastAsia="Arial" w:hAnsi="Arial"/>
                <w:sz w:val="14"/>
                <w:szCs w:val="14"/>
                <w:b w:val="1"/>
                <w:bCs w:val="1"/>
                <w:color w:val="auto"/>
              </w:rPr>
              <w:t>Cost</w:t>
            </w:r>
          </w:p>
        </w:tc>
        <w:tc>
          <w:tcPr>
            <w:tcW w:w="3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Gains</w:t>
            </w: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200"/>
              <w:spacing w:after="0"/>
              <w:rPr>
                <w:sz w:val="20"/>
                <w:szCs w:val="20"/>
                <w:color w:val="auto"/>
              </w:rPr>
            </w:pPr>
            <w:r>
              <w:rPr>
                <w:rFonts w:ascii="Arial" w:cs="Arial" w:eastAsia="Arial" w:hAnsi="Arial"/>
                <w:sz w:val="14"/>
                <w:szCs w:val="14"/>
                <w:b w:val="1"/>
                <w:bCs w:val="1"/>
                <w:color w:val="auto"/>
                <w:w w:val="82"/>
              </w:rPr>
              <w:t>Losses</w:t>
            </w:r>
          </w:p>
        </w:tc>
        <w:tc>
          <w:tcPr>
            <w:tcW w:w="1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469"/>
        </w:trPr>
        <w:tc>
          <w:tcPr>
            <w:tcW w:w="6860" w:type="dxa"/>
            <w:vAlign w:val="bottom"/>
            <w:gridSpan w:val="2"/>
          </w:tcPr>
          <w:p>
            <w:pPr>
              <w:spacing w:after="0"/>
              <w:rPr>
                <w:sz w:val="20"/>
                <w:szCs w:val="20"/>
                <w:color w:val="auto"/>
              </w:rPr>
            </w:pPr>
            <w:r>
              <w:rPr>
                <w:rFonts w:ascii="Arial" w:cs="Arial" w:eastAsia="Arial" w:hAnsi="Arial"/>
                <w:sz w:val="17"/>
                <w:szCs w:val="17"/>
                <w:b w:val="1"/>
                <w:bCs w:val="1"/>
                <w:color w:val="auto"/>
              </w:rPr>
              <w:t>Equity Securities:</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7"/>
                <w:szCs w:val="17"/>
                <w:color w:val="auto"/>
              </w:rPr>
              <w:t>Preferred stocks</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6,694,754</w:t>
            </w:r>
          </w:p>
        </w:tc>
        <w:tc>
          <w:tcPr>
            <w:tcW w:w="3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ind w:right="22"/>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ind w:right="20"/>
              <w:spacing w:after="0"/>
              <w:rPr>
                <w:sz w:val="20"/>
                <w:szCs w:val="20"/>
                <w:color w:val="auto"/>
              </w:rPr>
            </w:pPr>
            <w:r>
              <w:rPr>
                <w:rFonts w:ascii="Arial" w:cs="Arial" w:eastAsia="Arial" w:hAnsi="Arial"/>
                <w:sz w:val="17"/>
                <w:szCs w:val="17"/>
                <w:color w:val="auto"/>
              </w:rPr>
              <w:t>(541,798)</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ind w:right="40"/>
              <w:spacing w:after="0"/>
              <w:rPr>
                <w:sz w:val="20"/>
                <w:szCs w:val="20"/>
                <w:color w:val="auto"/>
              </w:rPr>
            </w:pPr>
            <w:r>
              <w:rPr>
                <w:rFonts w:ascii="Arial" w:cs="Arial" w:eastAsia="Arial" w:hAnsi="Arial"/>
                <w:sz w:val="17"/>
                <w:szCs w:val="17"/>
                <w:color w:val="auto"/>
              </w:rPr>
              <w:t>6,152,956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7"/>
                <w:szCs w:val="17"/>
                <w:color w:val="auto"/>
              </w:rPr>
              <w:t>Common stocks and exchange</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8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traded mutual funds</w:t>
            </w: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7"/>
                <w:szCs w:val="17"/>
                <w:color w:val="auto"/>
                <w:w w:val="91"/>
              </w:rPr>
              <w:t>11,611,232</w:t>
            </w:r>
          </w:p>
        </w:tc>
        <w:tc>
          <w:tcPr>
            <w:tcW w:w="3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7"/>
                <w:szCs w:val="17"/>
                <w:color w:val="auto"/>
              </w:rPr>
              <w:t>99,817</w:t>
            </w: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7"/>
                <w:szCs w:val="17"/>
                <w:color w:val="auto"/>
                <w:w w:val="91"/>
              </w:rPr>
              <w:t>(1,291,389)</w:t>
            </w:r>
          </w:p>
        </w:tc>
        <w:tc>
          <w:tcPr>
            <w:tcW w:w="1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7"/>
                <w:szCs w:val="17"/>
                <w:color w:val="auto"/>
                <w:w w:val="91"/>
              </w:rPr>
              <w:t>10,419,660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7"/>
                <w:szCs w:val="17"/>
                <w:color w:val="auto"/>
              </w:rPr>
              <w:t>Total</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tcPr>
          <w:p>
            <w:pPr>
              <w:jc w:val="right"/>
              <w:ind w:right="18"/>
              <w:spacing w:after="0"/>
              <w:rPr>
                <w:sz w:val="20"/>
                <w:szCs w:val="20"/>
                <w:color w:val="auto"/>
              </w:rPr>
            </w:pPr>
            <w:r>
              <w:rPr>
                <w:rFonts w:ascii="Arial" w:cs="Arial" w:eastAsia="Arial" w:hAnsi="Arial"/>
                <w:sz w:val="17"/>
                <w:szCs w:val="17"/>
                <w:color w:val="auto"/>
                <w:w w:val="91"/>
              </w:rPr>
              <w:t>18,305,986</w:t>
            </w:r>
          </w:p>
        </w:tc>
        <w:tc>
          <w:tcPr>
            <w:tcW w:w="3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auto"/>
            </w:tcBorders>
          </w:tcPr>
          <w:p>
            <w:pPr>
              <w:jc w:val="right"/>
              <w:ind w:right="22"/>
              <w:spacing w:after="0"/>
              <w:rPr>
                <w:sz w:val="20"/>
                <w:szCs w:val="20"/>
                <w:color w:val="auto"/>
              </w:rPr>
            </w:pPr>
            <w:r>
              <w:rPr>
                <w:rFonts w:ascii="Arial" w:cs="Arial" w:eastAsia="Arial" w:hAnsi="Arial"/>
                <w:sz w:val="17"/>
                <w:szCs w:val="17"/>
                <w:color w:val="auto"/>
              </w:rPr>
              <w:t>99,817</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7"/>
                <w:szCs w:val="17"/>
                <w:color w:val="auto"/>
                <w:w w:val="91"/>
              </w:rPr>
              <w:t>(1,833,187)</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7"/>
                <w:szCs w:val="17"/>
                <w:color w:val="auto"/>
                <w:w w:val="91"/>
              </w:rPr>
              <w:t>16,572,616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Other Investments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The cost, estimated fair value, and gross gains of the Company’s other investments as of March 31, 2019 and December 31, 2018 are as follows: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20" w:type="dxa"/>
            <w:vAlign w:val="bottom"/>
          </w:tcPr>
          <w:p>
            <w:pPr>
              <w:spacing w:after="0"/>
              <w:rPr>
                <w:sz w:val="15"/>
                <w:szCs w:val="15"/>
                <w:color w:val="auto"/>
              </w:rPr>
            </w:pPr>
          </w:p>
        </w:tc>
        <w:tc>
          <w:tcPr>
            <w:tcW w:w="45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2"/>
          </w:tcPr>
          <w:p>
            <w:pPr>
              <w:jc w:val="center"/>
              <w:ind w:left="18"/>
              <w:spacing w:after="0"/>
              <w:rPr>
                <w:sz w:val="20"/>
                <w:szCs w:val="20"/>
                <w:color w:val="auto"/>
              </w:rPr>
            </w:pPr>
            <w:r>
              <w:rPr>
                <w:rFonts w:ascii="Arial" w:cs="Arial" w:eastAsia="Arial" w:hAnsi="Arial"/>
                <w:sz w:val="14"/>
                <w:szCs w:val="14"/>
                <w:b w:val="1"/>
                <w:bCs w:val="1"/>
                <w:color w:val="auto"/>
                <w:w w:val="96"/>
              </w:rPr>
              <w:t>March 31, 2019</w:t>
            </w: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December 31, 2018</w:t>
            </w: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45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Category</w:t>
            </w: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center"/>
              <w:ind w:right="222"/>
              <w:spacing w:after="0"/>
              <w:rPr>
                <w:sz w:val="20"/>
                <w:szCs w:val="20"/>
                <w:color w:val="auto"/>
              </w:rPr>
            </w:pPr>
            <w:r>
              <w:rPr>
                <w:rFonts w:ascii="Arial" w:cs="Arial" w:eastAsia="Arial" w:hAnsi="Arial"/>
                <w:sz w:val="14"/>
                <w:szCs w:val="14"/>
                <w:b w:val="1"/>
                <w:bCs w:val="1"/>
                <w:color w:val="auto"/>
                <w:w w:val="88"/>
              </w:rPr>
              <w:t>Gross</w:t>
            </w:r>
          </w:p>
        </w:tc>
        <w:tc>
          <w:tcPr>
            <w:tcW w:w="220" w:type="dxa"/>
            <w:vAlign w:val="bottom"/>
          </w:tcPr>
          <w:p>
            <w:pPr>
              <w:spacing w:after="0"/>
              <w:rPr>
                <w:sz w:val="19"/>
                <w:szCs w:val="19"/>
                <w:color w:val="auto"/>
              </w:rPr>
            </w:pPr>
          </w:p>
        </w:tc>
        <w:tc>
          <w:tcPr>
            <w:tcW w:w="900" w:type="dxa"/>
            <w:vAlign w:val="bottom"/>
          </w:tcPr>
          <w:p>
            <w:pPr>
              <w:jc w:val="right"/>
              <w:ind w:right="162"/>
              <w:spacing w:after="0"/>
              <w:rPr>
                <w:sz w:val="20"/>
                <w:szCs w:val="20"/>
                <w:color w:val="auto"/>
              </w:rPr>
            </w:pPr>
            <w:r>
              <w:rPr>
                <w:rFonts w:ascii="Arial" w:cs="Arial" w:eastAsia="Arial" w:hAnsi="Arial"/>
                <w:sz w:val="14"/>
                <w:szCs w:val="14"/>
                <w:b w:val="1"/>
                <w:bCs w:val="1"/>
                <w:color w:val="auto"/>
                <w:w w:val="95"/>
              </w:rPr>
              <w:t>Estimated</w:t>
            </w: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center"/>
              <w:ind w:right="282"/>
              <w:spacing w:after="0"/>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19"/>
                <w:szCs w:val="19"/>
                <w:color w:val="auto"/>
              </w:rPr>
            </w:pPr>
          </w:p>
        </w:tc>
        <w:tc>
          <w:tcPr>
            <w:tcW w:w="920" w:type="dxa"/>
            <w:vAlign w:val="bottom"/>
          </w:tcPr>
          <w:p>
            <w:pPr>
              <w:jc w:val="right"/>
              <w:ind w:right="182"/>
              <w:spacing w:after="0"/>
              <w:rPr>
                <w:sz w:val="20"/>
                <w:szCs w:val="20"/>
                <w:color w:val="auto"/>
              </w:rPr>
            </w:pPr>
            <w:r>
              <w:rPr>
                <w:rFonts w:ascii="Arial" w:cs="Arial" w:eastAsia="Arial" w:hAnsi="Arial"/>
                <w:sz w:val="14"/>
                <w:szCs w:val="14"/>
                <w:b w:val="1"/>
                <w:bCs w:val="1"/>
                <w:color w:val="auto"/>
                <w:w w:val="95"/>
              </w:rPr>
              <w:t>Estimated</w:t>
            </w:r>
          </w:p>
        </w:tc>
        <w:tc>
          <w:tcPr>
            <w:tcW w:w="0" w:type="dxa"/>
            <w:vAlign w:val="bottom"/>
          </w:tcPr>
          <w:p>
            <w:pPr>
              <w:spacing w:after="0"/>
              <w:rPr>
                <w:sz w:val="1"/>
                <w:szCs w:val="1"/>
                <w:color w:val="auto"/>
              </w:rPr>
            </w:pPr>
          </w:p>
        </w:tc>
      </w:tr>
      <w:tr>
        <w:trPr>
          <w:trHeight w:val="177"/>
        </w:trPr>
        <w:tc>
          <w:tcPr>
            <w:tcW w:w="4580" w:type="dxa"/>
            <w:vAlign w:val="bottom"/>
            <w:tcBorders>
              <w:bottom w:val="single" w:sz="8" w:color="auto"/>
            </w:tcBorders>
            <w:gridSpan w:val="2"/>
            <w:vMerge w:val="continue"/>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Cost</w:t>
            </w:r>
          </w:p>
        </w:tc>
        <w:tc>
          <w:tcPr>
            <w:tcW w:w="4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222"/>
              <w:spacing w:after="0"/>
              <w:rPr>
                <w:sz w:val="20"/>
                <w:szCs w:val="20"/>
                <w:color w:val="auto"/>
              </w:rPr>
            </w:pPr>
            <w:r>
              <w:rPr>
                <w:rFonts w:ascii="Arial" w:cs="Arial" w:eastAsia="Arial" w:hAnsi="Arial"/>
                <w:sz w:val="14"/>
                <w:szCs w:val="14"/>
                <w:b w:val="1"/>
                <w:bCs w:val="1"/>
                <w:color w:val="auto"/>
                <w:w w:val="92"/>
              </w:rPr>
              <w:t>Gains</w:t>
            </w: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auto"/>
                <w:w w:val="95"/>
              </w:rPr>
              <w:t>Fair Value</w:t>
            </w:r>
          </w:p>
        </w:tc>
        <w:tc>
          <w:tcPr>
            <w:tcW w:w="2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Cost</w:t>
            </w:r>
          </w:p>
        </w:tc>
        <w:tc>
          <w:tcPr>
            <w:tcW w:w="3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282"/>
              <w:spacing w:after="0"/>
              <w:rPr>
                <w:sz w:val="20"/>
                <w:szCs w:val="20"/>
                <w:color w:val="auto"/>
              </w:rPr>
            </w:pPr>
            <w:r>
              <w:rPr>
                <w:rFonts w:ascii="Arial" w:cs="Arial" w:eastAsia="Arial" w:hAnsi="Arial"/>
                <w:sz w:val="14"/>
                <w:szCs w:val="14"/>
                <w:b w:val="1"/>
                <w:bCs w:val="1"/>
                <w:color w:val="auto"/>
                <w:w w:val="92"/>
              </w:rPr>
              <w:t>Gains</w:t>
            </w: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469"/>
        </w:trPr>
        <w:tc>
          <w:tcPr>
            <w:tcW w:w="4580" w:type="dxa"/>
            <w:vAlign w:val="bottom"/>
            <w:gridSpan w:val="2"/>
          </w:tcPr>
          <w:p>
            <w:pPr>
              <w:spacing w:after="0"/>
              <w:rPr>
                <w:sz w:val="20"/>
                <w:szCs w:val="20"/>
                <w:color w:val="auto"/>
              </w:rPr>
            </w:pPr>
            <w:r>
              <w:rPr>
                <w:rFonts w:ascii="Arial" w:cs="Arial" w:eastAsia="Arial" w:hAnsi="Arial"/>
                <w:sz w:val="17"/>
                <w:szCs w:val="17"/>
                <w:b w:val="1"/>
                <w:bCs w:val="1"/>
                <w:color w:val="auto"/>
              </w:rPr>
              <w:t>Other Investments:</w:t>
            </w: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Hedge fund</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7"/>
              </w:rPr>
              <w:t>1,999,381</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7"/>
                <w:szCs w:val="17"/>
                <w:color w:val="auto"/>
              </w:rPr>
              <w:t>148,564</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7"/>
                <w:szCs w:val="17"/>
                <w:color w:val="auto"/>
              </w:rPr>
              <w:t>2,147,945</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7"/>
              </w:rPr>
              <w:t>1,999,381</w:t>
            </w:r>
          </w:p>
        </w:tc>
        <w:tc>
          <w:tcPr>
            <w:tcW w:w="3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7"/>
                <w:szCs w:val="17"/>
                <w:color w:val="auto"/>
              </w:rPr>
              <w:t>(144,156)</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7"/>
                <w:szCs w:val="17"/>
                <w:color w:val="auto"/>
              </w:rPr>
              <w:t>1,855,225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7"/>
                <w:szCs w:val="17"/>
                <w:color w:val="auto"/>
              </w:rPr>
              <w:t>Total</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7"/>
              </w:rPr>
              <w:t>1,999,381</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tcPr>
          <w:p>
            <w:pPr>
              <w:jc w:val="right"/>
              <w:ind w:right="42"/>
              <w:spacing w:after="0"/>
              <w:rPr>
                <w:sz w:val="20"/>
                <w:szCs w:val="20"/>
                <w:color w:val="auto"/>
              </w:rPr>
            </w:pPr>
            <w:r>
              <w:rPr>
                <w:rFonts w:ascii="Arial" w:cs="Arial" w:eastAsia="Arial" w:hAnsi="Arial"/>
                <w:sz w:val="17"/>
                <w:szCs w:val="17"/>
                <w:color w:val="auto"/>
              </w:rPr>
              <w:t>148,564</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tcPr>
          <w:p>
            <w:pPr>
              <w:jc w:val="right"/>
              <w:ind w:right="22"/>
              <w:spacing w:after="0"/>
              <w:rPr>
                <w:sz w:val="20"/>
                <w:szCs w:val="20"/>
                <w:color w:val="auto"/>
              </w:rPr>
            </w:pPr>
            <w:r>
              <w:rPr>
                <w:rFonts w:ascii="Arial" w:cs="Arial" w:eastAsia="Arial" w:hAnsi="Arial"/>
                <w:sz w:val="17"/>
                <w:szCs w:val="17"/>
                <w:color w:val="auto"/>
              </w:rPr>
              <w:t>2,147,945</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7"/>
              </w:rPr>
              <w:t>1,999,381</w:t>
            </w:r>
          </w:p>
        </w:tc>
        <w:tc>
          <w:tcPr>
            <w:tcW w:w="340" w:type="dxa"/>
            <w:vAlign w:val="bottom"/>
            <w:tcBorders>
              <w:bottom w:val="single" w:sz="8" w:color="auto"/>
            </w:tcBorders>
          </w:tcPr>
          <w:p>
            <w:pPr>
              <w:jc w:val="right"/>
              <w:ind w:right="19"/>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tcPr>
          <w:p>
            <w:pPr>
              <w:jc w:val="right"/>
              <w:ind w:right="62"/>
              <w:spacing w:after="0"/>
              <w:rPr>
                <w:sz w:val="20"/>
                <w:szCs w:val="20"/>
                <w:color w:val="auto"/>
              </w:rPr>
            </w:pPr>
            <w:r>
              <w:rPr>
                <w:rFonts w:ascii="Arial" w:cs="Arial" w:eastAsia="Arial" w:hAnsi="Arial"/>
                <w:sz w:val="17"/>
                <w:szCs w:val="17"/>
                <w:color w:val="auto"/>
              </w:rPr>
              <w:t>(144,156)</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tcPr>
          <w:p>
            <w:pPr>
              <w:jc w:val="right"/>
              <w:ind w:right="42"/>
              <w:spacing w:after="0"/>
              <w:rPr>
                <w:sz w:val="20"/>
                <w:szCs w:val="20"/>
                <w:color w:val="auto"/>
              </w:rPr>
            </w:pPr>
            <w:r>
              <w:rPr>
                <w:rFonts w:ascii="Arial" w:cs="Arial" w:eastAsia="Arial" w:hAnsi="Arial"/>
                <w:sz w:val="17"/>
                <w:szCs w:val="17"/>
                <w:color w:val="auto"/>
              </w:rPr>
              <w:t>1,855,225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7"/>
        </w:trPr>
        <w:tc>
          <w:tcPr>
            <w:tcW w:w="20" w:type="dxa"/>
            <w:vAlign w:val="bottom"/>
          </w:tcPr>
          <w:p>
            <w:pPr>
              <w:spacing w:after="0"/>
              <w:rPr>
                <w:sz w:val="24"/>
                <w:szCs w:val="24"/>
                <w:color w:val="auto"/>
              </w:rPr>
            </w:pPr>
          </w:p>
        </w:tc>
        <w:tc>
          <w:tcPr>
            <w:tcW w:w="45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jc w:val="right"/>
              <w:ind w:right="138"/>
              <w:spacing w:after="0"/>
              <w:rPr>
                <w:sz w:val="20"/>
                <w:szCs w:val="20"/>
                <w:color w:val="auto"/>
              </w:rPr>
            </w:pPr>
            <w:r>
              <w:rPr>
                <w:rFonts w:ascii="Arial" w:cs="Arial" w:eastAsia="Arial" w:hAnsi="Arial"/>
                <w:sz w:val="17"/>
                <w:szCs w:val="17"/>
                <w:color w:val="auto"/>
                <w:w w:val="84"/>
              </w:rPr>
              <w:t>12</w:t>
            </w: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76" w:right="239" w:bottom="1440" w:gutter="0" w:footer="0" w:header="0"/>
        </w:sectPr>
      </w:pPr>
    </w:p>
    <w:bookmarkStart w:id="12" w:name="page13"/>
    <w:bookmarkEnd w:id="12"/>
    <w:p>
      <w:pPr>
        <w:spacing w:after="0"/>
        <w:rPr>
          <w:sz w:val="20"/>
          <w:szCs w:val="20"/>
          <w:color w:val="auto"/>
        </w:rPr>
      </w:pPr>
      <w:r>
        <w:rPr>
          <w:rFonts w:ascii="Arial" w:cs="Arial" w:eastAsia="Arial" w:hAnsi="Arial"/>
          <w:sz w:val="17"/>
          <w:szCs w:val="17"/>
          <w:u w:val="single" w:color="auto"/>
          <w:color w:val="auto"/>
        </w:rPr>
        <w:t>Held-to-Maturity Securities</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color w:val="auto"/>
        </w:rPr>
        <w:t>The amortized cost, estimated fair value, and unrealized gains and losses of investments in held-to-maturity fixed-maturity securities as of March 31, 2019 and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December 31, 2018 are summarized as follows: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20" w:type="dxa"/>
            <w:vAlign w:val="bottom"/>
          </w:tcPr>
          <w:p>
            <w:pPr>
              <w:spacing w:after="0"/>
              <w:rPr>
                <w:sz w:val="15"/>
                <w:szCs w:val="15"/>
                <w:color w:val="auto"/>
              </w:rPr>
            </w:pPr>
          </w:p>
        </w:tc>
        <w:tc>
          <w:tcPr>
            <w:tcW w:w="45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gridSpan w:val="3"/>
          </w:tcPr>
          <w:p>
            <w:pPr>
              <w:jc w:val="center"/>
              <w:ind w:right="198"/>
              <w:spacing w:after="0"/>
              <w:rPr>
                <w:sz w:val="20"/>
                <w:szCs w:val="20"/>
                <w:color w:val="auto"/>
              </w:rPr>
            </w:pPr>
            <w:r>
              <w:rPr>
                <w:rFonts w:ascii="Arial" w:cs="Arial" w:eastAsia="Arial" w:hAnsi="Arial"/>
                <w:sz w:val="14"/>
                <w:szCs w:val="14"/>
                <w:b w:val="1"/>
                <w:bCs w:val="1"/>
                <w:color w:val="auto"/>
                <w:w w:val="96"/>
              </w:rPr>
              <w:t>March 31, 2019</w:t>
            </w: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425"/>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jc w:val="center"/>
              <w:ind w:right="21"/>
              <w:spacing w:after="0"/>
              <w:rPr>
                <w:sz w:val="20"/>
                <w:szCs w:val="20"/>
                <w:color w:val="auto"/>
              </w:rPr>
            </w:pPr>
            <w:r>
              <w:rPr>
                <w:rFonts w:ascii="Arial" w:cs="Arial" w:eastAsia="Arial" w:hAnsi="Arial"/>
                <w:sz w:val="14"/>
                <w:szCs w:val="14"/>
                <w:b w:val="1"/>
                <w:bCs w:val="1"/>
                <w:color w:val="auto"/>
                <w:w w:val="89"/>
              </w:rPr>
              <w:t>Cost or</w:t>
            </w:r>
          </w:p>
        </w:tc>
        <w:tc>
          <w:tcPr>
            <w:tcW w:w="340" w:type="dxa"/>
            <w:vAlign w:val="bottom"/>
          </w:tcPr>
          <w:p>
            <w:pPr>
              <w:spacing w:after="0"/>
              <w:rPr>
                <w:sz w:val="24"/>
                <w:szCs w:val="24"/>
                <w:color w:val="auto"/>
              </w:rPr>
            </w:pPr>
          </w:p>
        </w:tc>
        <w:tc>
          <w:tcPr>
            <w:tcW w:w="920" w:type="dxa"/>
            <w:vAlign w:val="bottom"/>
          </w:tcPr>
          <w:p>
            <w:pPr>
              <w:jc w:val="center"/>
              <w:ind w:right="161"/>
              <w:spacing w:after="0"/>
              <w:rPr>
                <w:sz w:val="20"/>
                <w:szCs w:val="20"/>
                <w:color w:val="auto"/>
              </w:rPr>
            </w:pPr>
            <w:r>
              <w:rPr>
                <w:rFonts w:ascii="Arial" w:cs="Arial" w:eastAsia="Arial" w:hAnsi="Arial"/>
                <w:sz w:val="14"/>
                <w:szCs w:val="14"/>
                <w:b w:val="1"/>
                <w:bCs w:val="1"/>
                <w:color w:val="auto"/>
                <w:w w:val="88"/>
              </w:rPr>
              <w:t>Gross</w:t>
            </w:r>
          </w:p>
        </w:tc>
        <w:tc>
          <w:tcPr>
            <w:tcW w:w="26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3"/>
          </w:tcPr>
          <w:p>
            <w:pPr>
              <w:jc w:val="center"/>
              <w:ind w:right="178"/>
              <w:spacing w:after="0"/>
              <w:rPr>
                <w:sz w:val="20"/>
                <w:szCs w:val="20"/>
                <w:color w:val="auto"/>
              </w:rPr>
            </w:pPr>
            <w:r>
              <w:rPr>
                <w:rFonts w:ascii="Arial" w:cs="Arial" w:eastAsia="Arial" w:hAnsi="Arial"/>
                <w:sz w:val="14"/>
                <w:szCs w:val="14"/>
                <w:b w:val="1"/>
                <w:bCs w:val="1"/>
                <w:color w:val="auto"/>
                <w:w w:val="89"/>
              </w:rPr>
              <w:t>Gross Unrealized Losses</w:t>
            </w:r>
          </w:p>
        </w:tc>
        <w:tc>
          <w:tcPr>
            <w:tcW w:w="240" w:type="dxa"/>
            <w:vAlign w:val="bottom"/>
          </w:tcPr>
          <w:p>
            <w:pPr>
              <w:spacing w:after="0"/>
              <w:rPr>
                <w:sz w:val="24"/>
                <w:szCs w:val="24"/>
                <w:color w:val="auto"/>
              </w:rPr>
            </w:pPr>
          </w:p>
        </w:tc>
        <w:tc>
          <w:tcPr>
            <w:tcW w:w="900" w:type="dxa"/>
            <w:vAlign w:val="bottom"/>
          </w:tcPr>
          <w:p>
            <w:pPr>
              <w:jc w:val="center"/>
              <w:ind w:right="161"/>
              <w:spacing w:after="0"/>
              <w:rPr>
                <w:sz w:val="20"/>
                <w:szCs w:val="20"/>
                <w:color w:val="auto"/>
              </w:rPr>
            </w:pPr>
            <w:r>
              <w:rPr>
                <w:rFonts w:ascii="Arial" w:cs="Arial" w:eastAsia="Arial" w:hAnsi="Arial"/>
                <w:sz w:val="14"/>
                <w:szCs w:val="14"/>
                <w:b w:val="1"/>
                <w:bCs w:val="1"/>
                <w:color w:val="auto"/>
                <w:w w:val="92"/>
              </w:rPr>
              <w:t>Estimated</w:t>
            </w:r>
          </w:p>
        </w:tc>
        <w:tc>
          <w:tcPr>
            <w:tcW w:w="220" w:type="dxa"/>
            <w:vAlign w:val="bottom"/>
          </w:tcPr>
          <w:p>
            <w:pPr>
              <w:spacing w:after="0"/>
              <w:rPr>
                <w:sz w:val="24"/>
                <w:szCs w:val="24"/>
                <w:color w:val="auto"/>
              </w:rPr>
            </w:pPr>
          </w:p>
        </w:tc>
        <w:tc>
          <w:tcPr>
            <w:tcW w:w="920" w:type="dxa"/>
            <w:vAlign w:val="bottom"/>
          </w:tcPr>
          <w:p>
            <w:pPr>
              <w:jc w:val="center"/>
              <w:ind w:right="141"/>
              <w:spacing w:after="0"/>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222"/>
        </w:trPr>
        <w:tc>
          <w:tcPr>
            <w:tcW w:w="45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Category</w:t>
            </w:r>
          </w:p>
        </w:tc>
        <w:tc>
          <w:tcPr>
            <w:tcW w:w="220" w:type="dxa"/>
            <w:vAlign w:val="bottom"/>
          </w:tcPr>
          <w:p>
            <w:pPr>
              <w:spacing w:after="0"/>
              <w:rPr>
                <w:sz w:val="19"/>
                <w:szCs w:val="19"/>
                <w:color w:val="auto"/>
              </w:rPr>
            </w:pPr>
          </w:p>
        </w:tc>
        <w:tc>
          <w:tcPr>
            <w:tcW w:w="820" w:type="dxa"/>
            <w:vAlign w:val="bottom"/>
          </w:tcPr>
          <w:p>
            <w:pPr>
              <w:jc w:val="center"/>
              <w:ind w:right="21"/>
              <w:spacing w:after="0"/>
              <w:rPr>
                <w:sz w:val="20"/>
                <w:szCs w:val="20"/>
                <w:color w:val="auto"/>
              </w:rPr>
            </w:pPr>
            <w:r>
              <w:rPr>
                <w:rFonts w:ascii="Arial" w:cs="Arial" w:eastAsia="Arial" w:hAnsi="Arial"/>
                <w:sz w:val="14"/>
                <w:szCs w:val="14"/>
                <w:b w:val="1"/>
                <w:bCs w:val="1"/>
                <w:color w:val="auto"/>
                <w:w w:val="93"/>
              </w:rPr>
              <w:t>Amortized</w:t>
            </w:r>
          </w:p>
        </w:tc>
        <w:tc>
          <w:tcPr>
            <w:tcW w:w="340" w:type="dxa"/>
            <w:vAlign w:val="bottom"/>
          </w:tcPr>
          <w:p>
            <w:pPr>
              <w:spacing w:after="0"/>
              <w:rPr>
                <w:sz w:val="19"/>
                <w:szCs w:val="19"/>
                <w:color w:val="auto"/>
              </w:rPr>
            </w:pPr>
          </w:p>
        </w:tc>
        <w:tc>
          <w:tcPr>
            <w:tcW w:w="920" w:type="dxa"/>
            <w:vAlign w:val="bottom"/>
          </w:tcPr>
          <w:p>
            <w:pPr>
              <w:jc w:val="center"/>
              <w:ind w:right="161"/>
              <w:spacing w:after="0"/>
              <w:rPr>
                <w:sz w:val="20"/>
                <w:szCs w:val="20"/>
                <w:color w:val="auto"/>
              </w:rPr>
            </w:pPr>
            <w:r>
              <w:rPr>
                <w:rFonts w:ascii="Arial" w:cs="Arial" w:eastAsia="Arial" w:hAnsi="Arial"/>
                <w:sz w:val="14"/>
                <w:szCs w:val="14"/>
                <w:b w:val="1"/>
                <w:bCs w:val="1"/>
                <w:color w:val="auto"/>
                <w:w w:val="95"/>
              </w:rPr>
              <w:t>Unrealized</w:t>
            </w:r>
          </w:p>
        </w:tc>
        <w:tc>
          <w:tcPr>
            <w:tcW w:w="11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Less than 12</w:t>
            </w:r>
          </w:p>
        </w:tc>
        <w:tc>
          <w:tcPr>
            <w:tcW w:w="11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7"/>
              </w:rPr>
              <w:t>More than 12</w:t>
            </w:r>
          </w:p>
        </w:tc>
        <w:tc>
          <w:tcPr>
            <w:tcW w:w="240" w:type="dxa"/>
            <w:vAlign w:val="bottom"/>
          </w:tcPr>
          <w:p>
            <w:pPr>
              <w:spacing w:after="0"/>
              <w:rPr>
                <w:sz w:val="19"/>
                <w:szCs w:val="19"/>
                <w:color w:val="auto"/>
              </w:rPr>
            </w:pPr>
          </w:p>
        </w:tc>
        <w:tc>
          <w:tcPr>
            <w:tcW w:w="900" w:type="dxa"/>
            <w:vAlign w:val="bottom"/>
          </w:tcPr>
          <w:p>
            <w:pPr>
              <w:jc w:val="center"/>
              <w:ind w:right="161"/>
              <w:spacing w:after="0"/>
              <w:rPr>
                <w:sz w:val="20"/>
                <w:szCs w:val="20"/>
                <w:color w:val="auto"/>
              </w:rPr>
            </w:pPr>
            <w:r>
              <w:rPr>
                <w:rFonts w:ascii="Arial" w:cs="Arial" w:eastAsia="Arial" w:hAnsi="Arial"/>
                <w:sz w:val="14"/>
                <w:szCs w:val="14"/>
                <w:b w:val="1"/>
                <w:bCs w:val="1"/>
                <w:color w:val="auto"/>
              </w:rPr>
              <w:t>Fair</w:t>
            </w:r>
          </w:p>
        </w:tc>
        <w:tc>
          <w:tcPr>
            <w:tcW w:w="220" w:type="dxa"/>
            <w:vAlign w:val="bottom"/>
          </w:tcPr>
          <w:p>
            <w:pPr>
              <w:spacing w:after="0"/>
              <w:rPr>
                <w:sz w:val="19"/>
                <w:szCs w:val="19"/>
                <w:color w:val="auto"/>
              </w:rPr>
            </w:pPr>
          </w:p>
        </w:tc>
        <w:tc>
          <w:tcPr>
            <w:tcW w:w="920" w:type="dxa"/>
            <w:vAlign w:val="bottom"/>
          </w:tcPr>
          <w:p>
            <w:pPr>
              <w:jc w:val="center"/>
              <w:ind w:right="141"/>
              <w:spacing w:after="0"/>
              <w:rPr>
                <w:sz w:val="20"/>
                <w:szCs w:val="20"/>
                <w:color w:val="auto"/>
              </w:rPr>
            </w:pPr>
            <w:r>
              <w:rPr>
                <w:rFonts w:ascii="Arial" w:cs="Arial" w:eastAsia="Arial" w:hAnsi="Arial"/>
                <w:sz w:val="14"/>
                <w:szCs w:val="14"/>
                <w:b w:val="1"/>
                <w:bCs w:val="1"/>
                <w:color w:val="auto"/>
                <w:w w:val="93"/>
              </w:rPr>
              <w:t>Unrealized</w:t>
            </w:r>
          </w:p>
        </w:tc>
        <w:tc>
          <w:tcPr>
            <w:tcW w:w="0" w:type="dxa"/>
            <w:vAlign w:val="bottom"/>
          </w:tcPr>
          <w:p>
            <w:pPr>
              <w:spacing w:after="0"/>
              <w:rPr>
                <w:sz w:val="1"/>
                <w:szCs w:val="1"/>
                <w:color w:val="auto"/>
              </w:rPr>
            </w:pPr>
          </w:p>
        </w:tc>
      </w:tr>
      <w:tr>
        <w:trPr>
          <w:trHeight w:val="177"/>
        </w:trPr>
        <w:tc>
          <w:tcPr>
            <w:tcW w:w="4580" w:type="dxa"/>
            <w:vAlign w:val="bottom"/>
            <w:tcBorders>
              <w:bottom w:val="single" w:sz="8" w:color="auto"/>
            </w:tcBorders>
            <w:gridSpan w:val="2"/>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b w:val="1"/>
                <w:bCs w:val="1"/>
                <w:color w:val="auto"/>
                <w:w w:val="89"/>
              </w:rPr>
              <w:t>Cost</w:t>
            </w:r>
          </w:p>
        </w:tc>
        <w:tc>
          <w:tcPr>
            <w:tcW w:w="3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161"/>
              <w:spacing w:after="0"/>
              <w:rPr>
                <w:sz w:val="20"/>
                <w:szCs w:val="20"/>
                <w:color w:val="auto"/>
              </w:rPr>
            </w:pPr>
            <w:r>
              <w:rPr>
                <w:rFonts w:ascii="Arial" w:cs="Arial" w:eastAsia="Arial" w:hAnsi="Arial"/>
                <w:sz w:val="14"/>
                <w:szCs w:val="14"/>
                <w:b w:val="1"/>
                <w:bCs w:val="1"/>
                <w:color w:val="auto"/>
                <w:w w:val="92"/>
              </w:rPr>
              <w:t>Gains</w:t>
            </w: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221"/>
              <w:spacing w:after="0"/>
              <w:rPr>
                <w:sz w:val="20"/>
                <w:szCs w:val="20"/>
                <w:color w:val="auto"/>
              </w:rPr>
            </w:pPr>
            <w:r>
              <w:rPr>
                <w:rFonts w:ascii="Arial" w:cs="Arial" w:eastAsia="Arial" w:hAnsi="Arial"/>
                <w:sz w:val="14"/>
                <w:szCs w:val="14"/>
                <w:b w:val="1"/>
                <w:bCs w:val="1"/>
                <w:color w:val="auto"/>
                <w:w w:val="96"/>
              </w:rPr>
              <w:t>Months</w:t>
            </w: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178"/>
              <w:spacing w:after="0"/>
              <w:rPr>
                <w:sz w:val="20"/>
                <w:szCs w:val="20"/>
                <w:color w:val="auto"/>
              </w:rPr>
            </w:pPr>
            <w:r>
              <w:rPr>
                <w:rFonts w:ascii="Arial" w:cs="Arial" w:eastAsia="Arial" w:hAnsi="Arial"/>
                <w:sz w:val="14"/>
                <w:szCs w:val="14"/>
                <w:b w:val="1"/>
                <w:bCs w:val="1"/>
                <w:color w:val="auto"/>
                <w:w w:val="96"/>
              </w:rPr>
              <w:t>Months</w:t>
            </w: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161"/>
              <w:spacing w:after="0"/>
              <w:rPr>
                <w:sz w:val="20"/>
                <w:szCs w:val="20"/>
                <w:color w:val="auto"/>
              </w:rPr>
            </w:pPr>
            <w:r>
              <w:rPr>
                <w:rFonts w:ascii="Arial" w:cs="Arial" w:eastAsia="Arial" w:hAnsi="Arial"/>
                <w:sz w:val="14"/>
                <w:szCs w:val="14"/>
                <w:b w:val="1"/>
                <w:bCs w:val="1"/>
                <w:color w:val="auto"/>
                <w:w w:val="90"/>
              </w:rPr>
              <w:t>Value</w:t>
            </w: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121"/>
              <w:spacing w:after="0"/>
              <w:rPr>
                <w:sz w:val="20"/>
                <w:szCs w:val="20"/>
                <w:color w:val="auto"/>
              </w:rPr>
            </w:pPr>
            <w:r>
              <w:rPr>
                <w:rFonts w:ascii="Arial" w:cs="Arial" w:eastAsia="Arial" w:hAnsi="Arial"/>
                <w:sz w:val="14"/>
                <w:szCs w:val="14"/>
                <w:b w:val="1"/>
                <w:bCs w:val="1"/>
                <w:color w:val="auto"/>
                <w:w w:val="92"/>
              </w:rPr>
              <w:t>Gains</w:t>
            </w:r>
          </w:p>
        </w:tc>
        <w:tc>
          <w:tcPr>
            <w:tcW w:w="0" w:type="dxa"/>
            <w:vAlign w:val="bottom"/>
          </w:tcPr>
          <w:p>
            <w:pPr>
              <w:spacing w:after="0"/>
              <w:rPr>
                <w:sz w:val="1"/>
                <w:szCs w:val="1"/>
                <w:color w:val="auto"/>
              </w:rPr>
            </w:pPr>
          </w:p>
        </w:tc>
      </w:tr>
      <w:tr>
        <w:trPr>
          <w:trHeight w:val="469"/>
        </w:trPr>
        <w:tc>
          <w:tcPr>
            <w:tcW w:w="4580" w:type="dxa"/>
            <w:vAlign w:val="bottom"/>
            <w:gridSpan w:val="2"/>
          </w:tcPr>
          <w:p>
            <w:pPr>
              <w:spacing w:after="0"/>
              <w:rPr>
                <w:sz w:val="20"/>
                <w:szCs w:val="20"/>
                <w:color w:val="auto"/>
              </w:rPr>
            </w:pPr>
            <w:r>
              <w:rPr>
                <w:rFonts w:ascii="Arial" w:cs="Arial" w:eastAsia="Arial" w:hAnsi="Arial"/>
                <w:sz w:val="17"/>
                <w:szCs w:val="17"/>
                <w:b w:val="1"/>
                <w:bCs w:val="1"/>
                <w:color w:val="auto"/>
              </w:rPr>
              <w:t>Held-to-Maturity Securities:</w:t>
            </w: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7"/>
                <w:szCs w:val="17"/>
                <w:color w:val="auto"/>
              </w:rPr>
              <w:t>U.S. Treasury securities</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729,517</w:t>
            </w: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ind w:right="41"/>
              <w:spacing w:after="0"/>
              <w:rPr>
                <w:sz w:val="20"/>
                <w:szCs w:val="20"/>
                <w:color w:val="auto"/>
              </w:rPr>
            </w:pPr>
            <w:r>
              <w:rPr>
                <w:rFonts w:ascii="Arial" w:cs="Arial" w:eastAsia="Arial" w:hAnsi="Arial"/>
                <w:sz w:val="17"/>
                <w:szCs w:val="17"/>
                <w:color w:val="auto"/>
              </w:rPr>
              <w:t>147,522</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(1,177)</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ind w:right="21"/>
              <w:spacing w:after="0"/>
              <w:rPr>
                <w:sz w:val="20"/>
                <w:szCs w:val="20"/>
                <w:color w:val="auto"/>
              </w:rPr>
            </w:pPr>
            <w:r>
              <w:rPr>
                <w:rFonts w:ascii="Arial" w:cs="Arial" w:eastAsia="Arial" w:hAnsi="Arial"/>
                <w:sz w:val="17"/>
                <w:szCs w:val="17"/>
                <w:color w:val="auto"/>
              </w:rPr>
              <w:t>875,862</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ind w:right="41"/>
              <w:spacing w:after="0"/>
              <w:rPr>
                <w:sz w:val="20"/>
                <w:szCs w:val="20"/>
                <w:color w:val="auto"/>
              </w:rPr>
            </w:pPr>
            <w:r>
              <w:rPr>
                <w:rFonts w:ascii="Arial" w:cs="Arial" w:eastAsia="Arial" w:hAnsi="Arial"/>
                <w:sz w:val="17"/>
                <w:szCs w:val="17"/>
                <w:color w:val="auto"/>
              </w:rPr>
              <w:t>146,345</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7"/>
                <w:szCs w:val="17"/>
                <w:color w:val="auto"/>
              </w:rPr>
              <w:t>Political subdivisions of States,</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7"/>
                <w:szCs w:val="17"/>
                <w:color w:val="auto"/>
              </w:rPr>
              <w:t>Territories and Possessions</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998,759</w:t>
            </w:r>
          </w:p>
        </w:tc>
        <w:tc>
          <w:tcPr>
            <w:tcW w:w="340" w:type="dxa"/>
            <w:vAlign w:val="bottom"/>
          </w:tcPr>
          <w:p>
            <w:pPr>
              <w:spacing w:after="0"/>
              <w:rPr>
                <w:sz w:val="18"/>
                <w:szCs w:val="18"/>
                <w:color w:val="auto"/>
              </w:rPr>
            </w:pPr>
          </w:p>
        </w:tc>
        <w:tc>
          <w:tcPr>
            <w:tcW w:w="920" w:type="dxa"/>
            <w:vAlign w:val="bottom"/>
          </w:tcPr>
          <w:p>
            <w:pPr>
              <w:jc w:val="right"/>
              <w:ind w:right="41"/>
              <w:spacing w:after="0"/>
              <w:rPr>
                <w:sz w:val="20"/>
                <w:szCs w:val="20"/>
                <w:color w:val="auto"/>
              </w:rPr>
            </w:pPr>
            <w:r>
              <w:rPr>
                <w:rFonts w:ascii="Arial" w:cs="Arial" w:eastAsia="Arial" w:hAnsi="Arial"/>
                <w:sz w:val="17"/>
                <w:szCs w:val="17"/>
                <w:color w:val="auto"/>
              </w:rPr>
              <w:t>45,676</w:t>
            </w:r>
          </w:p>
        </w:tc>
        <w:tc>
          <w:tcPr>
            <w:tcW w:w="260" w:type="dxa"/>
            <w:vAlign w:val="bottom"/>
          </w:tcPr>
          <w:p>
            <w:pPr>
              <w:spacing w:after="0"/>
              <w:rPr>
                <w:sz w:val="18"/>
                <w:szCs w:val="18"/>
                <w:color w:val="auto"/>
              </w:rPr>
            </w:pPr>
          </w:p>
        </w:tc>
        <w:tc>
          <w:tcPr>
            <w:tcW w:w="900" w:type="dxa"/>
            <w:vAlign w:val="bottom"/>
          </w:tcPr>
          <w:p>
            <w:pPr>
              <w:jc w:val="right"/>
              <w:ind w:right="61"/>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860" w:type="dxa"/>
            <w:vAlign w:val="bottom"/>
          </w:tcPr>
          <w:p>
            <w:pPr>
              <w:jc w:val="right"/>
              <w:ind w:right="18"/>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900" w:type="dxa"/>
            <w:vAlign w:val="bottom"/>
          </w:tcPr>
          <w:p>
            <w:pPr>
              <w:jc w:val="right"/>
              <w:ind w:right="21"/>
              <w:spacing w:after="0"/>
              <w:rPr>
                <w:sz w:val="20"/>
                <w:szCs w:val="20"/>
                <w:color w:val="auto"/>
              </w:rPr>
            </w:pPr>
            <w:r>
              <w:rPr>
                <w:rFonts w:ascii="Arial" w:cs="Arial" w:eastAsia="Arial" w:hAnsi="Arial"/>
                <w:sz w:val="17"/>
                <w:szCs w:val="17"/>
                <w:color w:val="auto"/>
              </w:rPr>
              <w:t>1,044,435</w:t>
            </w:r>
          </w:p>
        </w:tc>
        <w:tc>
          <w:tcPr>
            <w:tcW w:w="220" w:type="dxa"/>
            <w:vAlign w:val="bottom"/>
          </w:tcPr>
          <w:p>
            <w:pPr>
              <w:spacing w:after="0"/>
              <w:rPr>
                <w:sz w:val="18"/>
                <w:szCs w:val="18"/>
                <w:color w:val="auto"/>
              </w:rPr>
            </w:pPr>
          </w:p>
        </w:tc>
        <w:tc>
          <w:tcPr>
            <w:tcW w:w="920" w:type="dxa"/>
            <w:vAlign w:val="bottom"/>
          </w:tcPr>
          <w:p>
            <w:pPr>
              <w:jc w:val="right"/>
              <w:ind w:right="41"/>
              <w:spacing w:after="0"/>
              <w:rPr>
                <w:sz w:val="20"/>
                <w:szCs w:val="20"/>
                <w:color w:val="auto"/>
              </w:rPr>
            </w:pPr>
            <w:r>
              <w:rPr>
                <w:rFonts w:ascii="Arial" w:cs="Arial" w:eastAsia="Arial" w:hAnsi="Arial"/>
                <w:sz w:val="17"/>
                <w:szCs w:val="17"/>
                <w:color w:val="auto"/>
              </w:rPr>
              <w:t>45,676</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7"/>
                <w:szCs w:val="17"/>
                <w:color w:val="auto"/>
              </w:rPr>
              <w:t>Corporate and other bonds</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Industrial and miscellaneous</w:t>
            </w: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2,096,344</w:t>
            </w:r>
          </w:p>
        </w:tc>
        <w:tc>
          <w:tcPr>
            <w:tcW w:w="3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7"/>
                <w:szCs w:val="17"/>
                <w:color w:val="auto"/>
              </w:rPr>
              <w:t>65,540</w:t>
            </w: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(5,570)</w:t>
            </w: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7"/>
                <w:szCs w:val="17"/>
                <w:color w:val="auto"/>
              </w:rPr>
              <w:t>2,156,314</w:t>
            </w: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7"/>
                <w:szCs w:val="17"/>
                <w:color w:val="auto"/>
              </w:rPr>
              <w:t>59,970</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0" w:type="dxa"/>
            <w:vAlign w:val="bottom"/>
            <w:vMerge w:val="continue"/>
          </w:tcPr>
          <w:p>
            <w:pPr>
              <w:spacing w:after="0"/>
              <w:rPr>
                <w:sz w:val="21"/>
                <w:szCs w:val="21"/>
                <w:color w:val="auto"/>
              </w:rPr>
            </w:pPr>
          </w:p>
        </w:tc>
        <w:tc>
          <w:tcPr>
            <w:tcW w:w="4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Total</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3,824,620</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7"/>
                <w:szCs w:val="17"/>
                <w:color w:val="auto"/>
              </w:rPr>
              <w:t>258,738</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7"/>
                <w:szCs w:val="17"/>
                <w:color w:val="auto"/>
              </w:rPr>
              <w:t>(1,177)</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(5,570)</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7"/>
                <w:szCs w:val="17"/>
                <w:color w:val="auto"/>
              </w:rPr>
              <w:t>4,076,611</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7"/>
                <w:szCs w:val="17"/>
                <w:color w:val="auto"/>
              </w:rPr>
              <w:t>251,991</w:t>
            </w:r>
          </w:p>
        </w:tc>
        <w:tc>
          <w:tcPr>
            <w:tcW w:w="0" w:type="dxa"/>
            <w:vAlign w:val="bottom"/>
          </w:tcPr>
          <w:p>
            <w:pPr>
              <w:spacing w:after="0"/>
              <w:rPr>
                <w:sz w:val="1"/>
                <w:szCs w:val="1"/>
                <w:color w:val="auto"/>
              </w:rPr>
            </w:pPr>
          </w:p>
        </w:tc>
      </w:tr>
      <w:tr>
        <w:trPr>
          <w:trHeight w:val="417"/>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3"/>
          </w:tcPr>
          <w:p>
            <w:pPr>
              <w:jc w:val="center"/>
              <w:ind w:right="198"/>
              <w:spacing w:after="0"/>
              <w:rPr>
                <w:sz w:val="20"/>
                <w:szCs w:val="20"/>
                <w:color w:val="auto"/>
              </w:rPr>
            </w:pPr>
            <w:r>
              <w:rPr>
                <w:rFonts w:ascii="Arial" w:cs="Arial" w:eastAsia="Arial" w:hAnsi="Arial"/>
                <w:sz w:val="14"/>
                <w:szCs w:val="14"/>
                <w:b w:val="1"/>
                <w:bCs w:val="1"/>
                <w:color w:val="auto"/>
                <w:w w:val="91"/>
              </w:rPr>
              <w:t>December 31, 2018</w:t>
            </w: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25"/>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jc w:val="center"/>
              <w:ind w:right="21"/>
              <w:spacing w:after="0"/>
              <w:rPr>
                <w:sz w:val="20"/>
                <w:szCs w:val="20"/>
                <w:color w:val="auto"/>
              </w:rPr>
            </w:pPr>
            <w:r>
              <w:rPr>
                <w:rFonts w:ascii="Arial" w:cs="Arial" w:eastAsia="Arial" w:hAnsi="Arial"/>
                <w:sz w:val="14"/>
                <w:szCs w:val="14"/>
                <w:b w:val="1"/>
                <w:bCs w:val="1"/>
                <w:color w:val="auto"/>
                <w:w w:val="89"/>
              </w:rPr>
              <w:t>Cost or</w:t>
            </w:r>
          </w:p>
        </w:tc>
        <w:tc>
          <w:tcPr>
            <w:tcW w:w="340" w:type="dxa"/>
            <w:vAlign w:val="bottom"/>
          </w:tcPr>
          <w:p>
            <w:pPr>
              <w:spacing w:after="0"/>
              <w:rPr>
                <w:sz w:val="24"/>
                <w:szCs w:val="24"/>
                <w:color w:val="auto"/>
              </w:rPr>
            </w:pPr>
          </w:p>
        </w:tc>
        <w:tc>
          <w:tcPr>
            <w:tcW w:w="920" w:type="dxa"/>
            <w:vAlign w:val="bottom"/>
          </w:tcPr>
          <w:p>
            <w:pPr>
              <w:jc w:val="center"/>
              <w:ind w:right="161"/>
              <w:spacing w:after="0"/>
              <w:rPr>
                <w:sz w:val="20"/>
                <w:szCs w:val="20"/>
                <w:color w:val="auto"/>
              </w:rPr>
            </w:pPr>
            <w:r>
              <w:rPr>
                <w:rFonts w:ascii="Arial" w:cs="Arial" w:eastAsia="Arial" w:hAnsi="Arial"/>
                <w:sz w:val="14"/>
                <w:szCs w:val="14"/>
                <w:b w:val="1"/>
                <w:bCs w:val="1"/>
                <w:color w:val="auto"/>
                <w:w w:val="88"/>
              </w:rPr>
              <w:t>Gross</w:t>
            </w:r>
          </w:p>
        </w:tc>
        <w:tc>
          <w:tcPr>
            <w:tcW w:w="26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3"/>
          </w:tcPr>
          <w:p>
            <w:pPr>
              <w:jc w:val="center"/>
              <w:ind w:right="178"/>
              <w:spacing w:after="0"/>
              <w:rPr>
                <w:sz w:val="20"/>
                <w:szCs w:val="20"/>
                <w:color w:val="auto"/>
              </w:rPr>
            </w:pPr>
            <w:r>
              <w:rPr>
                <w:rFonts w:ascii="Arial" w:cs="Arial" w:eastAsia="Arial" w:hAnsi="Arial"/>
                <w:sz w:val="14"/>
                <w:szCs w:val="14"/>
                <w:b w:val="1"/>
                <w:bCs w:val="1"/>
                <w:color w:val="auto"/>
                <w:w w:val="89"/>
              </w:rPr>
              <w:t>Gross Unrealized Losses</w:t>
            </w:r>
          </w:p>
        </w:tc>
        <w:tc>
          <w:tcPr>
            <w:tcW w:w="240" w:type="dxa"/>
            <w:vAlign w:val="bottom"/>
          </w:tcPr>
          <w:p>
            <w:pPr>
              <w:spacing w:after="0"/>
              <w:rPr>
                <w:sz w:val="24"/>
                <w:szCs w:val="24"/>
                <w:color w:val="auto"/>
              </w:rPr>
            </w:pPr>
          </w:p>
        </w:tc>
        <w:tc>
          <w:tcPr>
            <w:tcW w:w="900" w:type="dxa"/>
            <w:vAlign w:val="bottom"/>
          </w:tcPr>
          <w:p>
            <w:pPr>
              <w:jc w:val="center"/>
              <w:ind w:right="161"/>
              <w:spacing w:after="0"/>
              <w:rPr>
                <w:sz w:val="20"/>
                <w:szCs w:val="20"/>
                <w:color w:val="auto"/>
              </w:rPr>
            </w:pPr>
            <w:r>
              <w:rPr>
                <w:rFonts w:ascii="Arial" w:cs="Arial" w:eastAsia="Arial" w:hAnsi="Arial"/>
                <w:sz w:val="14"/>
                <w:szCs w:val="14"/>
                <w:b w:val="1"/>
                <w:bCs w:val="1"/>
                <w:color w:val="auto"/>
                <w:w w:val="92"/>
              </w:rPr>
              <w:t>Estimated</w:t>
            </w:r>
          </w:p>
        </w:tc>
        <w:tc>
          <w:tcPr>
            <w:tcW w:w="220" w:type="dxa"/>
            <w:vAlign w:val="bottom"/>
          </w:tcPr>
          <w:p>
            <w:pPr>
              <w:spacing w:after="0"/>
              <w:rPr>
                <w:sz w:val="24"/>
                <w:szCs w:val="24"/>
                <w:color w:val="auto"/>
              </w:rPr>
            </w:pPr>
          </w:p>
        </w:tc>
        <w:tc>
          <w:tcPr>
            <w:tcW w:w="920" w:type="dxa"/>
            <w:vAlign w:val="bottom"/>
          </w:tcPr>
          <w:p>
            <w:pPr>
              <w:jc w:val="center"/>
              <w:ind w:right="141"/>
              <w:spacing w:after="0"/>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222"/>
        </w:trPr>
        <w:tc>
          <w:tcPr>
            <w:tcW w:w="45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Category</w:t>
            </w:r>
          </w:p>
        </w:tc>
        <w:tc>
          <w:tcPr>
            <w:tcW w:w="220" w:type="dxa"/>
            <w:vAlign w:val="bottom"/>
          </w:tcPr>
          <w:p>
            <w:pPr>
              <w:spacing w:after="0"/>
              <w:rPr>
                <w:sz w:val="19"/>
                <w:szCs w:val="19"/>
                <w:color w:val="auto"/>
              </w:rPr>
            </w:pPr>
          </w:p>
        </w:tc>
        <w:tc>
          <w:tcPr>
            <w:tcW w:w="820" w:type="dxa"/>
            <w:vAlign w:val="bottom"/>
          </w:tcPr>
          <w:p>
            <w:pPr>
              <w:jc w:val="center"/>
              <w:ind w:right="21"/>
              <w:spacing w:after="0"/>
              <w:rPr>
                <w:sz w:val="20"/>
                <w:szCs w:val="20"/>
                <w:color w:val="auto"/>
              </w:rPr>
            </w:pPr>
            <w:r>
              <w:rPr>
                <w:rFonts w:ascii="Arial" w:cs="Arial" w:eastAsia="Arial" w:hAnsi="Arial"/>
                <w:sz w:val="14"/>
                <w:szCs w:val="14"/>
                <w:b w:val="1"/>
                <w:bCs w:val="1"/>
                <w:color w:val="auto"/>
                <w:w w:val="93"/>
              </w:rPr>
              <w:t>Amortized</w:t>
            </w:r>
          </w:p>
        </w:tc>
        <w:tc>
          <w:tcPr>
            <w:tcW w:w="340" w:type="dxa"/>
            <w:vAlign w:val="bottom"/>
          </w:tcPr>
          <w:p>
            <w:pPr>
              <w:spacing w:after="0"/>
              <w:rPr>
                <w:sz w:val="19"/>
                <w:szCs w:val="19"/>
                <w:color w:val="auto"/>
              </w:rPr>
            </w:pPr>
          </w:p>
        </w:tc>
        <w:tc>
          <w:tcPr>
            <w:tcW w:w="920" w:type="dxa"/>
            <w:vAlign w:val="bottom"/>
          </w:tcPr>
          <w:p>
            <w:pPr>
              <w:jc w:val="center"/>
              <w:ind w:right="161"/>
              <w:spacing w:after="0"/>
              <w:rPr>
                <w:sz w:val="20"/>
                <w:szCs w:val="20"/>
                <w:color w:val="auto"/>
              </w:rPr>
            </w:pPr>
            <w:r>
              <w:rPr>
                <w:rFonts w:ascii="Arial" w:cs="Arial" w:eastAsia="Arial" w:hAnsi="Arial"/>
                <w:sz w:val="14"/>
                <w:szCs w:val="14"/>
                <w:b w:val="1"/>
                <w:bCs w:val="1"/>
                <w:color w:val="auto"/>
                <w:w w:val="95"/>
              </w:rPr>
              <w:t>Unrealized</w:t>
            </w:r>
          </w:p>
        </w:tc>
        <w:tc>
          <w:tcPr>
            <w:tcW w:w="11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Less than 12</w:t>
            </w:r>
          </w:p>
        </w:tc>
        <w:tc>
          <w:tcPr>
            <w:tcW w:w="11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7"/>
              </w:rPr>
              <w:t>More than 12</w:t>
            </w:r>
          </w:p>
        </w:tc>
        <w:tc>
          <w:tcPr>
            <w:tcW w:w="240" w:type="dxa"/>
            <w:vAlign w:val="bottom"/>
          </w:tcPr>
          <w:p>
            <w:pPr>
              <w:spacing w:after="0"/>
              <w:rPr>
                <w:sz w:val="19"/>
                <w:szCs w:val="19"/>
                <w:color w:val="auto"/>
              </w:rPr>
            </w:pPr>
          </w:p>
        </w:tc>
        <w:tc>
          <w:tcPr>
            <w:tcW w:w="900" w:type="dxa"/>
            <w:vAlign w:val="bottom"/>
          </w:tcPr>
          <w:p>
            <w:pPr>
              <w:jc w:val="center"/>
              <w:ind w:right="161"/>
              <w:spacing w:after="0"/>
              <w:rPr>
                <w:sz w:val="20"/>
                <w:szCs w:val="20"/>
                <w:color w:val="auto"/>
              </w:rPr>
            </w:pPr>
            <w:r>
              <w:rPr>
                <w:rFonts w:ascii="Arial" w:cs="Arial" w:eastAsia="Arial" w:hAnsi="Arial"/>
                <w:sz w:val="14"/>
                <w:szCs w:val="14"/>
                <w:b w:val="1"/>
                <w:bCs w:val="1"/>
                <w:color w:val="auto"/>
              </w:rPr>
              <w:t>Fair</w:t>
            </w:r>
          </w:p>
        </w:tc>
        <w:tc>
          <w:tcPr>
            <w:tcW w:w="220" w:type="dxa"/>
            <w:vAlign w:val="bottom"/>
          </w:tcPr>
          <w:p>
            <w:pPr>
              <w:spacing w:after="0"/>
              <w:rPr>
                <w:sz w:val="19"/>
                <w:szCs w:val="19"/>
                <w:color w:val="auto"/>
              </w:rPr>
            </w:pPr>
          </w:p>
        </w:tc>
        <w:tc>
          <w:tcPr>
            <w:tcW w:w="920" w:type="dxa"/>
            <w:vAlign w:val="bottom"/>
          </w:tcPr>
          <w:p>
            <w:pPr>
              <w:jc w:val="center"/>
              <w:ind w:right="141"/>
              <w:spacing w:after="0"/>
              <w:rPr>
                <w:sz w:val="20"/>
                <w:szCs w:val="20"/>
                <w:color w:val="auto"/>
              </w:rPr>
            </w:pPr>
            <w:r>
              <w:rPr>
                <w:rFonts w:ascii="Arial" w:cs="Arial" w:eastAsia="Arial" w:hAnsi="Arial"/>
                <w:sz w:val="14"/>
                <w:szCs w:val="14"/>
                <w:b w:val="1"/>
                <w:bCs w:val="1"/>
                <w:color w:val="auto"/>
                <w:w w:val="93"/>
              </w:rPr>
              <w:t>Unrealized</w:t>
            </w:r>
          </w:p>
        </w:tc>
        <w:tc>
          <w:tcPr>
            <w:tcW w:w="0" w:type="dxa"/>
            <w:vAlign w:val="bottom"/>
          </w:tcPr>
          <w:p>
            <w:pPr>
              <w:spacing w:after="0"/>
              <w:rPr>
                <w:sz w:val="1"/>
                <w:szCs w:val="1"/>
                <w:color w:val="auto"/>
              </w:rPr>
            </w:pPr>
          </w:p>
        </w:tc>
      </w:tr>
      <w:tr>
        <w:trPr>
          <w:trHeight w:val="177"/>
        </w:trPr>
        <w:tc>
          <w:tcPr>
            <w:tcW w:w="4580" w:type="dxa"/>
            <w:vAlign w:val="bottom"/>
            <w:tcBorders>
              <w:bottom w:val="single" w:sz="8" w:color="auto"/>
            </w:tcBorders>
            <w:gridSpan w:val="2"/>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b w:val="1"/>
                <w:bCs w:val="1"/>
                <w:color w:val="auto"/>
                <w:w w:val="89"/>
              </w:rPr>
              <w:t>Cost</w:t>
            </w:r>
          </w:p>
        </w:tc>
        <w:tc>
          <w:tcPr>
            <w:tcW w:w="3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161"/>
              <w:spacing w:after="0"/>
              <w:rPr>
                <w:sz w:val="20"/>
                <w:szCs w:val="20"/>
                <w:color w:val="auto"/>
              </w:rPr>
            </w:pPr>
            <w:r>
              <w:rPr>
                <w:rFonts w:ascii="Arial" w:cs="Arial" w:eastAsia="Arial" w:hAnsi="Arial"/>
                <w:sz w:val="14"/>
                <w:szCs w:val="14"/>
                <w:b w:val="1"/>
                <w:bCs w:val="1"/>
                <w:color w:val="auto"/>
                <w:w w:val="92"/>
              </w:rPr>
              <w:t>Gains</w:t>
            </w: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221"/>
              <w:spacing w:after="0"/>
              <w:rPr>
                <w:sz w:val="20"/>
                <w:szCs w:val="20"/>
                <w:color w:val="auto"/>
              </w:rPr>
            </w:pPr>
            <w:r>
              <w:rPr>
                <w:rFonts w:ascii="Arial" w:cs="Arial" w:eastAsia="Arial" w:hAnsi="Arial"/>
                <w:sz w:val="14"/>
                <w:szCs w:val="14"/>
                <w:b w:val="1"/>
                <w:bCs w:val="1"/>
                <w:color w:val="auto"/>
                <w:w w:val="96"/>
              </w:rPr>
              <w:t>Months</w:t>
            </w: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178"/>
              <w:spacing w:after="0"/>
              <w:rPr>
                <w:sz w:val="20"/>
                <w:szCs w:val="20"/>
                <w:color w:val="auto"/>
              </w:rPr>
            </w:pPr>
            <w:r>
              <w:rPr>
                <w:rFonts w:ascii="Arial" w:cs="Arial" w:eastAsia="Arial" w:hAnsi="Arial"/>
                <w:sz w:val="14"/>
                <w:szCs w:val="14"/>
                <w:b w:val="1"/>
                <w:bCs w:val="1"/>
                <w:color w:val="auto"/>
                <w:w w:val="96"/>
              </w:rPr>
              <w:t>Months</w:t>
            </w: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161"/>
              <w:spacing w:after="0"/>
              <w:rPr>
                <w:sz w:val="20"/>
                <w:szCs w:val="20"/>
                <w:color w:val="auto"/>
              </w:rPr>
            </w:pPr>
            <w:r>
              <w:rPr>
                <w:rFonts w:ascii="Arial" w:cs="Arial" w:eastAsia="Arial" w:hAnsi="Arial"/>
                <w:sz w:val="14"/>
                <w:szCs w:val="14"/>
                <w:b w:val="1"/>
                <w:bCs w:val="1"/>
                <w:color w:val="auto"/>
                <w:w w:val="90"/>
              </w:rPr>
              <w:t>Value</w:t>
            </w: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121"/>
              <w:spacing w:after="0"/>
              <w:rPr>
                <w:sz w:val="20"/>
                <w:szCs w:val="20"/>
                <w:color w:val="auto"/>
              </w:rPr>
            </w:pPr>
            <w:r>
              <w:rPr>
                <w:rFonts w:ascii="Arial" w:cs="Arial" w:eastAsia="Arial" w:hAnsi="Arial"/>
                <w:sz w:val="14"/>
                <w:szCs w:val="14"/>
                <w:b w:val="1"/>
                <w:bCs w:val="1"/>
                <w:color w:val="auto"/>
                <w:w w:val="92"/>
              </w:rPr>
              <w:t>Gains</w:t>
            </w:r>
          </w:p>
        </w:tc>
        <w:tc>
          <w:tcPr>
            <w:tcW w:w="0" w:type="dxa"/>
            <w:vAlign w:val="bottom"/>
          </w:tcPr>
          <w:p>
            <w:pPr>
              <w:spacing w:after="0"/>
              <w:rPr>
                <w:sz w:val="1"/>
                <w:szCs w:val="1"/>
                <w:color w:val="auto"/>
              </w:rPr>
            </w:pPr>
          </w:p>
        </w:tc>
      </w:tr>
      <w:tr>
        <w:trPr>
          <w:trHeight w:val="469"/>
        </w:trPr>
        <w:tc>
          <w:tcPr>
            <w:tcW w:w="4580" w:type="dxa"/>
            <w:vAlign w:val="bottom"/>
            <w:gridSpan w:val="2"/>
          </w:tcPr>
          <w:p>
            <w:pPr>
              <w:spacing w:after="0"/>
              <w:rPr>
                <w:sz w:val="20"/>
                <w:szCs w:val="20"/>
                <w:color w:val="auto"/>
              </w:rPr>
            </w:pPr>
            <w:r>
              <w:rPr>
                <w:rFonts w:ascii="Arial" w:cs="Arial" w:eastAsia="Arial" w:hAnsi="Arial"/>
                <w:sz w:val="17"/>
                <w:szCs w:val="17"/>
                <w:b w:val="1"/>
                <w:bCs w:val="1"/>
                <w:color w:val="auto"/>
              </w:rPr>
              <w:t>Held-to-Maturity Securities:</w:t>
            </w: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7"/>
                <w:szCs w:val="17"/>
                <w:color w:val="auto"/>
              </w:rPr>
              <w:t>U.S. Treasury securities</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729,507</w:t>
            </w: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ind w:right="41"/>
              <w:spacing w:after="0"/>
              <w:rPr>
                <w:sz w:val="20"/>
                <w:szCs w:val="20"/>
                <w:color w:val="auto"/>
              </w:rPr>
            </w:pPr>
            <w:r>
              <w:rPr>
                <w:rFonts w:ascii="Arial" w:cs="Arial" w:eastAsia="Arial" w:hAnsi="Arial"/>
                <w:sz w:val="17"/>
                <w:szCs w:val="17"/>
                <w:color w:val="auto"/>
              </w:rPr>
              <w:t>147,532</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(3,964)</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ind w:right="21"/>
              <w:spacing w:after="0"/>
              <w:rPr>
                <w:sz w:val="20"/>
                <w:szCs w:val="20"/>
                <w:color w:val="auto"/>
              </w:rPr>
            </w:pPr>
            <w:r>
              <w:rPr>
                <w:rFonts w:ascii="Arial" w:cs="Arial" w:eastAsia="Arial" w:hAnsi="Arial"/>
                <w:sz w:val="17"/>
                <w:szCs w:val="17"/>
                <w:color w:val="auto"/>
              </w:rPr>
              <w:t>873,075</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ind w:right="41"/>
              <w:spacing w:after="0"/>
              <w:rPr>
                <w:sz w:val="20"/>
                <w:szCs w:val="20"/>
                <w:color w:val="auto"/>
              </w:rPr>
            </w:pPr>
            <w:r>
              <w:rPr>
                <w:rFonts w:ascii="Arial" w:cs="Arial" w:eastAsia="Arial" w:hAnsi="Arial"/>
                <w:sz w:val="17"/>
                <w:szCs w:val="17"/>
                <w:color w:val="auto"/>
              </w:rPr>
              <w:t>143,568</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7"/>
                <w:szCs w:val="17"/>
                <w:color w:val="auto"/>
              </w:rPr>
              <w:t>Political subdivisions of States,</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7"/>
                <w:szCs w:val="17"/>
                <w:color w:val="auto"/>
              </w:rPr>
              <w:t>Territories and Possessions</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998,803</w:t>
            </w:r>
          </w:p>
        </w:tc>
        <w:tc>
          <w:tcPr>
            <w:tcW w:w="340" w:type="dxa"/>
            <w:vAlign w:val="bottom"/>
          </w:tcPr>
          <w:p>
            <w:pPr>
              <w:spacing w:after="0"/>
              <w:rPr>
                <w:sz w:val="18"/>
                <w:szCs w:val="18"/>
                <w:color w:val="auto"/>
              </w:rPr>
            </w:pPr>
          </w:p>
        </w:tc>
        <w:tc>
          <w:tcPr>
            <w:tcW w:w="920" w:type="dxa"/>
            <w:vAlign w:val="bottom"/>
          </w:tcPr>
          <w:p>
            <w:pPr>
              <w:jc w:val="right"/>
              <w:ind w:right="41"/>
              <w:spacing w:after="0"/>
              <w:rPr>
                <w:sz w:val="20"/>
                <w:szCs w:val="20"/>
                <w:color w:val="auto"/>
              </w:rPr>
            </w:pPr>
            <w:r>
              <w:rPr>
                <w:rFonts w:ascii="Arial" w:cs="Arial" w:eastAsia="Arial" w:hAnsi="Arial"/>
                <w:sz w:val="17"/>
                <w:szCs w:val="17"/>
                <w:color w:val="auto"/>
              </w:rPr>
              <w:t>33,862</w:t>
            </w:r>
          </w:p>
        </w:tc>
        <w:tc>
          <w:tcPr>
            <w:tcW w:w="260" w:type="dxa"/>
            <w:vAlign w:val="bottom"/>
          </w:tcPr>
          <w:p>
            <w:pPr>
              <w:spacing w:after="0"/>
              <w:rPr>
                <w:sz w:val="18"/>
                <w:szCs w:val="18"/>
                <w:color w:val="auto"/>
              </w:rPr>
            </w:pPr>
          </w:p>
        </w:tc>
        <w:tc>
          <w:tcPr>
            <w:tcW w:w="900" w:type="dxa"/>
            <w:vAlign w:val="bottom"/>
          </w:tcPr>
          <w:p>
            <w:pPr>
              <w:jc w:val="right"/>
              <w:ind w:right="61"/>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860" w:type="dxa"/>
            <w:vAlign w:val="bottom"/>
          </w:tcPr>
          <w:p>
            <w:pPr>
              <w:jc w:val="right"/>
              <w:ind w:right="18"/>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900" w:type="dxa"/>
            <w:vAlign w:val="bottom"/>
          </w:tcPr>
          <w:p>
            <w:pPr>
              <w:jc w:val="right"/>
              <w:ind w:right="21"/>
              <w:spacing w:after="0"/>
              <w:rPr>
                <w:sz w:val="20"/>
                <w:szCs w:val="20"/>
                <w:color w:val="auto"/>
              </w:rPr>
            </w:pPr>
            <w:r>
              <w:rPr>
                <w:rFonts w:ascii="Arial" w:cs="Arial" w:eastAsia="Arial" w:hAnsi="Arial"/>
                <w:sz w:val="17"/>
                <w:szCs w:val="17"/>
                <w:color w:val="auto"/>
              </w:rPr>
              <w:t>1,032,665</w:t>
            </w:r>
          </w:p>
        </w:tc>
        <w:tc>
          <w:tcPr>
            <w:tcW w:w="220" w:type="dxa"/>
            <w:vAlign w:val="bottom"/>
          </w:tcPr>
          <w:p>
            <w:pPr>
              <w:spacing w:after="0"/>
              <w:rPr>
                <w:sz w:val="18"/>
                <w:szCs w:val="18"/>
                <w:color w:val="auto"/>
              </w:rPr>
            </w:pPr>
          </w:p>
        </w:tc>
        <w:tc>
          <w:tcPr>
            <w:tcW w:w="920" w:type="dxa"/>
            <w:vAlign w:val="bottom"/>
          </w:tcPr>
          <w:p>
            <w:pPr>
              <w:jc w:val="right"/>
              <w:ind w:right="41"/>
              <w:spacing w:after="0"/>
              <w:rPr>
                <w:sz w:val="20"/>
                <w:szCs w:val="20"/>
                <w:color w:val="auto"/>
              </w:rPr>
            </w:pPr>
            <w:r>
              <w:rPr>
                <w:rFonts w:ascii="Arial" w:cs="Arial" w:eastAsia="Arial" w:hAnsi="Arial"/>
                <w:sz w:val="17"/>
                <w:szCs w:val="17"/>
                <w:color w:val="auto"/>
              </w:rPr>
              <w:t>33,862</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7"/>
                <w:szCs w:val="17"/>
                <w:color w:val="auto"/>
              </w:rPr>
              <w:t>Corporate and other bonds</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Industrial and miscellaneous</w:t>
            </w: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2,494,545</w:t>
            </w:r>
          </w:p>
        </w:tc>
        <w:tc>
          <w:tcPr>
            <w:tcW w:w="3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7"/>
                <w:szCs w:val="17"/>
                <w:color w:val="auto"/>
              </w:rPr>
              <w:t>38,461</w:t>
            </w: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7"/>
                <w:szCs w:val="17"/>
                <w:color w:val="auto"/>
              </w:rPr>
              <w:t>(1,425)</w:t>
            </w: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(10,905)</w:t>
            </w: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7"/>
                <w:szCs w:val="17"/>
                <w:color w:val="auto"/>
              </w:rPr>
              <w:t>2,520,676</w:t>
            </w: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7"/>
                <w:szCs w:val="17"/>
                <w:color w:val="auto"/>
              </w:rPr>
              <w:t>26,131</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0" w:type="dxa"/>
            <w:vAlign w:val="bottom"/>
            <w:vMerge w:val="continue"/>
          </w:tcPr>
          <w:p>
            <w:pPr>
              <w:spacing w:after="0"/>
              <w:rPr>
                <w:sz w:val="21"/>
                <w:szCs w:val="21"/>
                <w:color w:val="auto"/>
              </w:rPr>
            </w:pPr>
          </w:p>
        </w:tc>
        <w:tc>
          <w:tcPr>
            <w:tcW w:w="4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Total</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4,222,855</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7"/>
                <w:szCs w:val="17"/>
                <w:color w:val="auto"/>
              </w:rPr>
              <w:t>219,855</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7"/>
                <w:szCs w:val="17"/>
                <w:color w:val="auto"/>
              </w:rPr>
              <w:t>(5,389)</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(10,905)</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7"/>
                <w:szCs w:val="17"/>
                <w:color w:val="auto"/>
              </w:rPr>
              <w:t>4,426,416</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7"/>
                <w:szCs w:val="17"/>
                <w:color w:val="auto"/>
              </w:rPr>
              <w:t>203,561</w:t>
            </w:r>
          </w:p>
        </w:tc>
        <w:tc>
          <w:tcPr>
            <w:tcW w:w="0" w:type="dxa"/>
            <w:vAlign w:val="bottom"/>
          </w:tcPr>
          <w:p>
            <w:pPr>
              <w:spacing w:after="0"/>
              <w:rPr>
                <w:sz w:val="1"/>
                <w:szCs w:val="1"/>
                <w:color w:val="auto"/>
              </w:rPr>
            </w:pPr>
          </w:p>
        </w:tc>
      </w:tr>
      <w:tr>
        <w:trPr>
          <w:trHeight w:val="409"/>
        </w:trPr>
        <w:tc>
          <w:tcPr>
            <w:tcW w:w="8040" w:type="dxa"/>
            <w:vAlign w:val="bottom"/>
            <w:gridSpan w:val="8"/>
          </w:tcPr>
          <w:p>
            <w:pPr>
              <w:spacing w:after="0"/>
              <w:rPr>
                <w:sz w:val="20"/>
                <w:szCs w:val="20"/>
                <w:color w:val="auto"/>
              </w:rPr>
            </w:pPr>
            <w:r>
              <w:rPr>
                <w:rFonts w:ascii="Arial" w:cs="Arial" w:eastAsia="Arial" w:hAnsi="Arial"/>
                <w:sz w:val="17"/>
                <w:szCs w:val="17"/>
                <w:color w:val="auto"/>
                <w:w w:val="93"/>
              </w:rPr>
              <w:t>Held-to-maturity U.S. Treasury securities are held in trust pursuant to various states’ minimum funds requirements.</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77"/>
        </w:trPr>
        <w:tc>
          <w:tcPr>
            <w:tcW w:w="20" w:type="dxa"/>
            <w:vAlign w:val="bottom"/>
          </w:tcPr>
          <w:p>
            <w:pPr>
              <w:spacing w:after="0"/>
              <w:rPr>
                <w:sz w:val="24"/>
                <w:szCs w:val="24"/>
                <w:color w:val="auto"/>
              </w:rPr>
            </w:pPr>
          </w:p>
        </w:tc>
        <w:tc>
          <w:tcPr>
            <w:tcW w:w="45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w w:val="84"/>
              </w:rPr>
              <w:t>13</w:t>
            </w:r>
          </w:p>
        </w:tc>
        <w:tc>
          <w:tcPr>
            <w:tcW w:w="9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97" w:right="239" w:bottom="1440" w:gutter="0" w:footer="0" w:header="0"/>
        </w:sectPr>
      </w:pPr>
    </w:p>
    <w:bookmarkStart w:id="13" w:name="page14"/>
    <w:bookmarkEnd w:id="13"/>
    <w:p>
      <w:pPr>
        <w:spacing w:after="0" w:line="281" w:lineRule="auto"/>
        <w:rPr>
          <w:sz w:val="20"/>
          <w:szCs w:val="20"/>
          <w:color w:val="auto"/>
        </w:rPr>
      </w:pPr>
      <w:r>
        <w:rPr>
          <w:rFonts w:ascii="Arial" w:cs="Arial" w:eastAsia="Arial" w:hAnsi="Arial"/>
          <w:sz w:val="17"/>
          <w:szCs w:val="17"/>
          <w:color w:val="auto"/>
        </w:rPr>
        <w:t>A summary of the amortized cost and estimated fair value of the Company’s investments in held-to-maturity securities by contractual maturity as of March 31, 2019 and December 31, 2018 is shown below:</w:t>
      </w:r>
    </w:p>
    <w:p>
      <w:pPr>
        <w:sectPr>
          <w:pgSz w:w="11900" w:h="16838" w:orient="portrait"/>
          <w:cols w:equalWidth="0" w:num="1">
            <w:col w:w="11420"/>
          </w:cols>
          <w:pgMar w:left="240" w:top="49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Remaining Time to Maturity</w:t>
      </w:r>
    </w:p>
    <w:p>
      <w:pPr>
        <w:spacing w:after="0" w:line="300" w:lineRule="exact"/>
        <w:rPr>
          <w:sz w:val="20"/>
          <w:szCs w:val="20"/>
          <w:color w:val="auto"/>
        </w:rPr>
      </w:pPr>
    </w:p>
    <w:p>
      <w:pPr>
        <w:spacing w:after="0"/>
        <w:rPr>
          <w:sz w:val="20"/>
          <w:szCs w:val="20"/>
          <w:color w:val="auto"/>
        </w:rPr>
      </w:pPr>
      <w:r>
        <w:rPr>
          <w:rFonts w:ascii="Arial" w:cs="Arial" w:eastAsia="Arial" w:hAnsi="Arial"/>
          <w:sz w:val="17"/>
          <w:szCs w:val="17"/>
          <w:color w:val="auto"/>
        </w:rPr>
        <w:t>Less than one year</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One to five years</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Five to ten years</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More than 10 years</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Total</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7"/>
        </w:trPr>
        <w:tc>
          <w:tcPr>
            <w:tcW w:w="22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gridSpan w:val="4"/>
          </w:tcPr>
          <w:p>
            <w:pPr>
              <w:jc w:val="right"/>
              <w:ind w:right="539"/>
              <w:spacing w:after="0"/>
              <w:rPr>
                <w:sz w:val="20"/>
                <w:szCs w:val="20"/>
                <w:color w:val="auto"/>
              </w:rPr>
            </w:pPr>
            <w:r>
              <w:rPr>
                <w:rFonts w:ascii="Arial" w:cs="Arial" w:eastAsia="Arial" w:hAnsi="Arial"/>
                <w:sz w:val="14"/>
                <w:szCs w:val="14"/>
                <w:b w:val="1"/>
                <w:bCs w:val="1"/>
                <w:color w:val="auto"/>
              </w:rPr>
              <w:t>March 31, 2019</w:t>
            </w:r>
          </w:p>
        </w:tc>
        <w:tc>
          <w:tcPr>
            <w:tcW w:w="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3"/>
          </w:tcPr>
          <w:p>
            <w:pPr>
              <w:jc w:val="right"/>
              <w:ind w:right="479"/>
              <w:spacing w:after="0"/>
              <w:rPr>
                <w:sz w:val="20"/>
                <w:szCs w:val="20"/>
                <w:color w:val="auto"/>
              </w:rPr>
            </w:pPr>
            <w:r>
              <w:rPr>
                <w:rFonts w:ascii="Arial" w:cs="Arial" w:eastAsia="Arial" w:hAnsi="Arial"/>
                <w:sz w:val="14"/>
                <w:szCs w:val="14"/>
                <w:b w:val="1"/>
                <w:bCs w:val="1"/>
                <w:color w:val="auto"/>
              </w:rPr>
              <w:t>December 31, 2018</w:t>
            </w:r>
          </w:p>
        </w:tc>
      </w:tr>
      <w:tr>
        <w:trPr>
          <w:trHeight w:val="222"/>
        </w:trPr>
        <w:tc>
          <w:tcPr>
            <w:tcW w:w="220" w:type="dxa"/>
            <w:vAlign w:val="bottom"/>
          </w:tcPr>
          <w:p>
            <w:pPr>
              <w:spacing w:after="0"/>
              <w:rPr>
                <w:sz w:val="19"/>
                <w:szCs w:val="19"/>
                <w:color w:val="auto"/>
              </w:rPr>
            </w:pPr>
          </w:p>
        </w:tc>
        <w:tc>
          <w:tcPr>
            <w:tcW w:w="880" w:type="dxa"/>
            <w:vAlign w:val="bottom"/>
          </w:tcPr>
          <w:p>
            <w:pPr>
              <w:jc w:val="right"/>
              <w:ind w:right="120"/>
              <w:spacing w:after="0"/>
              <w:rPr>
                <w:sz w:val="20"/>
                <w:szCs w:val="20"/>
                <w:color w:val="auto"/>
              </w:rPr>
            </w:pPr>
            <w:r>
              <w:rPr>
                <w:rFonts w:ascii="Arial" w:cs="Arial" w:eastAsia="Arial" w:hAnsi="Arial"/>
                <w:sz w:val="14"/>
                <w:szCs w:val="14"/>
                <w:b w:val="1"/>
                <w:bCs w:val="1"/>
                <w:color w:val="auto"/>
                <w:w w:val="96"/>
              </w:rPr>
              <w:t>Amortized</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119"/>
              <w:spacing w:after="0"/>
              <w:rPr>
                <w:sz w:val="20"/>
                <w:szCs w:val="20"/>
                <w:color w:val="auto"/>
              </w:rPr>
            </w:pPr>
            <w:r>
              <w:rPr>
                <w:rFonts w:ascii="Arial" w:cs="Arial" w:eastAsia="Arial" w:hAnsi="Arial"/>
                <w:sz w:val="14"/>
                <w:szCs w:val="14"/>
                <w:b w:val="1"/>
                <w:bCs w:val="1"/>
                <w:color w:val="auto"/>
                <w:w w:val="95"/>
              </w:rPr>
              <w:t>Estimated</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ind w:right="160"/>
              <w:spacing w:after="0"/>
              <w:rPr>
                <w:sz w:val="20"/>
                <w:szCs w:val="20"/>
                <w:color w:val="auto"/>
              </w:rPr>
            </w:pPr>
            <w:r>
              <w:rPr>
                <w:rFonts w:ascii="Arial" w:cs="Arial" w:eastAsia="Arial" w:hAnsi="Arial"/>
                <w:sz w:val="14"/>
                <w:szCs w:val="14"/>
                <w:b w:val="1"/>
                <w:bCs w:val="1"/>
                <w:color w:val="auto"/>
                <w:w w:val="96"/>
              </w:rPr>
              <w:t>Amortized</w:t>
            </w:r>
          </w:p>
        </w:tc>
        <w:tc>
          <w:tcPr>
            <w:tcW w:w="220" w:type="dxa"/>
            <w:vAlign w:val="bottom"/>
          </w:tcPr>
          <w:p>
            <w:pPr>
              <w:spacing w:after="0"/>
              <w:rPr>
                <w:sz w:val="19"/>
                <w:szCs w:val="19"/>
                <w:color w:val="auto"/>
              </w:rPr>
            </w:pPr>
          </w:p>
        </w:tc>
        <w:tc>
          <w:tcPr>
            <w:tcW w:w="920" w:type="dxa"/>
            <w:vAlign w:val="bottom"/>
          </w:tcPr>
          <w:p>
            <w:pPr>
              <w:jc w:val="right"/>
              <w:ind w:right="179"/>
              <w:spacing w:after="0"/>
              <w:rPr>
                <w:sz w:val="20"/>
                <w:szCs w:val="20"/>
                <w:color w:val="auto"/>
              </w:rPr>
            </w:pPr>
            <w:r>
              <w:rPr>
                <w:rFonts w:ascii="Arial" w:cs="Arial" w:eastAsia="Arial" w:hAnsi="Arial"/>
                <w:sz w:val="14"/>
                <w:szCs w:val="14"/>
                <w:b w:val="1"/>
                <w:bCs w:val="1"/>
                <w:color w:val="auto"/>
                <w:w w:val="95"/>
              </w:rPr>
              <w:t>Estimated</w:t>
            </w:r>
          </w:p>
        </w:tc>
      </w:tr>
      <w:tr>
        <w:trPr>
          <w:trHeight w:val="186"/>
        </w:trPr>
        <w:tc>
          <w:tcPr>
            <w:tcW w:w="220" w:type="dxa"/>
            <w:vAlign w:val="bottom"/>
          </w:tcPr>
          <w:p>
            <w:pPr>
              <w:spacing w:after="0"/>
              <w:rPr>
                <w:sz w:val="16"/>
                <w:szCs w:val="16"/>
                <w:color w:val="auto"/>
              </w:rPr>
            </w:pPr>
          </w:p>
        </w:tc>
        <w:tc>
          <w:tcPr>
            <w:tcW w:w="880" w:type="dxa"/>
            <w:vAlign w:val="bottom"/>
          </w:tcPr>
          <w:p>
            <w:pPr>
              <w:jc w:val="right"/>
              <w:ind w:right="300"/>
              <w:spacing w:after="0"/>
              <w:rPr>
                <w:sz w:val="20"/>
                <w:szCs w:val="20"/>
                <w:color w:val="auto"/>
              </w:rPr>
            </w:pPr>
            <w:r>
              <w:rPr>
                <w:rFonts w:ascii="Arial" w:cs="Arial" w:eastAsia="Arial" w:hAnsi="Arial"/>
                <w:sz w:val="14"/>
                <w:szCs w:val="14"/>
                <w:b w:val="1"/>
                <w:bCs w:val="1"/>
                <w:color w:val="auto"/>
              </w:rPr>
              <w:t>Cost</w:t>
            </w: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119"/>
              <w:spacing w:after="0"/>
              <w:rPr>
                <w:sz w:val="20"/>
                <w:szCs w:val="20"/>
                <w:color w:val="auto"/>
              </w:rPr>
            </w:pPr>
            <w:r>
              <w:rPr>
                <w:rFonts w:ascii="Arial" w:cs="Arial" w:eastAsia="Arial" w:hAnsi="Arial"/>
                <w:sz w:val="14"/>
                <w:szCs w:val="14"/>
                <w:b w:val="1"/>
                <w:bCs w:val="1"/>
                <w:color w:val="auto"/>
                <w:w w:val="95"/>
              </w:rPr>
              <w:t>Fair Value</w:t>
            </w: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ind w:right="340"/>
              <w:spacing w:after="0"/>
              <w:rPr>
                <w:sz w:val="20"/>
                <w:szCs w:val="20"/>
                <w:color w:val="auto"/>
              </w:rPr>
            </w:pPr>
            <w:r>
              <w:rPr>
                <w:rFonts w:ascii="Arial" w:cs="Arial" w:eastAsia="Arial" w:hAnsi="Arial"/>
                <w:sz w:val="14"/>
                <w:szCs w:val="14"/>
                <w:b w:val="1"/>
                <w:bCs w:val="1"/>
                <w:color w:val="auto"/>
              </w:rPr>
              <w:t>Cost</w:t>
            </w:r>
          </w:p>
        </w:tc>
        <w:tc>
          <w:tcPr>
            <w:tcW w:w="220" w:type="dxa"/>
            <w:vAlign w:val="bottom"/>
          </w:tcPr>
          <w:p>
            <w:pPr>
              <w:spacing w:after="0"/>
              <w:rPr>
                <w:sz w:val="16"/>
                <w:szCs w:val="16"/>
                <w:color w:val="auto"/>
              </w:rPr>
            </w:pPr>
          </w:p>
        </w:tc>
        <w:tc>
          <w:tcPr>
            <w:tcW w:w="920" w:type="dxa"/>
            <w:vAlign w:val="bottom"/>
          </w:tcPr>
          <w:p>
            <w:pPr>
              <w:jc w:val="right"/>
              <w:ind w:right="159"/>
              <w:spacing w:after="0"/>
              <w:rPr>
                <w:sz w:val="20"/>
                <w:szCs w:val="20"/>
                <w:color w:val="auto"/>
              </w:rPr>
            </w:pPr>
            <w:r>
              <w:rPr>
                <w:rFonts w:ascii="Arial" w:cs="Arial" w:eastAsia="Arial" w:hAnsi="Arial"/>
                <w:sz w:val="14"/>
                <w:szCs w:val="14"/>
                <w:b w:val="1"/>
                <w:bCs w:val="1"/>
                <w:color w:val="auto"/>
                <w:w w:val="98"/>
              </w:rPr>
              <w:t>Fair Value</w:t>
            </w:r>
          </w:p>
        </w:tc>
      </w:tr>
      <w:tr>
        <w:trPr>
          <w:trHeight w:val="446"/>
        </w:trPr>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w:t>
            </w: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20" w:type="dxa"/>
            <w:vAlign w:val="bottom"/>
          </w:tcPr>
          <w:p>
            <w:pPr>
              <w:jc w:val="right"/>
              <w:ind w:right="20"/>
              <w:spacing w:after="0"/>
              <w:rPr>
                <w:sz w:val="20"/>
                <w:szCs w:val="20"/>
                <w:color w:val="auto"/>
              </w:rPr>
            </w:pPr>
            <w:r>
              <w:rPr>
                <w:rFonts w:ascii="Arial" w:cs="Arial" w:eastAsia="Arial" w:hAnsi="Arial"/>
                <w:sz w:val="17"/>
                <w:szCs w:val="17"/>
                <w:color w:val="auto"/>
              </w:rPr>
              <w:t>-</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920" w:type="dxa"/>
            <w:vAlign w:val="bottom"/>
          </w:tcPr>
          <w:p>
            <w:pPr>
              <w:jc w:val="right"/>
              <w:ind w:right="39"/>
              <w:spacing w:after="0"/>
              <w:rPr>
                <w:sz w:val="20"/>
                <w:szCs w:val="20"/>
                <w:color w:val="auto"/>
              </w:rPr>
            </w:pPr>
            <w:r>
              <w:rPr>
                <w:rFonts w:ascii="Arial" w:cs="Arial" w:eastAsia="Arial" w:hAnsi="Arial"/>
                <w:sz w:val="17"/>
                <w:szCs w:val="17"/>
                <w:color w:val="auto"/>
              </w:rPr>
              <w:t>-</w:t>
            </w:r>
          </w:p>
        </w:tc>
      </w:tr>
      <w:tr>
        <w:trPr>
          <w:trHeight w:val="209"/>
        </w:trPr>
        <w:tc>
          <w:tcPr>
            <w:tcW w:w="220" w:type="dxa"/>
            <w:vAlign w:val="bottom"/>
          </w:tcPr>
          <w:p>
            <w:pPr>
              <w:spacing w:after="0"/>
              <w:rPr>
                <w:sz w:val="18"/>
                <w:szCs w:val="18"/>
                <w:color w:val="auto"/>
              </w:rPr>
            </w:pPr>
          </w:p>
        </w:tc>
        <w:tc>
          <w:tcPr>
            <w:tcW w:w="880" w:type="dxa"/>
            <w:vAlign w:val="bottom"/>
          </w:tcPr>
          <w:p>
            <w:pPr>
              <w:jc w:val="right"/>
              <w:ind w:right="40"/>
              <w:spacing w:after="0"/>
              <w:rPr>
                <w:sz w:val="20"/>
                <w:szCs w:val="20"/>
                <w:color w:val="auto"/>
              </w:rPr>
            </w:pPr>
            <w:r>
              <w:rPr>
                <w:rFonts w:ascii="Arial" w:cs="Arial" w:eastAsia="Arial" w:hAnsi="Arial"/>
                <w:sz w:val="17"/>
                <w:szCs w:val="17"/>
                <w:color w:val="auto"/>
                <w:w w:val="97"/>
              </w:rPr>
              <w:t>2,598,323</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39"/>
              <w:spacing w:after="0"/>
              <w:rPr>
                <w:sz w:val="20"/>
                <w:szCs w:val="20"/>
                <w:color w:val="auto"/>
              </w:rPr>
            </w:pPr>
            <w:r>
              <w:rPr>
                <w:rFonts w:ascii="Arial" w:cs="Arial" w:eastAsia="Arial" w:hAnsi="Arial"/>
                <w:sz w:val="17"/>
                <w:szCs w:val="17"/>
                <w:color w:val="auto"/>
                <w:w w:val="95"/>
              </w:rPr>
              <w:t>2,676,159</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ind w:right="20"/>
              <w:spacing w:after="0"/>
              <w:rPr>
                <w:sz w:val="20"/>
                <w:szCs w:val="20"/>
                <w:color w:val="auto"/>
              </w:rPr>
            </w:pPr>
            <w:r>
              <w:rPr>
                <w:rFonts w:ascii="Arial" w:cs="Arial" w:eastAsia="Arial" w:hAnsi="Arial"/>
                <w:sz w:val="17"/>
                <w:szCs w:val="17"/>
                <w:color w:val="auto"/>
              </w:rPr>
              <w:t>2,996,685</w:t>
            </w:r>
          </w:p>
        </w:tc>
        <w:tc>
          <w:tcPr>
            <w:tcW w:w="220" w:type="dxa"/>
            <w:vAlign w:val="bottom"/>
          </w:tcPr>
          <w:p>
            <w:pPr>
              <w:spacing w:after="0"/>
              <w:rPr>
                <w:sz w:val="18"/>
                <w:szCs w:val="18"/>
                <w:color w:val="auto"/>
              </w:rPr>
            </w:pPr>
          </w:p>
        </w:tc>
        <w:tc>
          <w:tcPr>
            <w:tcW w:w="920" w:type="dxa"/>
            <w:vAlign w:val="bottom"/>
          </w:tcPr>
          <w:p>
            <w:pPr>
              <w:jc w:val="right"/>
              <w:ind w:right="39"/>
              <w:spacing w:after="0"/>
              <w:rPr>
                <w:sz w:val="20"/>
                <w:szCs w:val="20"/>
                <w:color w:val="auto"/>
              </w:rPr>
            </w:pPr>
            <w:r>
              <w:rPr>
                <w:rFonts w:ascii="Arial" w:cs="Arial" w:eastAsia="Arial" w:hAnsi="Arial"/>
                <w:sz w:val="17"/>
                <w:szCs w:val="17"/>
                <w:color w:val="auto"/>
              </w:rPr>
              <w:t>3,036,531</w:t>
            </w:r>
          </w:p>
        </w:tc>
      </w:tr>
      <w:tr>
        <w:trPr>
          <w:trHeight w:val="209"/>
        </w:trPr>
        <w:tc>
          <w:tcPr>
            <w:tcW w:w="220" w:type="dxa"/>
            <w:vAlign w:val="bottom"/>
          </w:tcPr>
          <w:p>
            <w:pPr>
              <w:spacing w:after="0"/>
              <w:rPr>
                <w:sz w:val="18"/>
                <w:szCs w:val="18"/>
                <w:color w:val="auto"/>
              </w:rPr>
            </w:pPr>
          </w:p>
        </w:tc>
        <w:tc>
          <w:tcPr>
            <w:tcW w:w="880" w:type="dxa"/>
            <w:vAlign w:val="bottom"/>
          </w:tcPr>
          <w:p>
            <w:pPr>
              <w:jc w:val="right"/>
              <w:ind w:right="40"/>
              <w:spacing w:after="0"/>
              <w:rPr>
                <w:sz w:val="20"/>
                <w:szCs w:val="20"/>
                <w:color w:val="auto"/>
              </w:rPr>
            </w:pPr>
            <w:r>
              <w:rPr>
                <w:rFonts w:ascii="Arial" w:cs="Arial" w:eastAsia="Arial" w:hAnsi="Arial"/>
                <w:sz w:val="17"/>
                <w:szCs w:val="17"/>
                <w:color w:val="auto"/>
              </w:rPr>
              <w:t>619,780</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39"/>
              <w:spacing w:after="0"/>
              <w:rPr>
                <w:sz w:val="20"/>
                <w:szCs w:val="20"/>
                <w:color w:val="auto"/>
              </w:rPr>
            </w:pPr>
            <w:r>
              <w:rPr>
                <w:rFonts w:ascii="Arial" w:cs="Arial" w:eastAsia="Arial" w:hAnsi="Arial"/>
                <w:sz w:val="17"/>
                <w:szCs w:val="17"/>
                <w:color w:val="auto"/>
              </w:rPr>
              <w:t>646,413</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ind w:right="20"/>
              <w:spacing w:after="0"/>
              <w:rPr>
                <w:sz w:val="20"/>
                <w:szCs w:val="20"/>
                <w:color w:val="auto"/>
              </w:rPr>
            </w:pPr>
            <w:r>
              <w:rPr>
                <w:rFonts w:ascii="Arial" w:cs="Arial" w:eastAsia="Arial" w:hAnsi="Arial"/>
                <w:sz w:val="17"/>
                <w:szCs w:val="17"/>
                <w:color w:val="auto"/>
              </w:rPr>
              <w:t>619,663</w:t>
            </w:r>
          </w:p>
        </w:tc>
        <w:tc>
          <w:tcPr>
            <w:tcW w:w="220" w:type="dxa"/>
            <w:vAlign w:val="bottom"/>
          </w:tcPr>
          <w:p>
            <w:pPr>
              <w:spacing w:after="0"/>
              <w:rPr>
                <w:sz w:val="18"/>
                <w:szCs w:val="18"/>
                <w:color w:val="auto"/>
              </w:rPr>
            </w:pPr>
          </w:p>
        </w:tc>
        <w:tc>
          <w:tcPr>
            <w:tcW w:w="920" w:type="dxa"/>
            <w:vAlign w:val="bottom"/>
          </w:tcPr>
          <w:p>
            <w:pPr>
              <w:jc w:val="right"/>
              <w:ind w:right="39"/>
              <w:spacing w:after="0"/>
              <w:rPr>
                <w:sz w:val="20"/>
                <w:szCs w:val="20"/>
                <w:color w:val="auto"/>
              </w:rPr>
            </w:pPr>
            <w:r>
              <w:rPr>
                <w:rFonts w:ascii="Arial" w:cs="Arial" w:eastAsia="Arial" w:hAnsi="Arial"/>
                <w:sz w:val="17"/>
                <w:szCs w:val="17"/>
                <w:color w:val="auto"/>
              </w:rPr>
              <w:t>635,846</w:t>
            </w:r>
          </w:p>
        </w:tc>
      </w:tr>
      <w:tr>
        <w:trPr>
          <w:trHeight w:val="224"/>
        </w:trPr>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40"/>
              <w:spacing w:after="0"/>
              <w:rPr>
                <w:sz w:val="20"/>
                <w:szCs w:val="20"/>
                <w:color w:val="auto"/>
              </w:rPr>
            </w:pPr>
            <w:r>
              <w:rPr>
                <w:rFonts w:ascii="Arial" w:cs="Arial" w:eastAsia="Arial" w:hAnsi="Arial"/>
                <w:sz w:val="17"/>
                <w:szCs w:val="17"/>
                <w:color w:val="auto"/>
              </w:rPr>
              <w:t>606,517</w:t>
            </w:r>
          </w:p>
        </w:tc>
        <w:tc>
          <w:tcPr>
            <w:tcW w:w="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9"/>
              <w:spacing w:after="0"/>
              <w:rPr>
                <w:sz w:val="20"/>
                <w:szCs w:val="20"/>
                <w:color w:val="auto"/>
              </w:rPr>
            </w:pPr>
            <w:r>
              <w:rPr>
                <w:rFonts w:ascii="Arial" w:cs="Arial" w:eastAsia="Arial" w:hAnsi="Arial"/>
                <w:sz w:val="17"/>
                <w:szCs w:val="17"/>
                <w:color w:val="auto"/>
              </w:rPr>
              <w:t>754,039</w:t>
            </w:r>
          </w:p>
        </w:tc>
        <w:tc>
          <w:tcPr>
            <w:tcW w:w="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7"/>
                <w:szCs w:val="17"/>
                <w:color w:val="auto"/>
              </w:rPr>
              <w:t>606,507</w:t>
            </w: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9"/>
              <w:spacing w:after="0"/>
              <w:rPr>
                <w:sz w:val="20"/>
                <w:szCs w:val="20"/>
                <w:color w:val="auto"/>
              </w:rPr>
            </w:pPr>
            <w:r>
              <w:rPr>
                <w:rFonts w:ascii="Arial" w:cs="Arial" w:eastAsia="Arial" w:hAnsi="Arial"/>
                <w:sz w:val="17"/>
                <w:szCs w:val="17"/>
                <w:color w:val="auto"/>
              </w:rPr>
              <w:t>754,039</w:t>
            </w:r>
          </w:p>
        </w:tc>
      </w:tr>
      <w:tr>
        <w:trPr>
          <w:trHeight w:val="209"/>
        </w:trPr>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3,824,620</w:t>
            </w:r>
          </w:p>
        </w:tc>
        <w:tc>
          <w:tcPr>
            <w:tcW w:w="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4,076,611</w:t>
            </w:r>
          </w:p>
        </w:tc>
        <w:tc>
          <w:tcPr>
            <w:tcW w:w="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7"/>
                <w:szCs w:val="17"/>
                <w:color w:val="auto"/>
              </w:rPr>
              <w:t>4,222,855</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tcPr>
          <w:p>
            <w:pPr>
              <w:jc w:val="right"/>
              <w:ind w:right="39"/>
              <w:spacing w:after="0"/>
              <w:rPr>
                <w:sz w:val="20"/>
                <w:szCs w:val="20"/>
                <w:color w:val="auto"/>
              </w:rPr>
            </w:pPr>
            <w:r>
              <w:rPr>
                <w:rFonts w:ascii="Arial" w:cs="Arial" w:eastAsia="Arial" w:hAnsi="Arial"/>
                <w:sz w:val="17"/>
                <w:szCs w:val="17"/>
                <w:color w:val="auto"/>
              </w:rPr>
              <w:t>4,426,416</w:t>
            </w: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-4352290</wp:posOffset>
            </wp:positionH>
            <wp:positionV relativeFrom="paragraph">
              <wp:posOffset>-713740</wp:posOffset>
            </wp:positionV>
            <wp:extent cx="7251065" cy="1327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1065" cy="132715"/>
                    </a:xfrm>
                    <a:prstGeom prst="rect">
                      <a:avLst/>
                    </a:prstGeom>
                    <a:noFill/>
                  </pic:spPr>
                </pic:pic>
              </a:graphicData>
            </a:graphic>
          </wp:anchor>
        </w:drawing>
        <w:drawing>
          <wp:anchor simplePos="0" relativeHeight="251657728" behindDoc="1" locked="0" layoutInCell="0" allowOverlap="1">
            <wp:simplePos x="0" y="0"/>
            <wp:positionH relativeFrom="column">
              <wp:posOffset>-4352290</wp:posOffset>
            </wp:positionH>
            <wp:positionV relativeFrom="paragraph">
              <wp:posOffset>-447675</wp:posOffset>
            </wp:positionV>
            <wp:extent cx="7251065" cy="1327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1065" cy="132715"/>
                    </a:xfrm>
                    <a:prstGeom prst="rect">
                      <a:avLst/>
                    </a:prstGeom>
                    <a:noFill/>
                  </pic:spPr>
                </pic:pic>
              </a:graphicData>
            </a:graphic>
          </wp:anchor>
        </w:drawing>
        <w:drawing>
          <wp:anchor simplePos="0" relativeHeight="251657728" behindDoc="1" locked="0" layoutInCell="0" allowOverlap="1">
            <wp:simplePos x="0" y="0"/>
            <wp:positionH relativeFrom="column">
              <wp:posOffset>-4352290</wp:posOffset>
            </wp:positionH>
            <wp:positionV relativeFrom="paragraph">
              <wp:posOffset>-165735</wp:posOffset>
            </wp:positionV>
            <wp:extent cx="7251065" cy="16637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1065" cy="166370"/>
                    </a:xfrm>
                    <a:prstGeom prst="rect">
                      <a:avLst/>
                    </a:prstGeom>
                    <a:noFill/>
                  </pic:spPr>
                </pic:pic>
              </a:graphicData>
            </a:graphic>
          </wp:anchor>
        </w:drawing>
        <w:drawing>
          <wp:anchor simplePos="0" relativeHeight="251657728" behindDoc="1" locked="0" layoutInCell="0" allowOverlap="1">
            <wp:simplePos x="0" y="0"/>
            <wp:positionH relativeFrom="column">
              <wp:posOffset>-4352290</wp:posOffset>
            </wp:positionH>
            <wp:positionV relativeFrom="paragraph">
              <wp:posOffset>-879475</wp:posOffset>
            </wp:positionV>
            <wp:extent cx="7251065" cy="165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140" w:space="720"/>
            <w:col w:w="4560"/>
          </w:cols>
          <w:pgMar w:left="240" w:top="497" w:right="239" w:bottom="1440" w:gutter="0" w:footer="0" w:header="0"/>
          <w:type w:val="continuous"/>
        </w:sectPr>
      </w:pP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The actual maturities may differ from contractual maturities because certain borrowers have the right to call or prepay obligations with or without penalties.</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Investment Income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Major categories of the Company’s net investment income are summarized as follows: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9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0" w:type="dxa"/>
            <w:vAlign w:val="bottom"/>
            <w:gridSpan w:val="3"/>
          </w:tcPr>
          <w:p>
            <w:pPr>
              <w:jc w:val="right"/>
              <w:ind w:right="417"/>
              <w:spacing w:after="0"/>
              <w:rPr>
                <w:sz w:val="20"/>
                <w:szCs w:val="20"/>
                <w:color w:val="auto"/>
              </w:rPr>
            </w:pPr>
            <w:r>
              <w:rPr>
                <w:rFonts w:ascii="Arial" w:cs="Arial" w:eastAsia="Arial" w:hAnsi="Arial"/>
                <w:sz w:val="14"/>
                <w:szCs w:val="14"/>
                <w:b w:val="1"/>
                <w:bCs w:val="1"/>
                <w:color w:val="auto"/>
              </w:rPr>
              <w:t>Three months ended</w:t>
            </w:r>
          </w:p>
        </w:tc>
      </w:tr>
      <w:tr>
        <w:trPr>
          <w:trHeight w:val="200"/>
        </w:trPr>
        <w:tc>
          <w:tcPr>
            <w:tcW w:w="20" w:type="dxa"/>
            <w:vAlign w:val="bottom"/>
          </w:tcPr>
          <w:p>
            <w:pPr>
              <w:spacing w:after="0"/>
              <w:rPr>
                <w:sz w:val="17"/>
                <w:szCs w:val="17"/>
                <w:color w:val="auto"/>
              </w:rPr>
            </w:pPr>
          </w:p>
        </w:tc>
        <w:tc>
          <w:tcPr>
            <w:tcW w:w="9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March 31,</w:t>
            </w:r>
          </w:p>
        </w:tc>
        <w:tc>
          <w:tcPr>
            <w:tcW w:w="800" w:type="dxa"/>
            <w:vAlign w:val="bottom"/>
            <w:tcBorders>
              <w:bottom w:val="single" w:sz="8" w:color="auto"/>
            </w:tcBorders>
          </w:tcPr>
          <w:p>
            <w:pPr>
              <w:spacing w:after="0"/>
              <w:rPr>
                <w:sz w:val="17"/>
                <w:szCs w:val="17"/>
                <w:color w:val="auto"/>
              </w:rPr>
            </w:pPr>
          </w:p>
        </w:tc>
      </w:tr>
      <w:tr>
        <w:trPr>
          <w:trHeight w:val="215"/>
        </w:trPr>
        <w:tc>
          <w:tcPr>
            <w:tcW w:w="20" w:type="dxa"/>
            <w:vAlign w:val="bottom"/>
          </w:tcPr>
          <w:p>
            <w:pPr>
              <w:spacing w:after="0"/>
              <w:rPr>
                <w:sz w:val="18"/>
                <w:szCs w:val="18"/>
                <w:color w:val="auto"/>
              </w:rPr>
            </w:pPr>
          </w:p>
        </w:tc>
        <w:tc>
          <w:tcPr>
            <w:tcW w:w="9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2019</w:t>
            </w:r>
          </w:p>
        </w:tc>
        <w:tc>
          <w:tcPr>
            <w:tcW w:w="3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2018</w:t>
            </w:r>
          </w:p>
        </w:tc>
      </w:tr>
      <w:tr>
        <w:trPr>
          <w:trHeight w:val="469"/>
        </w:trPr>
        <w:tc>
          <w:tcPr>
            <w:tcW w:w="9140" w:type="dxa"/>
            <w:vAlign w:val="bottom"/>
            <w:gridSpan w:val="2"/>
          </w:tcPr>
          <w:p>
            <w:pPr>
              <w:spacing w:after="0"/>
              <w:rPr>
                <w:sz w:val="20"/>
                <w:szCs w:val="20"/>
                <w:color w:val="auto"/>
              </w:rPr>
            </w:pPr>
            <w:r>
              <w:rPr>
                <w:rFonts w:ascii="Arial" w:cs="Arial" w:eastAsia="Arial" w:hAnsi="Arial"/>
                <w:sz w:val="17"/>
                <w:szCs w:val="17"/>
                <w:b w:val="1"/>
                <w:bCs w:val="1"/>
                <w:color w:val="auto"/>
              </w:rPr>
              <w:t>Income:</w:t>
            </w: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12"/>
        </w:trPr>
        <w:tc>
          <w:tcPr>
            <w:tcW w:w="20" w:type="dxa"/>
            <w:vAlign w:val="bottom"/>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7"/>
                <w:szCs w:val="17"/>
                <w:color w:val="auto"/>
              </w:rPr>
              <w:t>Fixed-maturity securities</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7"/>
                <w:szCs w:val="17"/>
                <w:color w:val="auto"/>
                <w:w w:val="97"/>
              </w:rPr>
              <w:t>1,526,870</w:t>
            </w:r>
          </w:p>
        </w:tc>
        <w:tc>
          <w:tcPr>
            <w:tcW w:w="34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w w:val="87"/>
              </w:rPr>
              <w:t>1,150,293</w:t>
            </w:r>
          </w:p>
        </w:tc>
      </w:tr>
      <w:tr>
        <w:trPr>
          <w:trHeight w:val="209"/>
        </w:trPr>
        <w:tc>
          <w:tcPr>
            <w:tcW w:w="20" w:type="dxa"/>
            <w:vAlign w:val="bottom"/>
          </w:tcPr>
          <w:p>
            <w:pPr>
              <w:spacing w:after="0"/>
              <w:rPr>
                <w:sz w:val="18"/>
                <w:szCs w:val="18"/>
                <w:color w:val="auto"/>
              </w:rPr>
            </w:pPr>
          </w:p>
        </w:tc>
        <w:tc>
          <w:tcPr>
            <w:tcW w:w="9120" w:type="dxa"/>
            <w:vAlign w:val="bottom"/>
          </w:tcPr>
          <w:p>
            <w:pPr>
              <w:spacing w:after="0"/>
              <w:rPr>
                <w:sz w:val="20"/>
                <w:szCs w:val="20"/>
                <w:color w:val="auto"/>
              </w:rPr>
            </w:pPr>
            <w:r>
              <w:rPr>
                <w:rFonts w:ascii="Arial" w:cs="Arial" w:eastAsia="Arial" w:hAnsi="Arial"/>
                <w:sz w:val="17"/>
                <w:szCs w:val="17"/>
                <w:color w:val="auto"/>
              </w:rPr>
              <w:t>Equity securities</w:t>
            </w:r>
          </w:p>
        </w:tc>
        <w:tc>
          <w:tcPr>
            <w:tcW w:w="280" w:type="dxa"/>
            <w:vAlign w:val="bottom"/>
          </w:tcPr>
          <w:p>
            <w:pPr>
              <w:spacing w:after="0"/>
              <w:rPr>
                <w:sz w:val="18"/>
                <w:szCs w:val="18"/>
                <w:color w:val="auto"/>
              </w:rPr>
            </w:pPr>
          </w:p>
        </w:tc>
        <w:tc>
          <w:tcPr>
            <w:tcW w:w="860" w:type="dxa"/>
            <w:vAlign w:val="bottom"/>
          </w:tcPr>
          <w:p>
            <w:pPr>
              <w:jc w:val="right"/>
              <w:ind w:right="19"/>
              <w:spacing w:after="0"/>
              <w:rPr>
                <w:sz w:val="20"/>
                <w:szCs w:val="20"/>
                <w:color w:val="auto"/>
              </w:rPr>
            </w:pPr>
            <w:r>
              <w:rPr>
                <w:rFonts w:ascii="Arial" w:cs="Arial" w:eastAsia="Arial" w:hAnsi="Arial"/>
                <w:sz w:val="17"/>
                <w:szCs w:val="17"/>
                <w:color w:val="auto"/>
              </w:rPr>
              <w:t>207,144</w:t>
            </w:r>
          </w:p>
        </w:tc>
        <w:tc>
          <w:tcPr>
            <w:tcW w:w="340" w:type="dxa"/>
            <w:vAlign w:val="bottom"/>
          </w:tcPr>
          <w:p>
            <w:pPr>
              <w:spacing w:after="0"/>
              <w:rPr>
                <w:sz w:val="18"/>
                <w:szCs w:val="18"/>
                <w:color w:val="auto"/>
              </w:rPr>
            </w:pPr>
          </w:p>
        </w:tc>
        <w:tc>
          <w:tcPr>
            <w:tcW w:w="800" w:type="dxa"/>
            <w:vAlign w:val="bottom"/>
          </w:tcPr>
          <w:p>
            <w:pPr>
              <w:jc w:val="right"/>
              <w:ind w:right="37"/>
              <w:spacing w:after="0"/>
              <w:rPr>
                <w:sz w:val="20"/>
                <w:szCs w:val="20"/>
                <w:color w:val="auto"/>
              </w:rPr>
            </w:pPr>
            <w:r>
              <w:rPr>
                <w:rFonts w:ascii="Arial" w:cs="Arial" w:eastAsia="Arial" w:hAnsi="Arial"/>
                <w:sz w:val="17"/>
                <w:szCs w:val="17"/>
                <w:color w:val="auto"/>
              </w:rPr>
              <w:t>200,497</w:t>
            </w:r>
          </w:p>
        </w:tc>
      </w:tr>
      <w:tr>
        <w:trPr>
          <w:trHeight w:val="215"/>
        </w:trPr>
        <w:tc>
          <w:tcPr>
            <w:tcW w:w="20" w:type="dxa"/>
            <w:vAlign w:val="bottom"/>
          </w:tcPr>
          <w:p>
            <w:pPr>
              <w:spacing w:after="0"/>
              <w:rPr>
                <w:sz w:val="18"/>
                <w:szCs w:val="18"/>
                <w:color w:val="auto"/>
              </w:rPr>
            </w:pPr>
          </w:p>
        </w:tc>
        <w:tc>
          <w:tcPr>
            <w:tcW w:w="9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Cash and cash equivalents</w:t>
            </w:r>
          </w:p>
        </w:tc>
        <w:tc>
          <w:tcPr>
            <w:tcW w:w="2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7"/>
                <w:szCs w:val="17"/>
                <w:color w:val="auto"/>
              </w:rPr>
              <w:t>40,401</w:t>
            </w:r>
          </w:p>
        </w:tc>
        <w:tc>
          <w:tcPr>
            <w:tcW w:w="3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rPr>
              <w:t>73,259</w:t>
            </w:r>
          </w:p>
        </w:tc>
      </w:tr>
      <w:tr>
        <w:trPr>
          <w:trHeight w:val="209"/>
        </w:trPr>
        <w:tc>
          <w:tcPr>
            <w:tcW w:w="20" w:type="dxa"/>
            <w:vAlign w:val="bottom"/>
          </w:tcPr>
          <w:p>
            <w:pPr>
              <w:spacing w:after="0"/>
              <w:rPr>
                <w:sz w:val="18"/>
                <w:szCs w:val="18"/>
                <w:color w:val="auto"/>
              </w:rPr>
            </w:pPr>
          </w:p>
        </w:tc>
        <w:tc>
          <w:tcPr>
            <w:tcW w:w="9120" w:type="dxa"/>
            <w:vAlign w:val="bottom"/>
          </w:tcPr>
          <w:p>
            <w:pPr>
              <w:spacing w:after="0"/>
              <w:rPr>
                <w:sz w:val="20"/>
                <w:szCs w:val="20"/>
                <w:color w:val="auto"/>
              </w:rPr>
            </w:pPr>
            <w:r>
              <w:rPr>
                <w:rFonts w:ascii="Arial" w:cs="Arial" w:eastAsia="Arial" w:hAnsi="Arial"/>
                <w:sz w:val="17"/>
                <w:szCs w:val="17"/>
                <w:color w:val="auto"/>
              </w:rPr>
              <w:t>Total</w:t>
            </w:r>
          </w:p>
        </w:tc>
        <w:tc>
          <w:tcPr>
            <w:tcW w:w="280" w:type="dxa"/>
            <w:vAlign w:val="bottom"/>
          </w:tcPr>
          <w:p>
            <w:pPr>
              <w:spacing w:after="0"/>
              <w:rPr>
                <w:sz w:val="18"/>
                <w:szCs w:val="18"/>
                <w:color w:val="auto"/>
              </w:rPr>
            </w:pPr>
          </w:p>
        </w:tc>
        <w:tc>
          <w:tcPr>
            <w:tcW w:w="860" w:type="dxa"/>
            <w:vAlign w:val="bottom"/>
          </w:tcPr>
          <w:p>
            <w:pPr>
              <w:jc w:val="right"/>
              <w:ind w:right="19"/>
              <w:spacing w:after="0"/>
              <w:rPr>
                <w:sz w:val="20"/>
                <w:szCs w:val="20"/>
                <w:color w:val="auto"/>
              </w:rPr>
            </w:pPr>
            <w:r>
              <w:rPr>
                <w:rFonts w:ascii="Arial" w:cs="Arial" w:eastAsia="Arial" w:hAnsi="Arial"/>
                <w:sz w:val="17"/>
                <w:szCs w:val="17"/>
                <w:color w:val="auto"/>
                <w:w w:val="97"/>
              </w:rPr>
              <w:t>1,774,415</w:t>
            </w:r>
          </w:p>
        </w:tc>
        <w:tc>
          <w:tcPr>
            <w:tcW w:w="340" w:type="dxa"/>
            <w:vAlign w:val="bottom"/>
          </w:tcPr>
          <w:p>
            <w:pPr>
              <w:spacing w:after="0"/>
              <w:rPr>
                <w:sz w:val="18"/>
                <w:szCs w:val="18"/>
                <w:color w:val="auto"/>
              </w:rPr>
            </w:pPr>
          </w:p>
        </w:tc>
        <w:tc>
          <w:tcPr>
            <w:tcW w:w="800" w:type="dxa"/>
            <w:vAlign w:val="bottom"/>
          </w:tcPr>
          <w:p>
            <w:pPr>
              <w:jc w:val="right"/>
              <w:ind w:right="37"/>
              <w:spacing w:after="0"/>
              <w:rPr>
                <w:sz w:val="20"/>
                <w:szCs w:val="20"/>
                <w:color w:val="auto"/>
              </w:rPr>
            </w:pPr>
            <w:r>
              <w:rPr>
                <w:rFonts w:ascii="Arial" w:cs="Arial" w:eastAsia="Arial" w:hAnsi="Arial"/>
                <w:sz w:val="17"/>
                <w:szCs w:val="17"/>
                <w:color w:val="auto"/>
                <w:w w:val="87"/>
              </w:rPr>
              <w:t>1,424,049</w:t>
            </w:r>
          </w:p>
        </w:tc>
      </w:tr>
      <w:tr>
        <w:trPr>
          <w:trHeight w:val="209"/>
        </w:trPr>
        <w:tc>
          <w:tcPr>
            <w:tcW w:w="20" w:type="dxa"/>
            <w:vAlign w:val="bottom"/>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Expenses:</w:t>
            </w: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9120" w:type="dxa"/>
            <w:vAlign w:val="bottom"/>
          </w:tcPr>
          <w:p>
            <w:pPr>
              <w:spacing w:after="0"/>
              <w:rPr>
                <w:sz w:val="20"/>
                <w:szCs w:val="20"/>
                <w:color w:val="auto"/>
              </w:rPr>
            </w:pPr>
            <w:r>
              <w:rPr>
                <w:rFonts w:ascii="Arial" w:cs="Arial" w:eastAsia="Arial" w:hAnsi="Arial"/>
                <w:sz w:val="17"/>
                <w:szCs w:val="17"/>
                <w:color w:val="auto"/>
              </w:rPr>
              <w:t>Investment expenses</w:t>
            </w: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7"/>
                <w:szCs w:val="17"/>
                <w:color w:val="auto"/>
              </w:rPr>
              <w:t>150,703</w:t>
            </w:r>
          </w:p>
        </w:tc>
        <w:tc>
          <w:tcPr>
            <w:tcW w:w="3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40,060</w:t>
            </w:r>
          </w:p>
        </w:tc>
      </w:tr>
      <w:tr>
        <w:trPr>
          <w:trHeight w:val="249"/>
        </w:trPr>
        <w:tc>
          <w:tcPr>
            <w:tcW w:w="20" w:type="dxa"/>
            <w:vAlign w:val="bottom"/>
          </w:tcPr>
          <w:p>
            <w:pPr>
              <w:spacing w:after="0"/>
              <w:rPr>
                <w:sz w:val="21"/>
                <w:szCs w:val="21"/>
                <w:color w:val="auto"/>
              </w:rPr>
            </w:pPr>
          </w:p>
        </w:tc>
        <w:tc>
          <w:tcPr>
            <w:tcW w:w="9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Net investment income</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7"/>
                <w:szCs w:val="17"/>
                <w:color w:val="auto"/>
                <w:w w:val="97"/>
              </w:rPr>
              <w:t>1,623,712</w:t>
            </w:r>
          </w:p>
        </w:tc>
        <w:tc>
          <w:tcPr>
            <w:tcW w:w="34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w w:val="87"/>
              </w:rPr>
              <w:t>1,383,989</w:t>
            </w:r>
          </w:p>
        </w:tc>
      </w:tr>
    </w:tbl>
    <w:p>
      <w:pPr>
        <w:spacing w:after="0" w:line="201" w:lineRule="exact"/>
        <w:rPr>
          <w:sz w:val="20"/>
          <w:szCs w:val="20"/>
          <w:color w:val="auto"/>
        </w:rPr>
      </w:pPr>
    </w:p>
    <w:p>
      <w:pPr>
        <w:jc w:val="both"/>
        <w:spacing w:after="0" w:line="281" w:lineRule="auto"/>
        <w:rPr>
          <w:sz w:val="20"/>
          <w:szCs w:val="20"/>
          <w:color w:val="auto"/>
        </w:rPr>
      </w:pPr>
      <w:r>
        <w:rPr>
          <w:rFonts w:ascii="Arial" w:cs="Arial" w:eastAsia="Arial" w:hAnsi="Arial"/>
          <w:sz w:val="17"/>
          <w:szCs w:val="17"/>
          <w:color w:val="auto"/>
        </w:rPr>
        <w:t>Proceeds from the sale and redemption of fixed-maturity securities held-to-maturity were $400,000 and $-0- for the three months ended March 31, 2019 and 2018, respectively.</w:t>
      </w:r>
    </w:p>
    <w:p>
      <w:pPr>
        <w:spacing w:after="0" w:line="170" w:lineRule="exact"/>
        <w:rPr>
          <w:sz w:val="20"/>
          <w:szCs w:val="20"/>
          <w:color w:val="auto"/>
        </w:rPr>
      </w:pPr>
    </w:p>
    <w:p>
      <w:pPr>
        <w:jc w:val="both"/>
        <w:spacing w:after="0" w:line="281" w:lineRule="auto"/>
        <w:rPr>
          <w:sz w:val="20"/>
          <w:szCs w:val="20"/>
          <w:color w:val="auto"/>
        </w:rPr>
      </w:pPr>
      <w:r>
        <w:rPr>
          <w:rFonts w:ascii="Arial" w:cs="Arial" w:eastAsia="Arial" w:hAnsi="Arial"/>
          <w:sz w:val="17"/>
          <w:szCs w:val="17"/>
          <w:color w:val="auto"/>
        </w:rPr>
        <w:t>Proceeds from the sale or maturity of fixed-maturity securities available-for-sale were $1,505,382 and $7,891,145 for the three months ended March 31, 2019 and 2018,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Proceeds from the sale of equity securities were $246,047 and $3,378,515 for the three months ended March 31, 2019 and 2018, respectively.</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25106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ectPr>
          <w:pgSz w:w="11900" w:h="16838" w:orient="portrait"/>
          <w:cols w:equalWidth="0" w:num="1">
            <w:col w:w="11420"/>
          </w:cols>
          <w:pgMar w:left="240" w:top="497" w:right="23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7"/>
          <w:szCs w:val="17"/>
          <w:color w:val="auto"/>
        </w:rPr>
        <w:t>The Company’s net gains (losses) on investments are summarized as follows:</w:t>
      </w:r>
    </w:p>
    <w:p>
      <w:pPr>
        <w:spacing w:after="0" w:line="271" w:lineRule="exact"/>
        <w:rPr>
          <w:sz w:val="20"/>
          <w:szCs w:val="20"/>
          <w:color w:val="auto"/>
        </w:rPr>
      </w:pPr>
    </w:p>
    <w:p>
      <w:pPr>
        <w:jc w:val="center"/>
        <w:ind w:left="9160"/>
        <w:spacing w:after="0"/>
        <w:rPr>
          <w:sz w:val="20"/>
          <w:szCs w:val="20"/>
          <w:color w:val="auto"/>
        </w:rPr>
      </w:pPr>
      <w:r>
        <w:rPr>
          <w:rFonts w:ascii="Arial" w:cs="Arial" w:eastAsia="Arial" w:hAnsi="Arial"/>
          <w:sz w:val="14"/>
          <w:szCs w:val="14"/>
          <w:b w:val="1"/>
          <w:bCs w:val="1"/>
          <w:color w:val="auto"/>
        </w:rPr>
        <w:t>Three months ended</w:t>
      </w:r>
    </w:p>
    <w:p>
      <w:pPr>
        <w:spacing w:after="0" w:line="48" w:lineRule="exact"/>
        <w:rPr>
          <w:sz w:val="20"/>
          <w:szCs w:val="20"/>
          <w:color w:val="auto"/>
        </w:rPr>
      </w:pPr>
    </w:p>
    <w:p>
      <w:pPr>
        <w:jc w:val="center"/>
        <w:ind w:left="916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5808345</wp:posOffset>
            </wp:positionH>
            <wp:positionV relativeFrom="paragraph">
              <wp:posOffset>5715</wp:posOffset>
            </wp:positionV>
            <wp:extent cx="1445260" cy="165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445260" cy="16510"/>
                    </a:xfrm>
                    <a:prstGeom prst="rect">
                      <a:avLst/>
                    </a:prstGeom>
                    <a:noFill/>
                  </pic:spPr>
                </pic:pic>
              </a:graphicData>
            </a:graphic>
          </wp:anchor>
        </w:drawing>
      </w:r>
    </w:p>
    <w:p>
      <w:pPr>
        <w:spacing w:after="0" w:line="54" w:lineRule="exact"/>
        <w:rPr>
          <w:sz w:val="20"/>
          <w:szCs w:val="20"/>
          <w:color w:val="auto"/>
        </w:rPr>
      </w:pPr>
    </w:p>
    <w:p>
      <w:pPr>
        <w:jc w:val="both"/>
        <w:ind w:left="9580"/>
        <w:spacing w:after="0"/>
        <w:tabs>
          <w:tab w:leader="none" w:pos="1070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5808345</wp:posOffset>
            </wp:positionH>
            <wp:positionV relativeFrom="paragraph">
              <wp:posOffset>5715</wp:posOffset>
            </wp:positionV>
            <wp:extent cx="1445260" cy="165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445260" cy="16510"/>
                    </a:xfrm>
                    <a:prstGeom prst="rect">
                      <a:avLst/>
                    </a:prstGeom>
                    <a:noFill/>
                  </pic:spPr>
                </pic:pic>
              </a:graphicData>
            </a:graphic>
          </wp:anchor>
        </w:drawing>
      </w:r>
    </w:p>
    <w:p>
      <w:pPr>
        <w:sectPr>
          <w:pgSz w:w="11900" w:h="16838" w:orient="portrait"/>
          <w:cols w:equalWidth="0" w:num="1">
            <w:col w:w="11420"/>
          </w:cols>
          <w:pgMar w:left="240" w:top="497" w:right="239" w:bottom="1440" w:gutter="0" w:footer="0" w:header="0"/>
        </w:sectPr>
      </w:pP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Realized Losses</w:t>
      </w:r>
    </w:p>
    <w:p>
      <w:pPr>
        <w:spacing w:after="0" w:line="2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Fixed-maturity securities:</w:t>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color w:val="auto"/>
        </w:rPr>
        <w:t>Gross realized gains</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Gross realized losses</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Equity securities:</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Gross realized gains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519" w:hanging="519"/>
        <w:spacing w:after="0"/>
        <w:tabs>
          <w:tab w:leader="none" w:pos="519" w:val="left"/>
        </w:tabs>
        <w:numPr>
          <w:ilvl w:val="0"/>
          <w:numId w:val="7"/>
        </w:numPr>
        <w:rPr>
          <w:rFonts w:ascii="Arial" w:cs="Arial" w:eastAsia="Arial" w:hAnsi="Arial"/>
          <w:sz w:val="17"/>
          <w:szCs w:val="17"/>
          <w:color w:val="auto"/>
        </w:rPr>
      </w:pPr>
      <w:r>
        <w:rPr>
          <w:rFonts w:ascii="Arial" w:cs="Arial" w:eastAsia="Arial" w:hAnsi="Arial"/>
          <w:sz w:val="17"/>
          <w:szCs w:val="17"/>
          <w:color w:val="auto"/>
        </w:rPr>
        <w:t>6,002   $    117,469</w:t>
      </w:r>
    </w:p>
    <w:p>
      <w:pPr>
        <w:spacing w:after="0" w:line="20" w:lineRule="exact"/>
        <w:rPr>
          <w:rFonts w:ascii="Arial" w:cs="Arial" w:eastAsia="Arial" w:hAnsi="Arial"/>
          <w:sz w:val="17"/>
          <w:szCs w:val="17"/>
          <w:color w:val="auto"/>
        </w:rPr>
      </w:pPr>
    </w:p>
    <w:p>
      <w:pPr>
        <w:ind w:left="379"/>
        <w:spacing w:after="0"/>
        <w:rPr>
          <w:rFonts w:ascii="Arial" w:cs="Arial" w:eastAsia="Arial" w:hAnsi="Arial"/>
          <w:sz w:val="17"/>
          <w:szCs w:val="17"/>
          <w:color w:val="auto"/>
        </w:rPr>
      </w:pPr>
      <w:r>
        <w:rPr>
          <w:rFonts w:ascii="Arial" w:cs="Arial" w:eastAsia="Arial" w:hAnsi="Arial"/>
          <w:sz w:val="17"/>
          <w:szCs w:val="17"/>
          <w:color w:val="auto"/>
        </w:rPr>
        <w:t>(28,433)</w:t>
      </w:r>
      <w:r>
        <w:rPr>
          <w:rFonts w:ascii="Arial" w:cs="Arial" w:eastAsia="Arial" w:hAnsi="Arial"/>
          <w:sz w:val="15"/>
          <w:szCs w:val="15"/>
          <w:color w:val="auto"/>
        </w:rPr>
        <w:t>(334,969)</w:t>
      </w:r>
    </w:p>
    <w:p>
      <w:pPr>
        <w:spacing w:after="0" w:line="33" w:lineRule="exact"/>
        <w:rPr>
          <w:rFonts w:ascii="Arial" w:cs="Arial" w:eastAsia="Arial" w:hAnsi="Arial"/>
          <w:sz w:val="17"/>
          <w:szCs w:val="17"/>
          <w:color w:val="auto"/>
        </w:rPr>
      </w:pPr>
    </w:p>
    <w:p>
      <w:pPr>
        <w:ind w:left="379"/>
        <w:spacing w:after="0"/>
        <w:rPr>
          <w:rFonts w:ascii="Arial" w:cs="Arial" w:eastAsia="Arial" w:hAnsi="Arial"/>
          <w:sz w:val="17"/>
          <w:szCs w:val="17"/>
          <w:color w:val="auto"/>
        </w:rPr>
      </w:pPr>
      <w:r>
        <w:rPr>
          <w:rFonts w:ascii="Arial" w:cs="Arial" w:eastAsia="Arial" w:hAnsi="Arial"/>
          <w:sz w:val="17"/>
          <w:szCs w:val="17"/>
          <w:color w:val="auto"/>
        </w:rPr>
        <w:t>(22,431)</w:t>
      </w:r>
      <w:r>
        <w:rPr>
          <w:rFonts w:ascii="Arial" w:cs="Arial" w:eastAsia="Arial" w:hAnsi="Arial"/>
          <w:sz w:val="15"/>
          <w:szCs w:val="15"/>
          <w:color w:val="auto"/>
        </w:rPr>
        <w:t>(217,500)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-400685</wp:posOffset>
            </wp:positionV>
            <wp:extent cx="7251065" cy="1327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1065" cy="13271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163830</wp:posOffset>
            </wp:positionV>
            <wp:extent cx="7251065" cy="1327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1065" cy="13271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-134620</wp:posOffset>
            </wp:positionV>
            <wp:extent cx="7251065" cy="16637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1065" cy="16637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519"/>
        <w:spacing w:after="0"/>
        <w:tabs>
          <w:tab w:leader="none" w:pos="1479" w:val="left"/>
        </w:tabs>
        <w:rPr>
          <w:sz w:val="20"/>
          <w:szCs w:val="20"/>
          <w:color w:val="auto"/>
        </w:rPr>
      </w:pPr>
      <w:r>
        <w:rPr>
          <w:rFonts w:ascii="Arial" w:cs="Arial" w:eastAsia="Arial" w:hAnsi="Arial"/>
          <w:sz w:val="16"/>
          <w:szCs w:val="16"/>
          <w:color w:val="auto"/>
        </w:rPr>
        <w:t>3,200</w:t>
      </w:r>
      <w:r>
        <w:rPr>
          <w:sz w:val="20"/>
          <w:szCs w:val="20"/>
          <w:color w:val="auto"/>
        </w:rPr>
        <w:tab/>
      </w:r>
      <w:r>
        <w:rPr>
          <w:rFonts w:ascii="Arial" w:cs="Arial" w:eastAsia="Arial" w:hAnsi="Arial"/>
          <w:sz w:val="16"/>
          <w:szCs w:val="16"/>
          <w:color w:val="auto"/>
        </w:rPr>
        <w:t>210,558</w:t>
      </w:r>
    </w:p>
    <w:p>
      <w:pPr>
        <w:spacing w:after="0" w:line="47" w:lineRule="exact"/>
        <w:rPr>
          <w:sz w:val="20"/>
          <w:szCs w:val="20"/>
          <w:color w:val="auto"/>
        </w:rPr>
      </w:pPr>
    </w:p>
    <w:p>
      <w:pPr>
        <w:sectPr>
          <w:pgSz w:w="11900" w:h="16838" w:orient="portrait"/>
          <w:cols w:equalWidth="0" w:num="2">
            <w:col w:w="8541" w:space="720"/>
            <w:col w:w="2159"/>
          </w:cols>
          <w:pgMar w:left="240" w:top="497" w:right="239" w:bottom="1440" w:gutter="0" w:footer="0" w:header="0"/>
          <w:type w:val="continuous"/>
        </w:sectPr>
      </w:pPr>
    </w:p>
    <w:tbl>
      <w:tblPr>
        <w:tblLayout w:type="fixed"/>
        <w:tblInd w:w="0" w:type="dxa"/>
        <w:tblCellMar>
          <w:top w:w="0" w:type="dxa"/>
          <w:left w:w="0" w:type="dxa"/>
          <w:bottom w:w="0" w:type="dxa"/>
          <w:right w:w="0" w:type="dxa"/>
        </w:tblCellMar>
      </w:tblPr>
      <w:tr>
        <w:trPr>
          <w:trHeight w:val="202"/>
        </w:trPr>
        <w:tc>
          <w:tcPr>
            <w:tcW w:w="20" w:type="dxa"/>
            <w:vAlign w:val="bottom"/>
          </w:tcPr>
          <w:p>
            <w:pPr>
              <w:spacing w:after="0"/>
              <w:rPr>
                <w:sz w:val="17"/>
                <w:szCs w:val="17"/>
                <w:color w:val="auto"/>
              </w:rPr>
            </w:pPr>
          </w:p>
        </w:tc>
        <w:tc>
          <w:tcPr>
            <w:tcW w:w="3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Gross realized losses</w:t>
            </w:r>
          </w:p>
        </w:tc>
        <w:tc>
          <w:tcPr>
            <w:tcW w:w="518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(5,961)</w:t>
            </w:r>
          </w:p>
        </w:tc>
        <w:tc>
          <w:tcPr>
            <w:tcW w:w="2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(236,831)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6360" w:type="dxa"/>
            <w:vAlign w:val="bottom"/>
            <w:gridSpan w:val="2"/>
          </w:tcPr>
          <w:p>
            <w:pPr>
              <w:jc w:val="right"/>
              <w:ind w:right="15"/>
              <w:spacing w:after="0"/>
              <w:rPr>
                <w:sz w:val="20"/>
                <w:szCs w:val="20"/>
                <w:color w:val="auto"/>
              </w:rPr>
            </w:pPr>
            <w:r>
              <w:rPr>
                <w:rFonts w:ascii="Arial" w:cs="Arial" w:eastAsia="Arial" w:hAnsi="Arial"/>
                <w:sz w:val="17"/>
                <w:szCs w:val="17"/>
                <w:color w:val="auto"/>
              </w:rPr>
              <w:t>(2,761)</w:t>
            </w: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(26,273)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18"/>
                <w:szCs w:val="18"/>
                <w:color w:val="auto"/>
              </w:rPr>
            </w:pPr>
          </w:p>
        </w:tc>
        <w:tc>
          <w:tcPr>
            <w:tcW w:w="5180" w:type="dxa"/>
            <w:vAlign w:val="bottom"/>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940" w:type="dxa"/>
            <w:vAlign w:val="bottom"/>
          </w:tcPr>
          <w:p>
            <w:pPr>
              <w:ind w:left="140"/>
              <w:spacing w:after="0"/>
              <w:rPr>
                <w:sz w:val="20"/>
                <w:szCs w:val="20"/>
                <w:color w:val="auto"/>
              </w:rPr>
            </w:pPr>
            <w:r>
              <w:rPr>
                <w:rFonts w:ascii="Arial" w:cs="Arial" w:eastAsia="Arial" w:hAnsi="Arial"/>
                <w:sz w:val="17"/>
                <w:szCs w:val="17"/>
                <w:color w:val="auto"/>
              </w:rPr>
              <w:t>Net realized losses</w:t>
            </w:r>
          </w:p>
        </w:tc>
        <w:tc>
          <w:tcPr>
            <w:tcW w:w="6360" w:type="dxa"/>
            <w:vAlign w:val="bottom"/>
            <w:gridSpan w:val="2"/>
          </w:tcPr>
          <w:p>
            <w:pPr>
              <w:jc w:val="right"/>
              <w:ind w:right="15"/>
              <w:spacing w:after="0"/>
              <w:rPr>
                <w:sz w:val="20"/>
                <w:szCs w:val="20"/>
                <w:color w:val="auto"/>
              </w:rPr>
            </w:pPr>
            <w:r>
              <w:rPr>
                <w:rFonts w:ascii="Arial" w:cs="Arial" w:eastAsia="Arial" w:hAnsi="Arial"/>
                <w:sz w:val="17"/>
                <w:szCs w:val="17"/>
                <w:color w:val="auto"/>
              </w:rPr>
              <w:t>(25,192)</w:t>
            </w: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(243,773)</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3940" w:type="dxa"/>
            <w:vAlign w:val="bottom"/>
            <w:shd w:val="clear" w:color="auto" w:fill="CCEEFF"/>
          </w:tcPr>
          <w:p>
            <w:pPr>
              <w:spacing w:after="0"/>
              <w:rPr>
                <w:sz w:val="18"/>
                <w:szCs w:val="18"/>
                <w:color w:val="auto"/>
              </w:rPr>
            </w:pPr>
          </w:p>
        </w:tc>
        <w:tc>
          <w:tcPr>
            <w:tcW w:w="5180" w:type="dxa"/>
            <w:vAlign w:val="bottom"/>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7"/>
                <w:szCs w:val="17"/>
                <w:b w:val="1"/>
                <w:bCs w:val="1"/>
                <w:color w:val="auto"/>
              </w:rPr>
              <w:t>Unrealized Gains (Losses)</w:t>
            </w:r>
          </w:p>
        </w:tc>
        <w:tc>
          <w:tcPr>
            <w:tcW w:w="5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3940" w:type="dxa"/>
            <w:vAlign w:val="bottom"/>
            <w:shd w:val="clear" w:color="auto" w:fill="CCEEFF"/>
          </w:tcPr>
          <w:p>
            <w:pPr>
              <w:spacing w:after="0"/>
              <w:rPr>
                <w:sz w:val="18"/>
                <w:szCs w:val="18"/>
                <w:color w:val="auto"/>
              </w:rPr>
            </w:pPr>
          </w:p>
        </w:tc>
        <w:tc>
          <w:tcPr>
            <w:tcW w:w="5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7"/>
                <w:szCs w:val="17"/>
                <w:b w:val="1"/>
                <w:bCs w:val="1"/>
                <w:color w:val="auto"/>
              </w:rPr>
              <w:t>Equity securities:</w:t>
            </w:r>
          </w:p>
        </w:tc>
        <w:tc>
          <w:tcPr>
            <w:tcW w:w="5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7"/>
                <w:szCs w:val="17"/>
                <w:color w:val="auto"/>
              </w:rPr>
              <w:t>Gross gains</w:t>
            </w:r>
          </w:p>
        </w:tc>
        <w:tc>
          <w:tcPr>
            <w:tcW w:w="6360" w:type="dxa"/>
            <w:vAlign w:val="bottom"/>
            <w:gridSpan w:val="2"/>
            <w:shd w:val="clear" w:color="auto" w:fill="CCEEFF"/>
          </w:tcPr>
          <w:p>
            <w:pPr>
              <w:jc w:val="right"/>
              <w:ind w:right="55"/>
              <w:spacing w:after="0"/>
              <w:rPr>
                <w:sz w:val="20"/>
                <w:szCs w:val="20"/>
                <w:color w:val="auto"/>
              </w:rPr>
            </w:pPr>
            <w:r>
              <w:rPr>
                <w:rFonts w:ascii="Arial" w:cs="Arial" w:eastAsia="Arial" w:hAnsi="Arial"/>
                <w:sz w:val="17"/>
                <w:szCs w:val="17"/>
                <w:color w:val="auto"/>
              </w:rPr>
              <w:t>1,767,835</w:t>
            </w: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7"/>
                <w:szCs w:val="17"/>
                <w:color w:val="auto"/>
              </w:rPr>
              <w:t>Gross losses</w:t>
            </w:r>
          </w:p>
        </w:tc>
        <w:tc>
          <w:tcPr>
            <w:tcW w:w="5180" w:type="dxa"/>
            <w:vAlign w:val="bottom"/>
          </w:tcPr>
          <w:p>
            <w:pPr>
              <w:spacing w:after="0"/>
              <w:rPr>
                <w:sz w:val="18"/>
                <w:szCs w:val="18"/>
                <w:color w:val="auto"/>
              </w:rPr>
            </w:pPr>
          </w:p>
        </w:tc>
        <w:tc>
          <w:tcPr>
            <w:tcW w:w="118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(307,214)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18"/>
                <w:szCs w:val="18"/>
                <w:color w:val="auto"/>
              </w:rPr>
            </w:pPr>
          </w:p>
        </w:tc>
        <w:tc>
          <w:tcPr>
            <w:tcW w:w="6360" w:type="dxa"/>
            <w:vAlign w:val="bottom"/>
            <w:gridSpan w:val="2"/>
            <w:shd w:val="clear" w:color="auto" w:fill="CCEEFF"/>
          </w:tcPr>
          <w:p>
            <w:pPr>
              <w:jc w:val="right"/>
              <w:ind w:right="55"/>
              <w:spacing w:after="0"/>
              <w:rPr>
                <w:sz w:val="20"/>
                <w:szCs w:val="20"/>
                <w:color w:val="auto"/>
              </w:rPr>
            </w:pPr>
            <w:r>
              <w:rPr>
                <w:rFonts w:ascii="Arial" w:cs="Arial" w:eastAsia="Arial" w:hAnsi="Arial"/>
                <w:sz w:val="17"/>
                <w:szCs w:val="17"/>
                <w:color w:val="auto"/>
              </w:rPr>
              <w:t>1,767,835</w:t>
            </w: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(307,214)</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3940" w:type="dxa"/>
            <w:vAlign w:val="bottom"/>
            <w:tcBorders>
              <w:top w:val="single" w:sz="8" w:color="CCEEFF"/>
            </w:tcBorders>
          </w:tcPr>
          <w:p>
            <w:pPr>
              <w:spacing w:after="0"/>
              <w:rPr>
                <w:sz w:val="18"/>
                <w:szCs w:val="18"/>
                <w:color w:val="auto"/>
              </w:rPr>
            </w:pPr>
          </w:p>
        </w:tc>
        <w:tc>
          <w:tcPr>
            <w:tcW w:w="5180" w:type="dxa"/>
            <w:vAlign w:val="bottom"/>
            <w:tcBorders>
              <w:top w:val="single" w:sz="8" w:color="CCEEFF"/>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Other investments:</w:t>
            </w:r>
          </w:p>
        </w:tc>
        <w:tc>
          <w:tcPr>
            <w:tcW w:w="5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7"/>
                <w:szCs w:val="17"/>
                <w:color w:val="auto"/>
              </w:rPr>
              <w:t>Gross gains</w:t>
            </w:r>
          </w:p>
        </w:tc>
        <w:tc>
          <w:tcPr>
            <w:tcW w:w="6360" w:type="dxa"/>
            <w:vAlign w:val="bottom"/>
            <w:gridSpan w:val="2"/>
          </w:tcPr>
          <w:p>
            <w:pPr>
              <w:jc w:val="right"/>
              <w:ind w:right="55"/>
              <w:spacing w:after="0"/>
              <w:rPr>
                <w:sz w:val="20"/>
                <w:szCs w:val="20"/>
                <w:color w:val="auto"/>
              </w:rPr>
            </w:pPr>
            <w:r>
              <w:rPr>
                <w:rFonts w:ascii="Arial" w:cs="Arial" w:eastAsia="Arial" w:hAnsi="Arial"/>
                <w:sz w:val="17"/>
                <w:szCs w:val="17"/>
                <w:color w:val="auto"/>
              </w:rPr>
              <w:t>292,720</w:t>
            </w:r>
          </w:p>
        </w:tc>
        <w:tc>
          <w:tcPr>
            <w:tcW w:w="280" w:type="dxa"/>
            <w:vAlign w:val="bottom"/>
          </w:tcPr>
          <w:p>
            <w:pPr>
              <w:spacing w:after="0"/>
              <w:rPr>
                <w:sz w:val="18"/>
                <w:szCs w:val="18"/>
                <w:color w:val="auto"/>
              </w:rPr>
            </w:pPr>
          </w:p>
        </w:tc>
        <w:tc>
          <w:tcPr>
            <w:tcW w:w="820" w:type="dxa"/>
            <w:vAlign w:val="bottom"/>
          </w:tcPr>
          <w:p>
            <w:pPr>
              <w:jc w:val="right"/>
              <w:ind w:right="35"/>
              <w:spacing w:after="0"/>
              <w:rPr>
                <w:sz w:val="20"/>
                <w:szCs w:val="20"/>
                <w:color w:val="auto"/>
              </w:rPr>
            </w:pPr>
            <w:r>
              <w:rPr>
                <w:rFonts w:ascii="Arial" w:cs="Arial" w:eastAsia="Arial" w:hAnsi="Arial"/>
                <w:sz w:val="17"/>
                <w:szCs w:val="17"/>
                <w:color w:val="auto"/>
              </w:rPr>
              <w:t>27,860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Gross losses</w:t>
            </w:r>
          </w:p>
        </w:tc>
        <w:tc>
          <w:tcPr>
            <w:tcW w:w="51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6360" w:type="dxa"/>
            <w:vAlign w:val="bottom"/>
            <w:gridSpan w:val="2"/>
          </w:tcPr>
          <w:p>
            <w:pPr>
              <w:jc w:val="right"/>
              <w:ind w:right="55"/>
              <w:spacing w:after="0"/>
              <w:rPr>
                <w:sz w:val="20"/>
                <w:szCs w:val="20"/>
                <w:color w:val="auto"/>
              </w:rPr>
            </w:pPr>
            <w:r>
              <w:rPr>
                <w:rFonts w:ascii="Arial" w:cs="Arial" w:eastAsia="Arial" w:hAnsi="Arial"/>
                <w:sz w:val="17"/>
                <w:szCs w:val="17"/>
                <w:color w:val="auto"/>
              </w:rPr>
              <w:t>292,720</w:t>
            </w:r>
          </w:p>
        </w:tc>
        <w:tc>
          <w:tcPr>
            <w:tcW w:w="280" w:type="dxa"/>
            <w:vAlign w:val="bottom"/>
          </w:tcPr>
          <w:p>
            <w:pPr>
              <w:spacing w:after="0"/>
              <w:rPr>
                <w:sz w:val="18"/>
                <w:szCs w:val="18"/>
                <w:color w:val="auto"/>
              </w:rPr>
            </w:pPr>
          </w:p>
        </w:tc>
        <w:tc>
          <w:tcPr>
            <w:tcW w:w="820" w:type="dxa"/>
            <w:vAlign w:val="bottom"/>
          </w:tcPr>
          <w:p>
            <w:pPr>
              <w:jc w:val="right"/>
              <w:ind w:right="35"/>
              <w:spacing w:after="0"/>
              <w:rPr>
                <w:sz w:val="20"/>
                <w:szCs w:val="20"/>
                <w:color w:val="auto"/>
              </w:rPr>
            </w:pPr>
            <w:r>
              <w:rPr>
                <w:rFonts w:ascii="Arial" w:cs="Arial" w:eastAsia="Arial" w:hAnsi="Arial"/>
                <w:sz w:val="17"/>
                <w:szCs w:val="17"/>
                <w:color w:val="auto"/>
              </w:rPr>
              <w:t>27,860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18"/>
                <w:szCs w:val="18"/>
                <w:color w:val="auto"/>
              </w:rPr>
            </w:pPr>
          </w:p>
        </w:tc>
        <w:tc>
          <w:tcPr>
            <w:tcW w:w="5180" w:type="dxa"/>
            <w:vAlign w:val="bottom"/>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940" w:type="dxa"/>
            <w:vAlign w:val="bottom"/>
          </w:tcPr>
          <w:p>
            <w:pPr>
              <w:ind w:left="140"/>
              <w:spacing w:after="0"/>
              <w:rPr>
                <w:sz w:val="20"/>
                <w:szCs w:val="20"/>
                <w:color w:val="auto"/>
              </w:rPr>
            </w:pPr>
            <w:r>
              <w:rPr>
                <w:rFonts w:ascii="Arial" w:cs="Arial" w:eastAsia="Arial" w:hAnsi="Arial"/>
                <w:sz w:val="17"/>
                <w:szCs w:val="17"/>
                <w:color w:val="auto"/>
              </w:rPr>
              <w:t>Net unrealized gains (losses)</w:t>
            </w:r>
          </w:p>
        </w:tc>
        <w:tc>
          <w:tcPr>
            <w:tcW w:w="6360" w:type="dxa"/>
            <w:vAlign w:val="bottom"/>
            <w:gridSpan w:val="2"/>
          </w:tcPr>
          <w:p>
            <w:pPr>
              <w:jc w:val="right"/>
              <w:ind w:right="55"/>
              <w:spacing w:after="0"/>
              <w:rPr>
                <w:sz w:val="20"/>
                <w:szCs w:val="20"/>
                <w:color w:val="auto"/>
              </w:rPr>
            </w:pPr>
            <w:r>
              <w:rPr>
                <w:rFonts w:ascii="Arial" w:cs="Arial" w:eastAsia="Arial" w:hAnsi="Arial"/>
                <w:sz w:val="17"/>
                <w:szCs w:val="17"/>
                <w:color w:val="auto"/>
              </w:rPr>
              <w:t>2,060,555</w:t>
            </w: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(279,354)</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3940" w:type="dxa"/>
            <w:vAlign w:val="bottom"/>
            <w:shd w:val="clear" w:color="auto" w:fill="CCEEFF"/>
          </w:tcPr>
          <w:p>
            <w:pPr>
              <w:spacing w:after="0"/>
              <w:rPr>
                <w:sz w:val="18"/>
                <w:szCs w:val="18"/>
                <w:color w:val="auto"/>
              </w:rPr>
            </w:pPr>
          </w:p>
        </w:tc>
        <w:tc>
          <w:tcPr>
            <w:tcW w:w="5180" w:type="dxa"/>
            <w:vAlign w:val="bottom"/>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7"/>
                <w:szCs w:val="17"/>
                <w:color w:val="auto"/>
              </w:rPr>
              <w:t>Net gains (losses) on investments</w:t>
            </w:r>
          </w:p>
        </w:tc>
        <w:tc>
          <w:tcPr>
            <w:tcW w:w="6360" w:type="dxa"/>
            <w:vAlign w:val="bottom"/>
            <w:gridSpan w:val="2"/>
          </w:tcPr>
          <w:p>
            <w:pPr>
              <w:jc w:val="right"/>
              <w:ind w:right="55"/>
              <w:spacing w:after="0"/>
              <w:rPr>
                <w:sz w:val="20"/>
                <w:szCs w:val="20"/>
                <w:color w:val="auto"/>
              </w:rPr>
            </w:pPr>
            <w:r>
              <w:rPr>
                <w:rFonts w:ascii="Arial" w:cs="Arial" w:eastAsia="Arial" w:hAnsi="Arial"/>
                <w:sz w:val="17"/>
                <w:szCs w:val="17"/>
                <w:color w:val="auto"/>
              </w:rPr>
              <w:t>$  2,035,363</w:t>
            </w:r>
          </w:p>
        </w:tc>
        <w:tc>
          <w:tcPr>
            <w:tcW w:w="28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(523,127)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5180" w:type="dxa"/>
            <w:vAlign w:val="bottom"/>
            <w:vMerge w:val="restart"/>
          </w:tcPr>
          <w:p>
            <w:pPr>
              <w:jc w:val="right"/>
              <w:ind w:right="3255"/>
              <w:spacing w:after="0"/>
              <w:rPr>
                <w:sz w:val="20"/>
                <w:szCs w:val="20"/>
                <w:color w:val="auto"/>
              </w:rPr>
            </w:pPr>
            <w:r>
              <w:rPr>
                <w:rFonts w:ascii="Arial" w:cs="Arial" w:eastAsia="Arial" w:hAnsi="Arial"/>
                <w:sz w:val="17"/>
                <w:szCs w:val="17"/>
                <w:color w:val="auto"/>
              </w:rPr>
              <w:t>15</w:t>
            </w: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7"/>
        </w:trPr>
        <w:tc>
          <w:tcPr>
            <w:tcW w:w="20" w:type="dxa"/>
            <w:vAlign w:val="bottom"/>
          </w:tcPr>
          <w:p>
            <w:pPr>
              <w:spacing w:after="0"/>
              <w:rPr>
                <w:sz w:val="24"/>
                <w:szCs w:val="24"/>
                <w:color w:val="auto"/>
              </w:rPr>
            </w:pPr>
          </w:p>
        </w:tc>
        <w:tc>
          <w:tcPr>
            <w:tcW w:w="3940" w:type="dxa"/>
            <w:vAlign w:val="bottom"/>
            <w:tcBorders>
              <w:bottom w:val="single" w:sz="8" w:color="auto"/>
            </w:tcBorders>
          </w:tcPr>
          <w:p>
            <w:pPr>
              <w:spacing w:after="0"/>
              <w:rPr>
                <w:sz w:val="24"/>
                <w:szCs w:val="24"/>
                <w:color w:val="auto"/>
              </w:rPr>
            </w:pPr>
          </w:p>
        </w:tc>
        <w:tc>
          <w:tcPr>
            <w:tcW w:w="5180" w:type="dxa"/>
            <w:vAlign w:val="bottom"/>
            <w:tcBorders>
              <w:bottom w:val="single" w:sz="8" w:color="auto"/>
            </w:tcBorders>
            <w:vMerge w:val="continue"/>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97" w:right="23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7"/>
          <w:szCs w:val="17"/>
          <w:u w:val="single" w:color="auto"/>
          <w:color w:val="auto"/>
        </w:rPr>
        <w:t>Impairment Review</w:t>
      </w:r>
    </w:p>
    <w:p>
      <w:pPr>
        <w:spacing w:after="0" w:line="223"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Impairment of investment securities results in a charge to operations when a market decline below cost is deemed to be other-than-temporary. The Company regularly reviews its fixed-maturity securities to evaluate the necessity of recording impairment losses for other-than-temporary declines in the estimated fair value of investments. In evaluating potential impairment, GAAP specifies (i) if the Company does not have the intent to sell a debt security prior to recovery and (ii) it is more likely than not that it will not have to sell the debt security prior to recovery, the security would not be considered other-than-temporarily impaired unless there is a credit loss. When the Company does not intend to sell the security and it is more likely than not that the Company will not have to sell the security before recovery of its cost basis, it will recognize the credit component of an other-than-temporary impairment (“OTTI”) of a debt security in earnings and the remaining portion in comprehensive (loss). The credit loss component recognized in earnings is identified as the amount of principal cash flows not expected to be received over the remaining term of the security as projected based on cash flow projections. For held-to-maturity debt securities, the amount of OTTI recorded in comprehensive (loss) for the noncredit portion of a previous OTTI is amortized prospectively over the remaining life of the security on the basis of timing of future estimated cash flows of the security.</w:t>
      </w:r>
    </w:p>
    <w:p>
      <w:pPr>
        <w:spacing w:after="0" w:line="193"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OTTI losses are recorded in the condensed consolidated statements of operations and comprehensive (loss) as net realized losses on investments and result in a permanent reduction of the cost basis of the underlying investment. The determination of OTTI is a subjective process and different judgments and assumptions could affect the timing of loss realization. At March 31, 2019 and December 31, 2018, there were 94 and 156 fixed-maturity securities, respectively that accounted for the gross unrealized loss. The Company determined that none of the other unrealized losses were deemed to be OTTI for its portfolio of investments for the three months ended March 31, 2019 and 2018. Significant factors influencing the Company’s determination that unrealized losses were temporary included the magnitude of the unrealized losses in relation to each security’s cost, the nature of the investment and management’s intent and ability to retain the investment for a period of time sufficient to allow for an anticipated recovery of estimated fair value to the Company’s cost basis.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25106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ectPr>
          <w:pgSz w:w="11900" w:h="16838" w:orient="portrait"/>
          <w:cols w:equalWidth="0" w:num="1">
            <w:col w:w="11420"/>
          </w:cols>
          <w:pgMar w:left="240" w:top="497" w:right="239" w:bottom="1440" w:gutter="0" w:footer="0" w:header="0"/>
        </w:sectPr>
      </w:pPr>
    </w:p>
    <w:bookmarkStart w:id="16" w:name="page17"/>
    <w:bookmarkEnd w:id="16"/>
    <w:p>
      <w:pPr>
        <w:spacing w:after="0"/>
        <w:rPr>
          <w:sz w:val="20"/>
          <w:szCs w:val="20"/>
          <w:color w:val="auto"/>
        </w:rPr>
      </w:pPr>
      <w:r>
        <w:rPr>
          <w:rFonts w:ascii="Arial" w:cs="Arial" w:eastAsia="Arial" w:hAnsi="Arial"/>
          <w:sz w:val="16"/>
          <w:szCs w:val="16"/>
          <w:color w:val="auto"/>
        </w:rPr>
        <w:t>The Company held available-for-sale securities with unrealized losses representing declines that were considered temporary at March 31, 2019 as follows: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2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gridSpan w:val="3"/>
          </w:tcPr>
          <w:p>
            <w:pPr>
              <w:jc w:val="right"/>
              <w:ind w:right="739"/>
              <w:spacing w:after="0"/>
              <w:rPr>
                <w:sz w:val="20"/>
                <w:szCs w:val="20"/>
                <w:color w:val="auto"/>
              </w:rPr>
            </w:pPr>
            <w:r>
              <w:rPr>
                <w:rFonts w:ascii="Arial" w:cs="Arial" w:eastAsia="Arial" w:hAnsi="Arial"/>
                <w:sz w:val="14"/>
                <w:szCs w:val="14"/>
                <w:b w:val="1"/>
                <w:bCs w:val="1"/>
                <w:color w:val="auto"/>
              </w:rPr>
              <w:t>March 31, 2019</w:t>
            </w:r>
          </w:p>
        </w:tc>
        <w:tc>
          <w:tcPr>
            <w:tcW w:w="9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2"/>
          </w:tcPr>
          <w:p>
            <w:pPr>
              <w:jc w:val="center"/>
              <w:ind w:right="19"/>
              <w:spacing w:after="0"/>
              <w:rPr>
                <w:sz w:val="20"/>
                <w:szCs w:val="20"/>
                <w:color w:val="auto"/>
              </w:rPr>
            </w:pPr>
            <w:r>
              <w:rPr>
                <w:rFonts w:ascii="Arial" w:cs="Arial" w:eastAsia="Arial" w:hAnsi="Arial"/>
                <w:sz w:val="14"/>
                <w:szCs w:val="14"/>
                <w:b w:val="1"/>
                <w:bCs w:val="1"/>
                <w:color w:val="auto"/>
                <w:w w:val="90"/>
              </w:rPr>
              <w:t>Less than 12 months</w:t>
            </w:r>
          </w:p>
        </w:tc>
        <w:tc>
          <w:tcPr>
            <w:tcW w:w="8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12 months or more</w:t>
            </w:r>
          </w:p>
        </w:tc>
        <w:tc>
          <w:tcPr>
            <w:tcW w:w="9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Total</w:t>
            </w:r>
          </w:p>
        </w:tc>
        <w:tc>
          <w:tcPr>
            <w:tcW w:w="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center"/>
              <w:ind w:right="60"/>
              <w:spacing w:after="0"/>
              <w:rPr>
                <w:sz w:val="20"/>
                <w:szCs w:val="20"/>
                <w:color w:val="auto"/>
              </w:rPr>
            </w:pPr>
            <w:r>
              <w:rPr>
                <w:rFonts w:ascii="Arial" w:cs="Arial" w:eastAsia="Arial" w:hAnsi="Arial"/>
                <w:sz w:val="14"/>
                <w:szCs w:val="14"/>
                <w:b w:val="1"/>
                <w:bCs w:val="1"/>
                <w:color w:val="auto"/>
                <w:w w:val="92"/>
              </w:rPr>
              <w:t>Estimated</w:t>
            </w: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0"/>
              </w:rPr>
              <w:t>No. of</w:t>
            </w:r>
          </w:p>
        </w:tc>
        <w:tc>
          <w:tcPr>
            <w:tcW w:w="340" w:type="dxa"/>
            <w:vAlign w:val="bottom"/>
          </w:tcPr>
          <w:p>
            <w:pPr>
              <w:spacing w:after="0"/>
              <w:rPr>
                <w:sz w:val="19"/>
                <w:szCs w:val="19"/>
                <w:color w:val="auto"/>
              </w:rPr>
            </w:pPr>
          </w:p>
        </w:tc>
        <w:tc>
          <w:tcPr>
            <w:tcW w:w="840" w:type="dxa"/>
            <w:vAlign w:val="bottom"/>
          </w:tcPr>
          <w:p>
            <w:pPr>
              <w:jc w:val="center"/>
              <w:ind w:right="61"/>
              <w:spacing w:after="0"/>
              <w:rPr>
                <w:sz w:val="20"/>
                <w:szCs w:val="20"/>
                <w:color w:val="auto"/>
              </w:rPr>
            </w:pPr>
            <w:r>
              <w:rPr>
                <w:rFonts w:ascii="Arial" w:cs="Arial" w:eastAsia="Arial" w:hAnsi="Arial"/>
                <w:sz w:val="14"/>
                <w:szCs w:val="14"/>
                <w:b w:val="1"/>
                <w:bCs w:val="1"/>
                <w:color w:val="auto"/>
                <w:w w:val="92"/>
              </w:rPr>
              <w:t>Estimated</w:t>
            </w: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980" w:type="dxa"/>
            <w:vAlign w:val="bottom"/>
          </w:tcPr>
          <w:p>
            <w:pPr>
              <w:jc w:val="center"/>
              <w:ind w:right="60"/>
              <w:spacing w:after="0"/>
              <w:rPr>
                <w:sz w:val="20"/>
                <w:szCs w:val="20"/>
                <w:color w:val="auto"/>
              </w:rPr>
            </w:pPr>
            <w:r>
              <w:rPr>
                <w:rFonts w:ascii="Arial" w:cs="Arial" w:eastAsia="Arial" w:hAnsi="Arial"/>
                <w:sz w:val="14"/>
                <w:szCs w:val="14"/>
                <w:b w:val="1"/>
                <w:bCs w:val="1"/>
                <w:color w:val="auto"/>
                <w:w w:val="90"/>
              </w:rPr>
              <w:t>No. of</w:t>
            </w:r>
          </w:p>
        </w:tc>
        <w:tc>
          <w:tcPr>
            <w:tcW w:w="240" w:type="dxa"/>
            <w:vAlign w:val="bottom"/>
          </w:tcPr>
          <w:p>
            <w:pPr>
              <w:spacing w:after="0"/>
              <w:rPr>
                <w:sz w:val="19"/>
                <w:szCs w:val="19"/>
                <w:color w:val="auto"/>
              </w:rPr>
            </w:pPr>
          </w:p>
        </w:tc>
        <w:tc>
          <w:tcPr>
            <w:tcW w:w="900" w:type="dxa"/>
            <w:vAlign w:val="bottom"/>
          </w:tcPr>
          <w:p>
            <w:pPr>
              <w:jc w:val="center"/>
              <w:ind w:right="161"/>
              <w:spacing w:after="0"/>
              <w:rPr>
                <w:sz w:val="20"/>
                <w:szCs w:val="20"/>
                <w:color w:val="auto"/>
              </w:rPr>
            </w:pPr>
            <w:r>
              <w:rPr>
                <w:rFonts w:ascii="Arial" w:cs="Arial" w:eastAsia="Arial" w:hAnsi="Arial"/>
                <w:sz w:val="14"/>
                <w:szCs w:val="14"/>
                <w:b w:val="1"/>
                <w:bCs w:val="1"/>
                <w:color w:val="auto"/>
                <w:w w:val="92"/>
              </w:rPr>
              <w:t>Estimated</w:t>
            </w: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3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Category</w:t>
            </w:r>
          </w:p>
        </w:tc>
        <w:tc>
          <w:tcPr>
            <w:tcW w:w="220" w:type="dxa"/>
            <w:vAlign w:val="bottom"/>
          </w:tcPr>
          <w:p>
            <w:pPr>
              <w:spacing w:after="0"/>
              <w:rPr>
                <w:sz w:val="17"/>
                <w:szCs w:val="17"/>
                <w:color w:val="auto"/>
              </w:rPr>
            </w:pPr>
          </w:p>
        </w:tc>
        <w:tc>
          <w:tcPr>
            <w:tcW w:w="840" w:type="dxa"/>
            <w:vAlign w:val="bottom"/>
          </w:tcPr>
          <w:p>
            <w:pPr>
              <w:jc w:val="center"/>
              <w:ind w:right="60"/>
              <w:spacing w:after="0"/>
              <w:rPr>
                <w:sz w:val="20"/>
                <w:szCs w:val="20"/>
                <w:color w:val="auto"/>
              </w:rPr>
            </w:pPr>
            <w:r>
              <w:rPr>
                <w:rFonts w:ascii="Arial" w:cs="Arial" w:eastAsia="Arial" w:hAnsi="Arial"/>
                <w:sz w:val="14"/>
                <w:szCs w:val="14"/>
                <w:b w:val="1"/>
                <w:bCs w:val="1"/>
                <w:color w:val="auto"/>
              </w:rPr>
              <w:t>Fair</w:t>
            </w:r>
          </w:p>
        </w:tc>
        <w:tc>
          <w:tcPr>
            <w:tcW w:w="300" w:type="dxa"/>
            <w:vAlign w:val="bottom"/>
          </w:tcPr>
          <w:p>
            <w:pPr>
              <w:spacing w:after="0"/>
              <w:rPr>
                <w:sz w:val="17"/>
                <w:szCs w:val="17"/>
                <w:color w:val="auto"/>
              </w:rPr>
            </w:pPr>
          </w:p>
        </w:tc>
        <w:tc>
          <w:tcPr>
            <w:tcW w:w="1100" w:type="dxa"/>
            <w:vAlign w:val="bottom"/>
          </w:tcPr>
          <w:p>
            <w:pPr>
              <w:jc w:val="center"/>
              <w:ind w:right="299"/>
              <w:spacing w:after="0"/>
              <w:rPr>
                <w:sz w:val="20"/>
                <w:szCs w:val="20"/>
                <w:color w:val="auto"/>
              </w:rPr>
            </w:pPr>
            <w:r>
              <w:rPr>
                <w:rFonts w:ascii="Arial" w:cs="Arial" w:eastAsia="Arial" w:hAnsi="Arial"/>
                <w:sz w:val="14"/>
                <w:szCs w:val="14"/>
                <w:b w:val="1"/>
                <w:bCs w:val="1"/>
                <w:color w:val="auto"/>
                <w:w w:val="95"/>
              </w:rPr>
              <w:t>Unrealized</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88"/>
              </w:rPr>
              <w:t>Positions</w:t>
            </w:r>
          </w:p>
        </w:tc>
        <w:tc>
          <w:tcPr>
            <w:tcW w:w="340" w:type="dxa"/>
            <w:vAlign w:val="bottom"/>
          </w:tcPr>
          <w:p>
            <w:pPr>
              <w:spacing w:after="0"/>
              <w:rPr>
                <w:sz w:val="17"/>
                <w:szCs w:val="17"/>
                <w:color w:val="auto"/>
              </w:rPr>
            </w:pPr>
          </w:p>
        </w:tc>
        <w:tc>
          <w:tcPr>
            <w:tcW w:w="840" w:type="dxa"/>
            <w:vAlign w:val="bottom"/>
          </w:tcPr>
          <w:p>
            <w:pPr>
              <w:jc w:val="center"/>
              <w:ind w:right="61"/>
              <w:spacing w:after="0"/>
              <w:rPr>
                <w:sz w:val="20"/>
                <w:szCs w:val="20"/>
                <w:color w:val="auto"/>
              </w:rPr>
            </w:pPr>
            <w:r>
              <w:rPr>
                <w:rFonts w:ascii="Arial" w:cs="Arial" w:eastAsia="Arial" w:hAnsi="Arial"/>
                <w:sz w:val="14"/>
                <w:szCs w:val="14"/>
                <w:b w:val="1"/>
                <w:bCs w:val="1"/>
                <w:color w:val="auto"/>
              </w:rPr>
              <w:t>Fair</w:t>
            </w:r>
          </w:p>
        </w:tc>
        <w:tc>
          <w:tcPr>
            <w:tcW w:w="280" w:type="dxa"/>
            <w:vAlign w:val="bottom"/>
          </w:tcPr>
          <w:p>
            <w:pPr>
              <w:spacing w:after="0"/>
              <w:rPr>
                <w:sz w:val="17"/>
                <w:szCs w:val="17"/>
                <w:color w:val="auto"/>
              </w:rPr>
            </w:pPr>
          </w:p>
        </w:tc>
        <w:tc>
          <w:tcPr>
            <w:tcW w:w="1080" w:type="dxa"/>
            <w:vAlign w:val="bottom"/>
          </w:tcPr>
          <w:p>
            <w:pPr>
              <w:jc w:val="center"/>
              <w:ind w:right="279"/>
              <w:spacing w:after="0"/>
              <w:rPr>
                <w:sz w:val="20"/>
                <w:szCs w:val="20"/>
                <w:color w:val="auto"/>
              </w:rPr>
            </w:pPr>
            <w:r>
              <w:rPr>
                <w:rFonts w:ascii="Arial" w:cs="Arial" w:eastAsia="Arial" w:hAnsi="Arial"/>
                <w:sz w:val="14"/>
                <w:szCs w:val="14"/>
                <w:b w:val="1"/>
                <w:bCs w:val="1"/>
                <w:color w:val="auto"/>
                <w:w w:val="95"/>
              </w:rPr>
              <w:t>Unrealized</w:t>
            </w:r>
          </w:p>
        </w:tc>
        <w:tc>
          <w:tcPr>
            <w:tcW w:w="980" w:type="dxa"/>
            <w:vAlign w:val="bottom"/>
          </w:tcPr>
          <w:p>
            <w:pPr>
              <w:jc w:val="center"/>
              <w:ind w:right="60"/>
              <w:spacing w:after="0"/>
              <w:rPr>
                <w:sz w:val="20"/>
                <w:szCs w:val="20"/>
                <w:color w:val="auto"/>
              </w:rPr>
            </w:pPr>
            <w:r>
              <w:rPr>
                <w:rFonts w:ascii="Arial" w:cs="Arial" w:eastAsia="Arial" w:hAnsi="Arial"/>
                <w:sz w:val="14"/>
                <w:szCs w:val="14"/>
                <w:b w:val="1"/>
                <w:bCs w:val="1"/>
                <w:color w:val="auto"/>
                <w:w w:val="88"/>
              </w:rPr>
              <w:t>Positions</w:t>
            </w:r>
          </w:p>
        </w:tc>
        <w:tc>
          <w:tcPr>
            <w:tcW w:w="240" w:type="dxa"/>
            <w:vAlign w:val="bottom"/>
          </w:tcPr>
          <w:p>
            <w:pPr>
              <w:spacing w:after="0"/>
              <w:rPr>
                <w:sz w:val="17"/>
                <w:szCs w:val="17"/>
                <w:color w:val="auto"/>
              </w:rPr>
            </w:pPr>
          </w:p>
        </w:tc>
        <w:tc>
          <w:tcPr>
            <w:tcW w:w="900" w:type="dxa"/>
            <w:vAlign w:val="bottom"/>
          </w:tcPr>
          <w:p>
            <w:pPr>
              <w:jc w:val="center"/>
              <w:ind w:right="161"/>
              <w:spacing w:after="0"/>
              <w:rPr>
                <w:sz w:val="20"/>
                <w:szCs w:val="20"/>
                <w:color w:val="auto"/>
              </w:rPr>
            </w:pPr>
            <w:r>
              <w:rPr>
                <w:rFonts w:ascii="Arial" w:cs="Arial" w:eastAsia="Arial" w:hAnsi="Arial"/>
                <w:sz w:val="14"/>
                <w:szCs w:val="14"/>
                <w:b w:val="1"/>
                <w:bCs w:val="1"/>
                <w:color w:val="auto"/>
              </w:rPr>
              <w:t>Fair</w:t>
            </w:r>
          </w:p>
        </w:tc>
        <w:tc>
          <w:tcPr>
            <w:tcW w:w="220" w:type="dxa"/>
            <w:vAlign w:val="bottom"/>
          </w:tcPr>
          <w:p>
            <w:pPr>
              <w:spacing w:after="0"/>
              <w:rPr>
                <w:sz w:val="17"/>
                <w:szCs w:val="17"/>
                <w:color w:val="auto"/>
              </w:rPr>
            </w:pPr>
          </w:p>
        </w:tc>
        <w:tc>
          <w:tcPr>
            <w:tcW w:w="920" w:type="dxa"/>
            <w:vAlign w:val="bottom"/>
          </w:tcPr>
          <w:p>
            <w:pPr>
              <w:jc w:val="right"/>
              <w:ind w:right="159"/>
              <w:spacing w:after="0"/>
              <w:rPr>
                <w:sz w:val="20"/>
                <w:szCs w:val="20"/>
                <w:color w:val="auto"/>
              </w:rPr>
            </w:pPr>
            <w:r>
              <w:rPr>
                <w:rFonts w:ascii="Arial" w:cs="Arial" w:eastAsia="Arial" w:hAnsi="Arial"/>
                <w:sz w:val="14"/>
                <w:szCs w:val="14"/>
                <w:b w:val="1"/>
                <w:bCs w:val="1"/>
                <w:color w:val="auto"/>
                <w:w w:val="93"/>
              </w:rPr>
              <w:t>Unrealized</w:t>
            </w:r>
          </w:p>
        </w:tc>
        <w:tc>
          <w:tcPr>
            <w:tcW w:w="0" w:type="dxa"/>
            <w:vAlign w:val="bottom"/>
          </w:tcPr>
          <w:p>
            <w:pPr>
              <w:spacing w:after="0"/>
              <w:rPr>
                <w:sz w:val="1"/>
                <w:szCs w:val="1"/>
                <w:color w:val="auto"/>
              </w:rPr>
            </w:pPr>
          </w:p>
        </w:tc>
      </w:tr>
      <w:tr>
        <w:trPr>
          <w:trHeight w:val="177"/>
        </w:trPr>
        <w:tc>
          <w:tcPr>
            <w:tcW w:w="2300" w:type="dxa"/>
            <w:vAlign w:val="bottom"/>
            <w:tcBorders>
              <w:bottom w:val="single" w:sz="8" w:color="auto"/>
            </w:tcBorders>
            <w:gridSpan w:val="2"/>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w w:val="90"/>
              </w:rPr>
              <w:t>Value</w:t>
            </w:r>
          </w:p>
        </w:tc>
        <w:tc>
          <w:tcPr>
            <w:tcW w:w="3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299"/>
              <w:spacing w:after="0"/>
              <w:rPr>
                <w:sz w:val="20"/>
                <w:szCs w:val="20"/>
                <w:color w:val="auto"/>
              </w:rPr>
            </w:pPr>
            <w:r>
              <w:rPr>
                <w:rFonts w:ascii="Arial" w:cs="Arial" w:eastAsia="Arial" w:hAnsi="Arial"/>
                <w:sz w:val="14"/>
                <w:szCs w:val="14"/>
                <w:b w:val="1"/>
                <w:bCs w:val="1"/>
                <w:color w:val="auto"/>
                <w:w w:val="82"/>
              </w:rPr>
              <w:t>Losses</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Held</w:t>
            </w:r>
          </w:p>
        </w:tc>
        <w:tc>
          <w:tcPr>
            <w:tcW w:w="3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w w:val="96"/>
              </w:rPr>
              <w:t>Value</w:t>
            </w:r>
          </w:p>
        </w:tc>
        <w:tc>
          <w:tcPr>
            <w:tcW w:w="2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279"/>
              <w:spacing w:after="0"/>
              <w:rPr>
                <w:sz w:val="20"/>
                <w:szCs w:val="20"/>
                <w:color w:val="auto"/>
              </w:rPr>
            </w:pPr>
            <w:r>
              <w:rPr>
                <w:rFonts w:ascii="Arial" w:cs="Arial" w:eastAsia="Arial" w:hAnsi="Arial"/>
                <w:sz w:val="14"/>
                <w:szCs w:val="14"/>
                <w:b w:val="1"/>
                <w:bCs w:val="1"/>
                <w:color w:val="auto"/>
                <w:w w:val="82"/>
              </w:rPr>
              <w:t>Losses</w:t>
            </w:r>
          </w:p>
        </w:tc>
        <w:tc>
          <w:tcPr>
            <w:tcW w:w="98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w w:val="92"/>
              </w:rPr>
              <w:t>Held</w:t>
            </w: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161"/>
              <w:spacing w:after="0"/>
              <w:rPr>
                <w:sz w:val="20"/>
                <w:szCs w:val="20"/>
                <w:color w:val="auto"/>
              </w:rPr>
            </w:pPr>
            <w:r>
              <w:rPr>
                <w:rFonts w:ascii="Arial" w:cs="Arial" w:eastAsia="Arial" w:hAnsi="Arial"/>
                <w:sz w:val="14"/>
                <w:szCs w:val="14"/>
                <w:b w:val="1"/>
                <w:bCs w:val="1"/>
                <w:color w:val="auto"/>
                <w:w w:val="90"/>
              </w:rPr>
              <w:t>Value</w:t>
            </w: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Losses</w:t>
            </w:r>
          </w:p>
        </w:tc>
        <w:tc>
          <w:tcPr>
            <w:tcW w:w="0" w:type="dxa"/>
            <w:vAlign w:val="bottom"/>
          </w:tcPr>
          <w:p>
            <w:pPr>
              <w:spacing w:after="0"/>
              <w:rPr>
                <w:sz w:val="1"/>
                <w:szCs w:val="1"/>
                <w:color w:val="auto"/>
              </w:rPr>
            </w:pPr>
          </w:p>
        </w:tc>
      </w:tr>
      <w:tr>
        <w:trPr>
          <w:trHeight w:val="470"/>
        </w:trPr>
        <w:tc>
          <w:tcPr>
            <w:tcW w:w="2300" w:type="dxa"/>
            <w:vAlign w:val="bottom"/>
            <w:gridSpan w:val="2"/>
          </w:tcPr>
          <w:p>
            <w:pPr>
              <w:spacing w:after="0"/>
              <w:rPr>
                <w:sz w:val="20"/>
                <w:szCs w:val="20"/>
                <w:color w:val="auto"/>
              </w:rPr>
            </w:pPr>
            <w:r>
              <w:rPr>
                <w:rFonts w:ascii="Arial" w:cs="Arial" w:eastAsia="Arial" w:hAnsi="Arial"/>
                <w:sz w:val="17"/>
                <w:szCs w:val="17"/>
                <w:b w:val="1"/>
                <w:bCs w:val="1"/>
                <w:color w:val="auto"/>
              </w:rPr>
              <w:t>Fixed-Maturity Securities:</w:t>
            </w: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7"/>
                <w:szCs w:val="17"/>
                <w:color w:val="auto"/>
              </w:rPr>
              <w:t>U.S. Treasury securities and</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obligations of U.S.</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280" w:type="dxa"/>
            <w:vAlign w:val="bottom"/>
            <w:shd w:val="clear" w:color="auto" w:fill="CCEEFF"/>
          </w:tcPr>
          <w:p>
            <w:pPr>
              <w:ind w:left="140"/>
              <w:spacing w:after="0"/>
              <w:rPr>
                <w:sz w:val="20"/>
                <w:szCs w:val="20"/>
                <w:color w:val="auto"/>
              </w:rPr>
            </w:pPr>
            <w:r>
              <w:rPr>
                <w:rFonts w:ascii="Arial" w:cs="Arial" w:eastAsia="Arial" w:hAnsi="Arial"/>
                <w:sz w:val="17"/>
                <w:szCs w:val="17"/>
                <w:color w:val="auto"/>
                <w:w w:val="95"/>
              </w:rPr>
              <w:t>government corporations and</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2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agencies</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ind w:right="199"/>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3,972,480</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19"/>
              <w:spacing w:after="0"/>
              <w:rPr>
                <w:sz w:val="20"/>
                <w:szCs w:val="20"/>
                <w:color w:val="auto"/>
              </w:rPr>
            </w:pPr>
            <w:r>
              <w:rPr>
                <w:rFonts w:ascii="Arial" w:cs="Arial" w:eastAsia="Arial" w:hAnsi="Arial"/>
                <w:sz w:val="17"/>
                <w:szCs w:val="17"/>
                <w:color w:val="auto"/>
              </w:rPr>
              <w:t>(9,784)</w:t>
            </w:r>
          </w:p>
        </w:tc>
        <w:tc>
          <w:tcPr>
            <w:tcW w:w="980" w:type="dxa"/>
            <w:vAlign w:val="bottom"/>
            <w:shd w:val="clear" w:color="auto" w:fill="CCEEFF"/>
          </w:tcPr>
          <w:p>
            <w:pPr>
              <w:jc w:val="right"/>
              <w:ind w:right="20"/>
              <w:spacing w:after="0"/>
              <w:rPr>
                <w:sz w:val="20"/>
                <w:szCs w:val="20"/>
                <w:color w:val="auto"/>
              </w:rPr>
            </w:pPr>
            <w:r>
              <w:rPr>
                <w:rFonts w:ascii="Arial" w:cs="Arial" w:eastAsia="Arial" w:hAnsi="Arial"/>
                <w:sz w:val="17"/>
                <w:szCs w:val="17"/>
                <w:color w:val="auto"/>
              </w:rPr>
              <w:t>2</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ind w:right="21"/>
              <w:spacing w:after="0"/>
              <w:rPr>
                <w:sz w:val="20"/>
                <w:szCs w:val="20"/>
                <w:color w:val="auto"/>
              </w:rPr>
            </w:pPr>
            <w:r>
              <w:rPr>
                <w:rFonts w:ascii="Arial" w:cs="Arial" w:eastAsia="Arial" w:hAnsi="Arial"/>
                <w:sz w:val="17"/>
                <w:szCs w:val="17"/>
                <w:color w:val="auto"/>
              </w:rPr>
              <w:t>3,972,480</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(9,784)</w:t>
            </w:r>
          </w:p>
        </w:tc>
        <w:tc>
          <w:tcPr>
            <w:tcW w:w="0" w:type="dxa"/>
            <w:vAlign w:val="bottom"/>
          </w:tcPr>
          <w:p>
            <w:pPr>
              <w:spacing w:after="0"/>
              <w:rPr>
                <w:sz w:val="1"/>
                <w:szCs w:val="1"/>
                <w:color w:val="auto"/>
              </w:rPr>
            </w:pPr>
          </w:p>
        </w:tc>
      </w:tr>
      <w:tr>
        <w:trPr>
          <w:trHeight w:val="209"/>
        </w:trPr>
        <w:tc>
          <w:tcPr>
            <w:tcW w:w="230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7"/>
                <w:szCs w:val="17"/>
                <w:color w:val="auto"/>
                <w:w w:val="97"/>
              </w:rPr>
              <w:t>Political subdivisions of States,</w:t>
            </w:r>
          </w:p>
        </w:tc>
        <w:tc>
          <w:tcPr>
            <w:tcW w:w="2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2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Territories and Possessions</w:t>
            </w:r>
          </w:p>
        </w:tc>
        <w:tc>
          <w:tcPr>
            <w:tcW w:w="2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199"/>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825,878</w:t>
            </w:r>
          </w:p>
        </w:tc>
        <w:tc>
          <w:tcPr>
            <w:tcW w:w="28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119"/>
              <w:spacing w:after="0"/>
              <w:rPr>
                <w:sz w:val="20"/>
                <w:szCs w:val="20"/>
                <w:color w:val="auto"/>
              </w:rPr>
            </w:pPr>
            <w:r>
              <w:rPr>
                <w:rFonts w:ascii="Arial" w:cs="Arial" w:eastAsia="Arial" w:hAnsi="Arial"/>
                <w:sz w:val="17"/>
                <w:szCs w:val="17"/>
                <w:color w:val="auto"/>
              </w:rPr>
              <w:t>(6,230)</w:t>
            </w:r>
          </w:p>
        </w:tc>
        <w:tc>
          <w:tcPr>
            <w:tcW w:w="980" w:type="dxa"/>
            <w:vAlign w:val="bottom"/>
            <w:shd w:val="clear" w:color="auto" w:fill="CCEEFF"/>
          </w:tcPr>
          <w:p>
            <w:pPr>
              <w:jc w:val="right"/>
              <w:ind w:right="20"/>
              <w:spacing w:after="0"/>
              <w:rPr>
                <w:sz w:val="20"/>
                <w:szCs w:val="20"/>
                <w:color w:val="auto"/>
              </w:rPr>
            </w:pPr>
            <w:r>
              <w:rPr>
                <w:rFonts w:ascii="Arial" w:cs="Arial" w:eastAsia="Arial" w:hAnsi="Arial"/>
                <w:sz w:val="17"/>
                <w:szCs w:val="17"/>
                <w:color w:val="auto"/>
              </w:rPr>
              <w:t>2</w:t>
            </w: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21"/>
              <w:spacing w:after="0"/>
              <w:rPr>
                <w:sz w:val="20"/>
                <w:szCs w:val="20"/>
                <w:color w:val="auto"/>
              </w:rPr>
            </w:pPr>
            <w:r>
              <w:rPr>
                <w:rFonts w:ascii="Arial" w:cs="Arial" w:eastAsia="Arial" w:hAnsi="Arial"/>
                <w:sz w:val="17"/>
                <w:szCs w:val="17"/>
                <w:color w:val="auto"/>
              </w:rPr>
              <w:t>825,878</w:t>
            </w: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(6,230)</w:t>
            </w:r>
          </w:p>
        </w:tc>
        <w:tc>
          <w:tcPr>
            <w:tcW w:w="0" w:type="dxa"/>
            <w:vAlign w:val="bottom"/>
          </w:tcPr>
          <w:p>
            <w:pPr>
              <w:spacing w:after="0"/>
              <w:rPr>
                <w:sz w:val="1"/>
                <w:szCs w:val="1"/>
                <w:color w:val="auto"/>
              </w:rPr>
            </w:pPr>
          </w:p>
        </w:tc>
      </w:tr>
      <w:tr>
        <w:trPr>
          <w:trHeight w:val="209"/>
        </w:trPr>
        <w:tc>
          <w:tcPr>
            <w:tcW w:w="230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7"/>
                <w:szCs w:val="17"/>
                <w:color w:val="auto"/>
              </w:rPr>
              <w:t>Corporate and other bonds</w:t>
            </w:r>
          </w:p>
        </w:tc>
        <w:tc>
          <w:tcPr>
            <w:tcW w:w="2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280" w:type="dxa"/>
            <w:vAlign w:val="bottom"/>
            <w:shd w:val="clear" w:color="auto" w:fill="CCEEFF"/>
          </w:tcPr>
          <w:p>
            <w:pPr>
              <w:ind w:left="140"/>
              <w:spacing w:after="0"/>
              <w:rPr>
                <w:sz w:val="20"/>
                <w:szCs w:val="20"/>
                <w:color w:val="auto"/>
              </w:rPr>
            </w:pPr>
            <w:r>
              <w:rPr>
                <w:rFonts w:ascii="Arial" w:cs="Arial" w:eastAsia="Arial" w:hAnsi="Arial"/>
                <w:sz w:val="17"/>
                <w:szCs w:val="17"/>
                <w:color w:val="auto"/>
                <w:w w:val="99"/>
              </w:rPr>
              <w:t>industrial and miscellaneous</w:t>
            </w:r>
          </w:p>
        </w:tc>
        <w:tc>
          <w:tcPr>
            <w:tcW w:w="2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9,045,064</w:t>
            </w:r>
          </w:p>
        </w:tc>
        <w:tc>
          <w:tcPr>
            <w:tcW w:w="30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139"/>
              <w:spacing w:after="0"/>
              <w:rPr>
                <w:sz w:val="20"/>
                <w:szCs w:val="20"/>
                <w:color w:val="auto"/>
              </w:rPr>
            </w:pPr>
            <w:r>
              <w:rPr>
                <w:rFonts w:ascii="Arial" w:cs="Arial" w:eastAsia="Arial" w:hAnsi="Arial"/>
                <w:sz w:val="17"/>
                <w:szCs w:val="17"/>
                <w:color w:val="auto"/>
              </w:rPr>
              <w:t>(57,955)</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3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40,520,044</w:t>
            </w:r>
          </w:p>
        </w:tc>
        <w:tc>
          <w:tcPr>
            <w:tcW w:w="28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119"/>
              <w:spacing w:after="0"/>
              <w:rPr>
                <w:sz w:val="20"/>
                <w:szCs w:val="20"/>
                <w:color w:val="auto"/>
              </w:rPr>
            </w:pPr>
            <w:r>
              <w:rPr>
                <w:rFonts w:ascii="Arial" w:cs="Arial" w:eastAsia="Arial" w:hAnsi="Arial"/>
                <w:sz w:val="17"/>
                <w:szCs w:val="17"/>
                <w:color w:val="auto"/>
              </w:rPr>
              <w:t>(710,936)</w:t>
            </w:r>
          </w:p>
        </w:tc>
        <w:tc>
          <w:tcPr>
            <w:tcW w:w="980" w:type="dxa"/>
            <w:vAlign w:val="bottom"/>
            <w:shd w:val="clear" w:color="auto" w:fill="CCEEFF"/>
          </w:tcPr>
          <w:p>
            <w:pPr>
              <w:jc w:val="right"/>
              <w:ind w:right="20"/>
              <w:spacing w:after="0"/>
              <w:rPr>
                <w:sz w:val="20"/>
                <w:szCs w:val="20"/>
                <w:color w:val="auto"/>
              </w:rPr>
            </w:pPr>
            <w:r>
              <w:rPr>
                <w:rFonts w:ascii="Arial" w:cs="Arial" w:eastAsia="Arial" w:hAnsi="Arial"/>
                <w:sz w:val="17"/>
                <w:szCs w:val="17"/>
                <w:color w:val="auto"/>
              </w:rPr>
              <w:t>52</w:t>
            </w: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21"/>
              <w:spacing w:after="0"/>
              <w:rPr>
                <w:sz w:val="20"/>
                <w:szCs w:val="20"/>
                <w:color w:val="auto"/>
              </w:rPr>
            </w:pPr>
            <w:r>
              <w:rPr>
                <w:rFonts w:ascii="Arial" w:cs="Arial" w:eastAsia="Arial" w:hAnsi="Arial"/>
                <w:sz w:val="17"/>
                <w:szCs w:val="17"/>
                <w:color w:val="auto"/>
                <w:w w:val="91"/>
              </w:rPr>
              <w:t>49,565,108</w:t>
            </w: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(768,891)</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2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7"/>
                <w:szCs w:val="17"/>
                <w:color w:val="auto"/>
                <w:w w:val="95"/>
              </w:rPr>
              <w:t>Residential mortgage and other</w:t>
            </w: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2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asset backed securities</w:t>
            </w: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2,666,892</w:t>
            </w: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7"/>
                <w:szCs w:val="17"/>
                <w:color w:val="auto"/>
              </w:rPr>
              <w:t>(95,026)</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3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1"/>
              </w:rPr>
              <w:t>15,432,106</w:t>
            </w: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7"/>
                <w:szCs w:val="17"/>
                <w:color w:val="auto"/>
              </w:rPr>
              <w:t>(389,820)</w:t>
            </w:r>
          </w:p>
        </w:tc>
        <w:tc>
          <w:tcPr>
            <w:tcW w:w="9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7"/>
                <w:szCs w:val="17"/>
                <w:color w:val="auto"/>
              </w:rPr>
              <w:t>23</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7"/>
                <w:szCs w:val="17"/>
                <w:color w:val="auto"/>
                <w:w w:val="91"/>
              </w:rPr>
              <w:t>18,098,998</w:t>
            </w: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(484,846)</w:t>
            </w:r>
          </w:p>
        </w:tc>
        <w:tc>
          <w:tcPr>
            <w:tcW w:w="0" w:type="dxa"/>
            <w:vAlign w:val="bottom"/>
          </w:tcPr>
          <w:p>
            <w:pPr>
              <w:spacing w:after="0"/>
              <w:rPr>
                <w:sz w:val="1"/>
                <w:szCs w:val="1"/>
                <w:color w:val="auto"/>
              </w:rPr>
            </w:pPr>
          </w:p>
        </w:tc>
      </w:tr>
      <w:tr>
        <w:trPr>
          <w:trHeight w:val="209"/>
        </w:trPr>
        <w:tc>
          <w:tcPr>
            <w:tcW w:w="230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2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Total fixed-maturity securities</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1"/>
              </w:rPr>
              <w:t>11,711,956</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7"/>
                <w:szCs w:val="17"/>
                <w:color w:val="auto"/>
              </w:rPr>
              <w:t>(152,981)</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1"/>
              </w:rPr>
              <w:t>60,750,508</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7"/>
                <w:szCs w:val="17"/>
                <w:color w:val="auto"/>
                <w:w w:val="98"/>
              </w:rPr>
              <w:t>(1,116,770)</w:t>
            </w:r>
          </w:p>
        </w:tc>
        <w:tc>
          <w:tcPr>
            <w:tcW w:w="9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7"/>
                <w:szCs w:val="17"/>
                <w:color w:val="auto"/>
              </w:rPr>
              <w:t>79</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7"/>
                <w:szCs w:val="17"/>
                <w:color w:val="auto"/>
                <w:w w:val="91"/>
              </w:rPr>
              <w:t>72,462,464</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6"/>
              </w:rPr>
              <w:t>(1,269,751)</w:t>
            </w:r>
          </w:p>
        </w:tc>
        <w:tc>
          <w:tcPr>
            <w:tcW w:w="0" w:type="dxa"/>
            <w:vAlign w:val="bottom"/>
          </w:tcPr>
          <w:p>
            <w:pPr>
              <w:spacing w:after="0"/>
              <w:rPr>
                <w:sz w:val="1"/>
                <w:szCs w:val="1"/>
                <w:color w:val="auto"/>
              </w:rPr>
            </w:pPr>
          </w:p>
        </w:tc>
      </w:tr>
      <w:tr>
        <w:trPr>
          <w:trHeight w:val="567"/>
        </w:trPr>
        <w:tc>
          <w:tcPr>
            <w:tcW w:w="20" w:type="dxa"/>
            <w:vAlign w:val="bottom"/>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w w:val="84"/>
              </w:rPr>
              <w:t>17</w:t>
            </w:r>
          </w:p>
        </w:tc>
        <w:tc>
          <w:tcPr>
            <w:tcW w:w="8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50" w:right="239" w:bottom="1440" w:gutter="0" w:footer="0" w:header="0"/>
        </w:sectPr>
      </w:pPr>
    </w:p>
    <w:bookmarkStart w:id="17" w:name="page18"/>
    <w:bookmarkEnd w:id="17"/>
    <w:p>
      <w:pPr>
        <w:spacing w:after="0"/>
        <w:rPr>
          <w:sz w:val="20"/>
          <w:szCs w:val="20"/>
          <w:color w:val="auto"/>
        </w:rPr>
      </w:pPr>
      <w:r>
        <w:rPr>
          <w:rFonts w:ascii="Arial" w:cs="Arial" w:eastAsia="Arial" w:hAnsi="Arial"/>
          <w:sz w:val="16"/>
          <w:szCs w:val="16"/>
          <w:color w:val="auto"/>
        </w:rPr>
        <w:t>The Company held available-for-sale securities with unrealized losses representing declines that were considered temporary at December 31, 2018 as follows: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2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gridSpan w:val="3"/>
          </w:tcPr>
          <w:p>
            <w:pPr>
              <w:jc w:val="right"/>
              <w:ind w:right="639"/>
              <w:spacing w:after="0"/>
              <w:rPr>
                <w:sz w:val="20"/>
                <w:szCs w:val="20"/>
                <w:color w:val="auto"/>
              </w:rPr>
            </w:pPr>
            <w:r>
              <w:rPr>
                <w:rFonts w:ascii="Arial" w:cs="Arial" w:eastAsia="Arial" w:hAnsi="Arial"/>
                <w:sz w:val="14"/>
                <w:szCs w:val="14"/>
                <w:b w:val="1"/>
                <w:bCs w:val="1"/>
                <w:color w:val="auto"/>
              </w:rPr>
              <w:t>December 31, 2018</w:t>
            </w:r>
          </w:p>
        </w:tc>
        <w:tc>
          <w:tcPr>
            <w:tcW w:w="9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2"/>
          </w:tcPr>
          <w:p>
            <w:pPr>
              <w:jc w:val="center"/>
              <w:ind w:right="19"/>
              <w:spacing w:after="0"/>
              <w:rPr>
                <w:sz w:val="20"/>
                <w:szCs w:val="20"/>
                <w:color w:val="auto"/>
              </w:rPr>
            </w:pPr>
            <w:r>
              <w:rPr>
                <w:rFonts w:ascii="Arial" w:cs="Arial" w:eastAsia="Arial" w:hAnsi="Arial"/>
                <w:sz w:val="14"/>
                <w:szCs w:val="14"/>
                <w:b w:val="1"/>
                <w:bCs w:val="1"/>
                <w:color w:val="auto"/>
                <w:w w:val="90"/>
              </w:rPr>
              <w:t>Less than 12 months</w:t>
            </w:r>
          </w:p>
        </w:tc>
        <w:tc>
          <w:tcPr>
            <w:tcW w:w="8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12 months or more</w:t>
            </w:r>
          </w:p>
        </w:tc>
        <w:tc>
          <w:tcPr>
            <w:tcW w:w="9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Total</w:t>
            </w:r>
          </w:p>
        </w:tc>
        <w:tc>
          <w:tcPr>
            <w:tcW w:w="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center"/>
              <w:ind w:right="60"/>
              <w:spacing w:after="0"/>
              <w:rPr>
                <w:sz w:val="20"/>
                <w:szCs w:val="20"/>
                <w:color w:val="auto"/>
              </w:rPr>
            </w:pPr>
            <w:r>
              <w:rPr>
                <w:rFonts w:ascii="Arial" w:cs="Arial" w:eastAsia="Arial" w:hAnsi="Arial"/>
                <w:sz w:val="14"/>
                <w:szCs w:val="14"/>
                <w:b w:val="1"/>
                <w:bCs w:val="1"/>
                <w:color w:val="auto"/>
                <w:w w:val="92"/>
              </w:rPr>
              <w:t>Estimated</w:t>
            </w: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0"/>
              </w:rPr>
              <w:t>No. of</w:t>
            </w:r>
          </w:p>
        </w:tc>
        <w:tc>
          <w:tcPr>
            <w:tcW w:w="340" w:type="dxa"/>
            <w:vAlign w:val="bottom"/>
          </w:tcPr>
          <w:p>
            <w:pPr>
              <w:spacing w:after="0"/>
              <w:rPr>
                <w:sz w:val="19"/>
                <w:szCs w:val="19"/>
                <w:color w:val="auto"/>
              </w:rPr>
            </w:pPr>
          </w:p>
        </w:tc>
        <w:tc>
          <w:tcPr>
            <w:tcW w:w="840" w:type="dxa"/>
            <w:vAlign w:val="bottom"/>
          </w:tcPr>
          <w:p>
            <w:pPr>
              <w:jc w:val="center"/>
              <w:ind w:right="61"/>
              <w:spacing w:after="0"/>
              <w:rPr>
                <w:sz w:val="20"/>
                <w:szCs w:val="20"/>
                <w:color w:val="auto"/>
              </w:rPr>
            </w:pPr>
            <w:r>
              <w:rPr>
                <w:rFonts w:ascii="Arial" w:cs="Arial" w:eastAsia="Arial" w:hAnsi="Arial"/>
                <w:sz w:val="14"/>
                <w:szCs w:val="14"/>
                <w:b w:val="1"/>
                <w:bCs w:val="1"/>
                <w:color w:val="auto"/>
                <w:w w:val="92"/>
              </w:rPr>
              <w:t>Estimated</w:t>
            </w: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980" w:type="dxa"/>
            <w:vAlign w:val="bottom"/>
          </w:tcPr>
          <w:p>
            <w:pPr>
              <w:jc w:val="center"/>
              <w:ind w:right="60"/>
              <w:spacing w:after="0"/>
              <w:rPr>
                <w:sz w:val="20"/>
                <w:szCs w:val="20"/>
                <w:color w:val="auto"/>
              </w:rPr>
            </w:pPr>
            <w:r>
              <w:rPr>
                <w:rFonts w:ascii="Arial" w:cs="Arial" w:eastAsia="Arial" w:hAnsi="Arial"/>
                <w:sz w:val="14"/>
                <w:szCs w:val="14"/>
                <w:b w:val="1"/>
                <w:bCs w:val="1"/>
                <w:color w:val="auto"/>
                <w:w w:val="90"/>
              </w:rPr>
              <w:t>No. of</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2"/>
              </w:rPr>
              <w:t>Estimated</w:t>
            </w: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3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Category</w:t>
            </w:r>
          </w:p>
        </w:tc>
        <w:tc>
          <w:tcPr>
            <w:tcW w:w="220" w:type="dxa"/>
            <w:vAlign w:val="bottom"/>
          </w:tcPr>
          <w:p>
            <w:pPr>
              <w:spacing w:after="0"/>
              <w:rPr>
                <w:sz w:val="17"/>
                <w:szCs w:val="17"/>
                <w:color w:val="auto"/>
              </w:rPr>
            </w:pPr>
          </w:p>
        </w:tc>
        <w:tc>
          <w:tcPr>
            <w:tcW w:w="840" w:type="dxa"/>
            <w:vAlign w:val="bottom"/>
          </w:tcPr>
          <w:p>
            <w:pPr>
              <w:jc w:val="center"/>
              <w:ind w:right="60"/>
              <w:spacing w:after="0"/>
              <w:rPr>
                <w:sz w:val="20"/>
                <w:szCs w:val="20"/>
                <w:color w:val="auto"/>
              </w:rPr>
            </w:pPr>
            <w:r>
              <w:rPr>
                <w:rFonts w:ascii="Arial" w:cs="Arial" w:eastAsia="Arial" w:hAnsi="Arial"/>
                <w:sz w:val="14"/>
                <w:szCs w:val="14"/>
                <w:b w:val="1"/>
                <w:bCs w:val="1"/>
                <w:color w:val="auto"/>
              </w:rPr>
              <w:t>Fair</w:t>
            </w:r>
          </w:p>
        </w:tc>
        <w:tc>
          <w:tcPr>
            <w:tcW w:w="300" w:type="dxa"/>
            <w:vAlign w:val="bottom"/>
          </w:tcPr>
          <w:p>
            <w:pPr>
              <w:spacing w:after="0"/>
              <w:rPr>
                <w:sz w:val="17"/>
                <w:szCs w:val="17"/>
                <w:color w:val="auto"/>
              </w:rPr>
            </w:pPr>
          </w:p>
        </w:tc>
        <w:tc>
          <w:tcPr>
            <w:tcW w:w="1100" w:type="dxa"/>
            <w:vAlign w:val="bottom"/>
          </w:tcPr>
          <w:p>
            <w:pPr>
              <w:jc w:val="center"/>
              <w:ind w:right="299"/>
              <w:spacing w:after="0"/>
              <w:rPr>
                <w:sz w:val="20"/>
                <w:szCs w:val="20"/>
                <w:color w:val="auto"/>
              </w:rPr>
            </w:pPr>
            <w:r>
              <w:rPr>
                <w:rFonts w:ascii="Arial" w:cs="Arial" w:eastAsia="Arial" w:hAnsi="Arial"/>
                <w:sz w:val="14"/>
                <w:szCs w:val="14"/>
                <w:b w:val="1"/>
                <w:bCs w:val="1"/>
                <w:color w:val="auto"/>
                <w:w w:val="95"/>
              </w:rPr>
              <w:t>Unrealized</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88"/>
              </w:rPr>
              <w:t>Positions</w:t>
            </w:r>
          </w:p>
        </w:tc>
        <w:tc>
          <w:tcPr>
            <w:tcW w:w="340" w:type="dxa"/>
            <w:vAlign w:val="bottom"/>
          </w:tcPr>
          <w:p>
            <w:pPr>
              <w:spacing w:after="0"/>
              <w:rPr>
                <w:sz w:val="17"/>
                <w:szCs w:val="17"/>
                <w:color w:val="auto"/>
              </w:rPr>
            </w:pPr>
          </w:p>
        </w:tc>
        <w:tc>
          <w:tcPr>
            <w:tcW w:w="840" w:type="dxa"/>
            <w:vAlign w:val="bottom"/>
          </w:tcPr>
          <w:p>
            <w:pPr>
              <w:jc w:val="center"/>
              <w:ind w:right="61"/>
              <w:spacing w:after="0"/>
              <w:rPr>
                <w:sz w:val="20"/>
                <w:szCs w:val="20"/>
                <w:color w:val="auto"/>
              </w:rPr>
            </w:pPr>
            <w:r>
              <w:rPr>
                <w:rFonts w:ascii="Arial" w:cs="Arial" w:eastAsia="Arial" w:hAnsi="Arial"/>
                <w:sz w:val="14"/>
                <w:szCs w:val="14"/>
                <w:b w:val="1"/>
                <w:bCs w:val="1"/>
                <w:color w:val="auto"/>
              </w:rPr>
              <w:t>Fair</w:t>
            </w:r>
          </w:p>
        </w:tc>
        <w:tc>
          <w:tcPr>
            <w:tcW w:w="280" w:type="dxa"/>
            <w:vAlign w:val="bottom"/>
          </w:tcPr>
          <w:p>
            <w:pPr>
              <w:spacing w:after="0"/>
              <w:rPr>
                <w:sz w:val="17"/>
                <w:szCs w:val="17"/>
                <w:color w:val="auto"/>
              </w:rPr>
            </w:pPr>
          </w:p>
        </w:tc>
        <w:tc>
          <w:tcPr>
            <w:tcW w:w="1080" w:type="dxa"/>
            <w:vAlign w:val="bottom"/>
          </w:tcPr>
          <w:p>
            <w:pPr>
              <w:jc w:val="center"/>
              <w:ind w:right="279"/>
              <w:spacing w:after="0"/>
              <w:rPr>
                <w:sz w:val="20"/>
                <w:szCs w:val="20"/>
                <w:color w:val="auto"/>
              </w:rPr>
            </w:pPr>
            <w:r>
              <w:rPr>
                <w:rFonts w:ascii="Arial" w:cs="Arial" w:eastAsia="Arial" w:hAnsi="Arial"/>
                <w:sz w:val="14"/>
                <w:szCs w:val="14"/>
                <w:b w:val="1"/>
                <w:bCs w:val="1"/>
                <w:color w:val="auto"/>
                <w:w w:val="95"/>
              </w:rPr>
              <w:t>Unrealized</w:t>
            </w:r>
          </w:p>
        </w:tc>
        <w:tc>
          <w:tcPr>
            <w:tcW w:w="980" w:type="dxa"/>
            <w:vAlign w:val="bottom"/>
          </w:tcPr>
          <w:p>
            <w:pPr>
              <w:jc w:val="center"/>
              <w:ind w:right="60"/>
              <w:spacing w:after="0"/>
              <w:rPr>
                <w:sz w:val="20"/>
                <w:szCs w:val="20"/>
                <w:color w:val="auto"/>
              </w:rPr>
            </w:pPr>
            <w:r>
              <w:rPr>
                <w:rFonts w:ascii="Arial" w:cs="Arial" w:eastAsia="Arial" w:hAnsi="Arial"/>
                <w:sz w:val="14"/>
                <w:szCs w:val="14"/>
                <w:b w:val="1"/>
                <w:bCs w:val="1"/>
                <w:color w:val="auto"/>
                <w:w w:val="88"/>
              </w:rPr>
              <w:t>Positions</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Fair</w:t>
            </w:r>
          </w:p>
        </w:tc>
        <w:tc>
          <w:tcPr>
            <w:tcW w:w="220" w:type="dxa"/>
            <w:vAlign w:val="bottom"/>
          </w:tcPr>
          <w:p>
            <w:pPr>
              <w:spacing w:after="0"/>
              <w:rPr>
                <w:sz w:val="17"/>
                <w:szCs w:val="17"/>
                <w:color w:val="auto"/>
              </w:rPr>
            </w:pPr>
          </w:p>
        </w:tc>
        <w:tc>
          <w:tcPr>
            <w:tcW w:w="920" w:type="dxa"/>
            <w:vAlign w:val="bottom"/>
          </w:tcPr>
          <w:p>
            <w:pPr>
              <w:jc w:val="right"/>
              <w:ind w:right="159"/>
              <w:spacing w:after="0"/>
              <w:rPr>
                <w:sz w:val="20"/>
                <w:szCs w:val="20"/>
                <w:color w:val="auto"/>
              </w:rPr>
            </w:pPr>
            <w:r>
              <w:rPr>
                <w:rFonts w:ascii="Arial" w:cs="Arial" w:eastAsia="Arial" w:hAnsi="Arial"/>
                <w:sz w:val="14"/>
                <w:szCs w:val="14"/>
                <w:b w:val="1"/>
                <w:bCs w:val="1"/>
                <w:color w:val="auto"/>
                <w:w w:val="93"/>
              </w:rPr>
              <w:t>Unrealized</w:t>
            </w:r>
          </w:p>
        </w:tc>
        <w:tc>
          <w:tcPr>
            <w:tcW w:w="0" w:type="dxa"/>
            <w:vAlign w:val="bottom"/>
          </w:tcPr>
          <w:p>
            <w:pPr>
              <w:spacing w:after="0"/>
              <w:rPr>
                <w:sz w:val="1"/>
                <w:szCs w:val="1"/>
                <w:color w:val="auto"/>
              </w:rPr>
            </w:pPr>
          </w:p>
        </w:tc>
      </w:tr>
      <w:tr>
        <w:trPr>
          <w:trHeight w:val="177"/>
        </w:trPr>
        <w:tc>
          <w:tcPr>
            <w:tcW w:w="2300" w:type="dxa"/>
            <w:vAlign w:val="bottom"/>
            <w:tcBorders>
              <w:bottom w:val="single" w:sz="8" w:color="auto"/>
            </w:tcBorders>
            <w:gridSpan w:val="2"/>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w w:val="90"/>
              </w:rPr>
              <w:t>Value</w:t>
            </w:r>
          </w:p>
        </w:tc>
        <w:tc>
          <w:tcPr>
            <w:tcW w:w="3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299"/>
              <w:spacing w:after="0"/>
              <w:rPr>
                <w:sz w:val="20"/>
                <w:szCs w:val="20"/>
                <w:color w:val="auto"/>
              </w:rPr>
            </w:pPr>
            <w:r>
              <w:rPr>
                <w:rFonts w:ascii="Arial" w:cs="Arial" w:eastAsia="Arial" w:hAnsi="Arial"/>
                <w:sz w:val="14"/>
                <w:szCs w:val="14"/>
                <w:b w:val="1"/>
                <w:bCs w:val="1"/>
                <w:color w:val="auto"/>
                <w:w w:val="82"/>
              </w:rPr>
              <w:t>Losses</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Held</w:t>
            </w:r>
          </w:p>
        </w:tc>
        <w:tc>
          <w:tcPr>
            <w:tcW w:w="3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w w:val="96"/>
              </w:rPr>
              <w:t>Value</w:t>
            </w:r>
          </w:p>
        </w:tc>
        <w:tc>
          <w:tcPr>
            <w:tcW w:w="2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279"/>
              <w:spacing w:after="0"/>
              <w:rPr>
                <w:sz w:val="20"/>
                <w:szCs w:val="20"/>
                <w:color w:val="auto"/>
              </w:rPr>
            </w:pPr>
            <w:r>
              <w:rPr>
                <w:rFonts w:ascii="Arial" w:cs="Arial" w:eastAsia="Arial" w:hAnsi="Arial"/>
                <w:sz w:val="14"/>
                <w:szCs w:val="14"/>
                <w:b w:val="1"/>
                <w:bCs w:val="1"/>
                <w:color w:val="auto"/>
                <w:w w:val="82"/>
              </w:rPr>
              <w:t>Losses</w:t>
            </w:r>
          </w:p>
        </w:tc>
        <w:tc>
          <w:tcPr>
            <w:tcW w:w="98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w w:val="92"/>
              </w:rPr>
              <w:t>Held</w:t>
            </w: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Value</w:t>
            </w: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Losses</w:t>
            </w:r>
          </w:p>
        </w:tc>
        <w:tc>
          <w:tcPr>
            <w:tcW w:w="0" w:type="dxa"/>
            <w:vAlign w:val="bottom"/>
          </w:tcPr>
          <w:p>
            <w:pPr>
              <w:spacing w:after="0"/>
              <w:rPr>
                <w:sz w:val="1"/>
                <w:szCs w:val="1"/>
                <w:color w:val="auto"/>
              </w:rPr>
            </w:pPr>
          </w:p>
        </w:tc>
      </w:tr>
      <w:tr>
        <w:trPr>
          <w:trHeight w:val="470"/>
        </w:trPr>
        <w:tc>
          <w:tcPr>
            <w:tcW w:w="2300" w:type="dxa"/>
            <w:vAlign w:val="bottom"/>
            <w:gridSpan w:val="2"/>
          </w:tcPr>
          <w:p>
            <w:pPr>
              <w:spacing w:after="0"/>
              <w:rPr>
                <w:sz w:val="20"/>
                <w:szCs w:val="20"/>
                <w:color w:val="auto"/>
              </w:rPr>
            </w:pPr>
            <w:r>
              <w:rPr>
                <w:rFonts w:ascii="Arial" w:cs="Arial" w:eastAsia="Arial" w:hAnsi="Arial"/>
                <w:sz w:val="17"/>
                <w:szCs w:val="17"/>
                <w:b w:val="1"/>
                <w:bCs w:val="1"/>
                <w:color w:val="auto"/>
              </w:rPr>
              <w:t>Fixed-Maturity Securities:</w:t>
            </w: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7"/>
                <w:szCs w:val="17"/>
                <w:color w:val="auto"/>
              </w:rPr>
              <w:t>U.S. Treasury securities and</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2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obligations of U.S.</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280" w:type="dxa"/>
            <w:vAlign w:val="bottom"/>
            <w:shd w:val="clear" w:color="auto" w:fill="CCEEFF"/>
          </w:tcPr>
          <w:p>
            <w:pPr>
              <w:ind w:left="140"/>
              <w:spacing w:after="0"/>
              <w:rPr>
                <w:sz w:val="20"/>
                <w:szCs w:val="20"/>
                <w:color w:val="auto"/>
              </w:rPr>
            </w:pPr>
            <w:r>
              <w:rPr>
                <w:rFonts w:ascii="Arial" w:cs="Arial" w:eastAsia="Arial" w:hAnsi="Arial"/>
                <w:sz w:val="17"/>
                <w:szCs w:val="17"/>
                <w:color w:val="auto"/>
                <w:w w:val="95"/>
              </w:rPr>
              <w:t>government corporations and</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2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agencies</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4,948,530</w:t>
            </w: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ind w:right="139"/>
              <w:spacing w:after="0"/>
              <w:rPr>
                <w:sz w:val="20"/>
                <w:szCs w:val="20"/>
                <w:color w:val="auto"/>
              </w:rPr>
            </w:pPr>
            <w:r>
              <w:rPr>
                <w:rFonts w:ascii="Arial" w:cs="Arial" w:eastAsia="Arial" w:hAnsi="Arial"/>
                <w:sz w:val="17"/>
                <w:szCs w:val="17"/>
                <w:color w:val="auto"/>
              </w:rPr>
              <w:t>(28,000)</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ind w:right="179"/>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ind w:right="21"/>
              <w:spacing w:after="0"/>
              <w:rPr>
                <w:sz w:val="20"/>
                <w:szCs w:val="20"/>
                <w:color w:val="auto"/>
              </w:rPr>
            </w:pPr>
            <w:r>
              <w:rPr>
                <w:rFonts w:ascii="Arial" w:cs="Arial" w:eastAsia="Arial" w:hAnsi="Arial"/>
                <w:sz w:val="17"/>
                <w:szCs w:val="17"/>
                <w:color w:val="auto"/>
              </w:rPr>
              <w:t>$  4,948,530</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(28,000)</w:t>
            </w:r>
          </w:p>
        </w:tc>
        <w:tc>
          <w:tcPr>
            <w:tcW w:w="0" w:type="dxa"/>
            <w:vAlign w:val="bottom"/>
          </w:tcPr>
          <w:p>
            <w:pPr>
              <w:spacing w:after="0"/>
              <w:rPr>
                <w:sz w:val="1"/>
                <w:szCs w:val="1"/>
                <w:color w:val="auto"/>
              </w:rPr>
            </w:pPr>
          </w:p>
        </w:tc>
      </w:tr>
      <w:tr>
        <w:trPr>
          <w:trHeight w:val="209"/>
        </w:trPr>
        <w:tc>
          <w:tcPr>
            <w:tcW w:w="230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7"/>
                <w:szCs w:val="17"/>
                <w:color w:val="auto"/>
                <w:w w:val="97"/>
              </w:rPr>
              <w:t>Political subdivisions of States,</w:t>
            </w:r>
          </w:p>
        </w:tc>
        <w:tc>
          <w:tcPr>
            <w:tcW w:w="2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2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Territories and Possessions</w:t>
            </w:r>
          </w:p>
        </w:tc>
        <w:tc>
          <w:tcPr>
            <w:tcW w:w="2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555,375</w:t>
            </w:r>
          </w:p>
        </w:tc>
        <w:tc>
          <w:tcPr>
            <w:tcW w:w="30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139"/>
              <w:spacing w:after="0"/>
              <w:rPr>
                <w:sz w:val="20"/>
                <w:szCs w:val="20"/>
                <w:color w:val="auto"/>
              </w:rPr>
            </w:pPr>
            <w:r>
              <w:rPr>
                <w:rFonts w:ascii="Arial" w:cs="Arial" w:eastAsia="Arial" w:hAnsi="Arial"/>
                <w:sz w:val="17"/>
                <w:szCs w:val="17"/>
                <w:color w:val="auto"/>
              </w:rPr>
              <w:t>(12,327)</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3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1,436,242</w:t>
            </w:r>
          </w:p>
        </w:tc>
        <w:tc>
          <w:tcPr>
            <w:tcW w:w="28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119"/>
              <w:spacing w:after="0"/>
              <w:rPr>
                <w:sz w:val="20"/>
                <w:szCs w:val="20"/>
                <w:color w:val="auto"/>
              </w:rPr>
            </w:pPr>
            <w:r>
              <w:rPr>
                <w:rFonts w:ascii="Arial" w:cs="Arial" w:eastAsia="Arial" w:hAnsi="Arial"/>
                <w:sz w:val="17"/>
                <w:szCs w:val="17"/>
                <w:color w:val="auto"/>
              </w:rPr>
              <w:t>(36,508)</w:t>
            </w:r>
          </w:p>
        </w:tc>
        <w:tc>
          <w:tcPr>
            <w:tcW w:w="980" w:type="dxa"/>
            <w:vAlign w:val="bottom"/>
            <w:shd w:val="clear" w:color="auto" w:fill="CCEEFF"/>
          </w:tcPr>
          <w:p>
            <w:pPr>
              <w:jc w:val="right"/>
              <w:ind w:right="20"/>
              <w:spacing w:after="0"/>
              <w:rPr>
                <w:sz w:val="20"/>
                <w:szCs w:val="20"/>
                <w:color w:val="auto"/>
              </w:rPr>
            </w:pPr>
            <w:r>
              <w:rPr>
                <w:rFonts w:ascii="Arial" w:cs="Arial" w:eastAsia="Arial" w:hAnsi="Arial"/>
                <w:sz w:val="17"/>
                <w:szCs w:val="17"/>
                <w:color w:val="auto"/>
              </w:rPr>
              <w:t>3</w:t>
            </w:r>
          </w:p>
        </w:tc>
        <w:tc>
          <w:tcPr>
            <w:tcW w:w="1140" w:type="dxa"/>
            <w:vAlign w:val="bottom"/>
            <w:shd w:val="clear" w:color="auto" w:fill="CCEEFF"/>
          </w:tcPr>
          <w:p>
            <w:pPr>
              <w:jc w:val="right"/>
              <w:ind w:right="21"/>
              <w:spacing w:after="0"/>
              <w:rPr>
                <w:sz w:val="20"/>
                <w:szCs w:val="20"/>
                <w:color w:val="auto"/>
              </w:rPr>
            </w:pPr>
            <w:r>
              <w:rPr>
                <w:rFonts w:ascii="Arial" w:cs="Arial" w:eastAsia="Arial" w:hAnsi="Arial"/>
                <w:sz w:val="17"/>
                <w:szCs w:val="17"/>
                <w:color w:val="auto"/>
              </w:rPr>
              <w:t>1,991,617</w:t>
            </w: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(48,835)</w:t>
            </w:r>
          </w:p>
        </w:tc>
        <w:tc>
          <w:tcPr>
            <w:tcW w:w="0" w:type="dxa"/>
            <w:vAlign w:val="bottom"/>
          </w:tcPr>
          <w:p>
            <w:pPr>
              <w:spacing w:after="0"/>
              <w:rPr>
                <w:sz w:val="1"/>
                <w:szCs w:val="1"/>
                <w:color w:val="auto"/>
              </w:rPr>
            </w:pPr>
          </w:p>
        </w:tc>
      </w:tr>
      <w:tr>
        <w:trPr>
          <w:trHeight w:val="209"/>
        </w:trPr>
        <w:tc>
          <w:tcPr>
            <w:tcW w:w="230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7"/>
                <w:szCs w:val="17"/>
                <w:color w:val="auto"/>
              </w:rPr>
              <w:t>Corporate and other bonds</w:t>
            </w:r>
          </w:p>
        </w:tc>
        <w:tc>
          <w:tcPr>
            <w:tcW w:w="2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280" w:type="dxa"/>
            <w:vAlign w:val="bottom"/>
            <w:shd w:val="clear" w:color="auto" w:fill="CCEEFF"/>
          </w:tcPr>
          <w:p>
            <w:pPr>
              <w:ind w:left="140"/>
              <w:spacing w:after="0"/>
              <w:rPr>
                <w:sz w:val="20"/>
                <w:szCs w:val="20"/>
                <w:color w:val="auto"/>
              </w:rPr>
            </w:pPr>
            <w:r>
              <w:rPr>
                <w:rFonts w:ascii="Arial" w:cs="Arial" w:eastAsia="Arial" w:hAnsi="Arial"/>
                <w:sz w:val="17"/>
                <w:szCs w:val="17"/>
                <w:color w:val="auto"/>
                <w:w w:val="99"/>
              </w:rPr>
              <w:t>industrial and miscellaneous</w:t>
            </w:r>
          </w:p>
        </w:tc>
        <w:tc>
          <w:tcPr>
            <w:tcW w:w="2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81,004,459</w:t>
            </w:r>
          </w:p>
        </w:tc>
        <w:tc>
          <w:tcPr>
            <w:tcW w:w="30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139"/>
              <w:spacing w:after="0"/>
              <w:rPr>
                <w:sz w:val="20"/>
                <w:szCs w:val="20"/>
                <w:color w:val="auto"/>
              </w:rPr>
            </w:pPr>
            <w:r>
              <w:rPr>
                <w:rFonts w:ascii="Arial" w:cs="Arial" w:eastAsia="Arial" w:hAnsi="Arial"/>
                <w:sz w:val="17"/>
                <w:szCs w:val="17"/>
                <w:color w:val="auto"/>
                <w:w w:val="98"/>
              </w:rPr>
              <w:t>(2,775,540)</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w:t>
            </w:r>
          </w:p>
        </w:tc>
        <w:tc>
          <w:tcPr>
            <w:tcW w:w="3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13,424,888</w:t>
            </w:r>
          </w:p>
        </w:tc>
        <w:tc>
          <w:tcPr>
            <w:tcW w:w="28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119"/>
              <w:spacing w:after="0"/>
              <w:rPr>
                <w:sz w:val="20"/>
                <w:szCs w:val="20"/>
                <w:color w:val="auto"/>
              </w:rPr>
            </w:pPr>
            <w:r>
              <w:rPr>
                <w:rFonts w:ascii="Arial" w:cs="Arial" w:eastAsia="Arial" w:hAnsi="Arial"/>
                <w:sz w:val="17"/>
                <w:szCs w:val="17"/>
                <w:color w:val="auto"/>
              </w:rPr>
              <w:t>(676,605)</w:t>
            </w:r>
          </w:p>
        </w:tc>
        <w:tc>
          <w:tcPr>
            <w:tcW w:w="980" w:type="dxa"/>
            <w:vAlign w:val="bottom"/>
            <w:shd w:val="clear" w:color="auto" w:fill="CCEEFF"/>
          </w:tcPr>
          <w:p>
            <w:pPr>
              <w:jc w:val="right"/>
              <w:ind w:right="20"/>
              <w:spacing w:after="0"/>
              <w:rPr>
                <w:sz w:val="20"/>
                <w:szCs w:val="20"/>
                <w:color w:val="auto"/>
              </w:rPr>
            </w:pPr>
            <w:r>
              <w:rPr>
                <w:rFonts w:ascii="Arial" w:cs="Arial" w:eastAsia="Arial" w:hAnsi="Arial"/>
                <w:sz w:val="17"/>
                <w:szCs w:val="17"/>
                <w:color w:val="auto"/>
              </w:rPr>
              <w:t>24</w:t>
            </w:r>
          </w:p>
        </w:tc>
        <w:tc>
          <w:tcPr>
            <w:tcW w:w="1140" w:type="dxa"/>
            <w:vAlign w:val="bottom"/>
            <w:shd w:val="clear" w:color="auto" w:fill="CCEEFF"/>
          </w:tcPr>
          <w:p>
            <w:pPr>
              <w:jc w:val="right"/>
              <w:ind w:right="21"/>
              <w:spacing w:after="0"/>
              <w:rPr>
                <w:sz w:val="20"/>
                <w:szCs w:val="20"/>
                <w:color w:val="auto"/>
              </w:rPr>
            </w:pPr>
            <w:r>
              <w:rPr>
                <w:rFonts w:ascii="Arial" w:cs="Arial" w:eastAsia="Arial" w:hAnsi="Arial"/>
                <w:sz w:val="17"/>
                <w:szCs w:val="17"/>
                <w:color w:val="auto"/>
              </w:rPr>
              <w:t>94,429,347</w:t>
            </w: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(3,452,145)</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2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7"/>
                <w:szCs w:val="17"/>
                <w:color w:val="auto"/>
                <w:w w:val="95"/>
              </w:rPr>
              <w:t>Residential mortgage and other</w:t>
            </w: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2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asset backed securities</w:t>
            </w: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7,002,713</w:t>
            </w: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7"/>
                <w:szCs w:val="17"/>
                <w:color w:val="auto"/>
              </w:rPr>
              <w:t>(231,229)</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3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1"/>
              </w:rPr>
              <w:t>11,928,425</w:t>
            </w: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7"/>
                <w:szCs w:val="17"/>
                <w:color w:val="auto"/>
              </w:rPr>
              <w:t>(331,012)</w:t>
            </w:r>
          </w:p>
        </w:tc>
        <w:tc>
          <w:tcPr>
            <w:tcW w:w="9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7"/>
                <w:szCs w:val="17"/>
                <w:color w:val="auto"/>
              </w:rPr>
              <w:t>19</w:t>
            </w:r>
          </w:p>
        </w:tc>
        <w:tc>
          <w:tcPr>
            <w:tcW w:w="11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7"/>
                <w:szCs w:val="17"/>
                <w:color w:val="auto"/>
              </w:rPr>
              <w:t>18,931,138</w:t>
            </w: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(562,241)</w:t>
            </w:r>
          </w:p>
        </w:tc>
        <w:tc>
          <w:tcPr>
            <w:tcW w:w="0" w:type="dxa"/>
            <w:vAlign w:val="bottom"/>
          </w:tcPr>
          <w:p>
            <w:pPr>
              <w:spacing w:after="0"/>
              <w:rPr>
                <w:sz w:val="1"/>
                <w:szCs w:val="1"/>
                <w:color w:val="auto"/>
              </w:rPr>
            </w:pPr>
          </w:p>
        </w:tc>
      </w:tr>
      <w:tr>
        <w:trPr>
          <w:trHeight w:val="209"/>
        </w:trPr>
        <w:tc>
          <w:tcPr>
            <w:tcW w:w="230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2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Total fixed-maturity securities</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1"/>
              </w:rPr>
              <w:t>93,511,077</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7"/>
                <w:szCs w:val="17"/>
                <w:color w:val="auto"/>
                <w:w w:val="98"/>
              </w:rPr>
              <w:t>(3,047,096)</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110</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1"/>
              </w:rPr>
              <w:t>26,789,555</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7"/>
                <w:szCs w:val="17"/>
                <w:color w:val="auto"/>
                <w:w w:val="98"/>
              </w:rPr>
              <w:t>(1,044,125)</w:t>
            </w:r>
          </w:p>
        </w:tc>
        <w:tc>
          <w:tcPr>
            <w:tcW w:w="9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7"/>
                <w:szCs w:val="17"/>
                <w:color w:val="auto"/>
              </w:rPr>
              <w:t>46</w:t>
            </w:r>
          </w:p>
        </w:tc>
        <w:tc>
          <w:tcPr>
            <w:tcW w:w="11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7"/>
                <w:szCs w:val="17"/>
                <w:color w:val="auto"/>
                <w:w w:val="98"/>
              </w:rPr>
              <w:t>$120,300,632</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6"/>
              </w:rPr>
              <w:t>(4,091,221)</w:t>
            </w:r>
          </w:p>
        </w:tc>
        <w:tc>
          <w:tcPr>
            <w:tcW w:w="0" w:type="dxa"/>
            <w:vAlign w:val="bottom"/>
          </w:tcPr>
          <w:p>
            <w:pPr>
              <w:spacing w:after="0"/>
              <w:rPr>
                <w:sz w:val="1"/>
                <w:szCs w:val="1"/>
                <w:color w:val="auto"/>
              </w:rPr>
            </w:pPr>
          </w:p>
        </w:tc>
      </w:tr>
      <w:tr>
        <w:trPr>
          <w:trHeight w:val="567"/>
        </w:trPr>
        <w:tc>
          <w:tcPr>
            <w:tcW w:w="20" w:type="dxa"/>
            <w:vAlign w:val="bottom"/>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w w:val="84"/>
              </w:rPr>
              <w:t>18</w:t>
            </w:r>
          </w:p>
        </w:tc>
        <w:tc>
          <w:tcPr>
            <w:tcW w:w="8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97" w:right="239" w:bottom="1440" w:gutter="0" w:footer="0" w:header="0"/>
        </w:sectPr>
      </w:pPr>
    </w:p>
    <w:bookmarkStart w:id="18" w:name="page19"/>
    <w:bookmarkEnd w:id="18"/>
    <w:p>
      <w:pPr>
        <w:spacing w:after="0"/>
        <w:rPr>
          <w:sz w:val="20"/>
          <w:szCs w:val="20"/>
          <w:color w:val="auto"/>
        </w:rPr>
      </w:pPr>
      <w:r>
        <w:rPr>
          <w:rFonts w:ascii="Arial" w:cs="Arial" w:eastAsia="Arial" w:hAnsi="Arial"/>
          <w:sz w:val="17"/>
          <w:szCs w:val="17"/>
          <w:b w:val="1"/>
          <w:bCs w:val="1"/>
          <w:color w:val="auto"/>
        </w:rPr>
        <w:t>Note 4 - Fair Value Measurements</w:t>
      </w:r>
    </w:p>
    <w:p>
      <w:pPr>
        <w:spacing w:after="0" w:line="22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Fair value is the price that would be received upon sale of an asset or paid to transfer a liability in an orderly transaction between market participants at the measurement date. The valuation technique used by the Company to fair value its financial instruments is the market approach, which uses prices and other relevant information generated by market transactions involving identical or comparable assets.</w:t>
      </w:r>
    </w:p>
    <w:p>
      <w:pPr>
        <w:spacing w:after="0" w:line="180" w:lineRule="exact"/>
        <w:rPr>
          <w:sz w:val="20"/>
          <w:szCs w:val="20"/>
          <w:color w:val="auto"/>
        </w:rPr>
      </w:pPr>
    </w:p>
    <w:p>
      <w:pPr>
        <w:jc w:val="both"/>
        <w:spacing w:after="0" w:line="306" w:lineRule="auto"/>
        <w:rPr>
          <w:sz w:val="20"/>
          <w:szCs w:val="20"/>
          <w:color w:val="auto"/>
        </w:rPr>
      </w:pPr>
      <w:r>
        <w:rPr>
          <w:rFonts w:ascii="Arial" w:cs="Arial" w:eastAsia="Arial" w:hAnsi="Arial"/>
          <w:sz w:val="15"/>
          <w:szCs w:val="15"/>
          <w:color w:val="auto"/>
        </w:rPr>
        <w:t>The fair value hierarchy gives the highest priority to quoted prices in active markets for identical assets or liabilities (Level 1) and the lowest priority to unobservable inputs (Level 3). If the inputs used to measure the assets or liabilities fall within different levels of the hierarchy, the classification is based on the lowest level input that is significant to the fair value measurement of the asset or liability. Classification of assets and liabilities within the hierarchy considers the markets in which the assets and liabilities are traded, including during period of market disruption, and the reliability and transparency of the assumptions used to determine fair value. The hierarchy requires the use of observable market data when available. The levels of the hierarchy and those investments included in each are as follows:</w:t>
      </w:r>
    </w:p>
    <w:p>
      <w:pPr>
        <w:spacing w:after="0" w:line="15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Level 1</w:t>
      </w:r>
      <w:r>
        <w:rPr>
          <w:rFonts w:ascii="Arial" w:cs="Arial" w:eastAsia="Arial" w:hAnsi="Arial"/>
          <w:sz w:val="17"/>
          <w:szCs w:val="17"/>
          <w:color w:val="auto"/>
        </w:rPr>
        <w:t>—Inputs to the valuation methodology are quoted prices (unadjusted) for identical assets or liabilities traded in active markets. Included are those investments</w:t>
      </w:r>
      <w:r>
        <w:rPr>
          <w:rFonts w:ascii="Arial" w:cs="Arial" w:eastAsia="Arial" w:hAnsi="Arial"/>
          <w:sz w:val="17"/>
          <w:szCs w:val="17"/>
          <w:i w:val="1"/>
          <w:iCs w:val="1"/>
          <w:color w:val="auto"/>
        </w:rPr>
        <w:t xml:space="preserve"> </w:t>
      </w:r>
      <w:r>
        <w:rPr>
          <w:rFonts w:ascii="Arial" w:cs="Arial" w:eastAsia="Arial" w:hAnsi="Arial"/>
          <w:sz w:val="17"/>
          <w:szCs w:val="17"/>
          <w:color w:val="auto"/>
        </w:rPr>
        <w:t>traded on an active exchange, such as the Nasdaq Global Select Market, U.S. Treasury securities and obligations of U.S. government agencies, together with corporate debt securities that are generally investment grade.</w:t>
      </w:r>
    </w:p>
    <w:p>
      <w:pPr>
        <w:spacing w:after="0" w:line="180" w:lineRule="exact"/>
        <w:rPr>
          <w:sz w:val="20"/>
          <w:szCs w:val="20"/>
          <w:color w:val="auto"/>
        </w:rPr>
      </w:pPr>
    </w:p>
    <w:p>
      <w:pPr>
        <w:jc w:val="both"/>
        <w:spacing w:after="0" w:line="265" w:lineRule="auto"/>
        <w:rPr>
          <w:sz w:val="20"/>
          <w:szCs w:val="20"/>
          <w:color w:val="auto"/>
        </w:rPr>
      </w:pPr>
      <w:r>
        <w:rPr>
          <w:rFonts w:ascii="Arial" w:cs="Arial" w:eastAsia="Arial" w:hAnsi="Arial"/>
          <w:sz w:val="17"/>
          <w:szCs w:val="17"/>
          <w:i w:val="1"/>
          <w:iCs w:val="1"/>
          <w:color w:val="auto"/>
        </w:rPr>
        <w:t>Level 2</w:t>
      </w:r>
      <w:r>
        <w:rPr>
          <w:rFonts w:ascii="Arial" w:cs="Arial" w:eastAsia="Arial" w:hAnsi="Arial"/>
          <w:sz w:val="17"/>
          <w:szCs w:val="17"/>
          <w:color w:val="auto"/>
        </w:rPr>
        <w:t>—Inputs to the valuation methodology include quoted prices for similar assets or liabilities in active markets, quoted prices for identical or similar assets or</w:t>
      </w:r>
      <w:r>
        <w:rPr>
          <w:rFonts w:ascii="Arial" w:cs="Arial" w:eastAsia="Arial" w:hAnsi="Arial"/>
          <w:sz w:val="17"/>
          <w:szCs w:val="17"/>
          <w:i w:val="1"/>
          <w:iCs w:val="1"/>
          <w:color w:val="auto"/>
        </w:rPr>
        <w:t xml:space="preserve"> </w:t>
      </w:r>
      <w:r>
        <w:rPr>
          <w:rFonts w:ascii="Arial" w:cs="Arial" w:eastAsia="Arial" w:hAnsi="Arial"/>
          <w:sz w:val="17"/>
          <w:szCs w:val="17"/>
          <w:color w:val="auto"/>
        </w:rPr>
        <w:t>liabilities in markets that are not active, inputs other than quoted prices that are observable for the asset or liability and market-corroborated inputs. Municipal and corporate bonds, and residential mortgage-backed securities, that are traded in less active markets are classified as Level 2. These securities are valued using market price quotations for recently executed transactions.</w:t>
      </w:r>
    </w:p>
    <w:p>
      <w:pPr>
        <w:spacing w:after="0" w:line="18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Level 3</w:t>
      </w:r>
      <w:r>
        <w:rPr>
          <w:rFonts w:ascii="Arial" w:cs="Arial" w:eastAsia="Arial" w:hAnsi="Arial"/>
          <w:sz w:val="17"/>
          <w:szCs w:val="17"/>
          <w:color w:val="auto"/>
        </w:rPr>
        <w:t>—Inputs to the valuation methodology are unobservable for the asset or liability and are significant to the fair value measurement. Material assumptions and</w:t>
      </w:r>
      <w:r>
        <w:rPr>
          <w:rFonts w:ascii="Arial" w:cs="Arial" w:eastAsia="Arial" w:hAnsi="Arial"/>
          <w:sz w:val="17"/>
          <w:szCs w:val="17"/>
          <w:i w:val="1"/>
          <w:iCs w:val="1"/>
          <w:color w:val="auto"/>
        </w:rPr>
        <w:t xml:space="preserve"> </w:t>
      </w:r>
      <w:r>
        <w:rPr>
          <w:rFonts w:ascii="Arial" w:cs="Arial" w:eastAsia="Arial" w:hAnsi="Arial"/>
          <w:sz w:val="17"/>
          <w:szCs w:val="17"/>
          <w:color w:val="auto"/>
        </w:rPr>
        <w:t>factors considered in pricing investment securities and other assets may include appraisals, projected cash flows, market clearing activity or liquidity circumstances in the security or similar securities that may have occurred since the prior pricing period.</w:t>
      </w:r>
    </w:p>
    <w:p>
      <w:pPr>
        <w:spacing w:after="0" w:line="180"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The availability of observable inputs varies and is affected by a wide variety of factors. When the valuation is based on models or inputs that are less observable or unobservable in the market, the determination of fair value requires significantly more judgment. The degree of judgment exercised by management in determining fair value is greatest for investments categorized as Level 3. For investments in this category, the Company considers prices and inputs that are current as of the measurement date. In periods of market dislocation, as characterized by current market conditions, the ability to observe prices and inputs may be reduced for many instruments. This condition could cause a security to be reclassified between levels.</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25106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ectPr>
          <w:pgSz w:w="11900" w:h="16838" w:orient="portrait"/>
          <w:cols w:equalWidth="0" w:num="1">
            <w:col w:w="11420"/>
          </w:cols>
          <w:pgMar w:left="240" w:top="519" w:right="239" w:bottom="1440" w:gutter="0" w:footer="0" w:header="0"/>
        </w:sectPr>
      </w:pPr>
    </w:p>
    <w:bookmarkStart w:id="19" w:name="page20"/>
    <w:bookmarkEnd w:id="19"/>
    <w:p>
      <w:pPr>
        <w:spacing w:after="0" w:line="281" w:lineRule="auto"/>
        <w:rPr>
          <w:sz w:val="20"/>
          <w:szCs w:val="20"/>
          <w:color w:val="auto"/>
        </w:rPr>
      </w:pPr>
      <w:r>
        <w:rPr>
          <w:rFonts w:ascii="Arial" w:cs="Arial" w:eastAsia="Arial" w:hAnsi="Arial"/>
          <w:sz w:val="17"/>
          <w:szCs w:val="17"/>
          <w:color w:val="auto"/>
        </w:rPr>
        <w:t>The following table presents information about the Company’s investments that are measured at fair value on a recurring basis at March 31, 2019 and December 31, 2018 indicating the fair value hierarchy of the valuation inputs the Company utilized to determine such fair value:</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20" w:type="dxa"/>
            <w:vAlign w:val="bottom"/>
          </w:tcPr>
          <w:p>
            <w:pPr>
              <w:spacing w:after="0"/>
              <w:rPr>
                <w:sz w:val="15"/>
                <w:szCs w:val="15"/>
                <w:color w:val="auto"/>
              </w:rPr>
            </w:pPr>
          </w:p>
        </w:tc>
        <w:tc>
          <w:tcPr>
            <w:tcW w:w="68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2"/>
          </w:tcPr>
          <w:p>
            <w:pPr>
              <w:jc w:val="right"/>
              <w:ind w:right="319"/>
              <w:spacing w:after="0"/>
              <w:rPr>
                <w:sz w:val="20"/>
                <w:szCs w:val="20"/>
                <w:color w:val="auto"/>
              </w:rPr>
            </w:pPr>
            <w:r>
              <w:rPr>
                <w:rFonts w:ascii="Arial" w:cs="Arial" w:eastAsia="Arial" w:hAnsi="Arial"/>
                <w:sz w:val="14"/>
                <w:szCs w:val="14"/>
                <w:b w:val="1"/>
                <w:bCs w:val="1"/>
                <w:color w:val="auto"/>
              </w:rPr>
              <w:t>March 31, 2019</w:t>
            </w:r>
          </w:p>
        </w:tc>
        <w:tc>
          <w:tcPr>
            <w:tcW w:w="2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8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58"/>
              <w:spacing w:after="0"/>
              <w:rPr>
                <w:sz w:val="20"/>
                <w:szCs w:val="20"/>
                <w:color w:val="auto"/>
              </w:rPr>
            </w:pPr>
            <w:r>
              <w:rPr>
                <w:rFonts w:ascii="Arial" w:cs="Arial" w:eastAsia="Arial" w:hAnsi="Arial"/>
                <w:sz w:val="14"/>
                <w:szCs w:val="14"/>
                <w:b w:val="1"/>
                <w:bCs w:val="1"/>
                <w:color w:val="auto"/>
              </w:rPr>
              <w:t>Level 1</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58"/>
              <w:spacing w:after="0"/>
              <w:rPr>
                <w:sz w:val="20"/>
                <w:szCs w:val="20"/>
                <w:color w:val="auto"/>
              </w:rPr>
            </w:pPr>
            <w:r>
              <w:rPr>
                <w:rFonts w:ascii="Arial" w:cs="Arial" w:eastAsia="Arial" w:hAnsi="Arial"/>
                <w:sz w:val="14"/>
                <w:szCs w:val="14"/>
                <w:b w:val="1"/>
                <w:bCs w:val="1"/>
                <w:color w:val="auto"/>
              </w:rPr>
              <w:t>Level 2</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3</w:t>
            </w:r>
          </w:p>
        </w:tc>
        <w:tc>
          <w:tcPr>
            <w:tcW w:w="2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470"/>
        </w:trPr>
        <w:tc>
          <w:tcPr>
            <w:tcW w:w="6860" w:type="dxa"/>
            <w:vAlign w:val="bottom"/>
            <w:gridSpan w:val="2"/>
          </w:tcPr>
          <w:p>
            <w:pPr>
              <w:spacing w:after="0"/>
              <w:rPr>
                <w:sz w:val="20"/>
                <w:szCs w:val="20"/>
                <w:color w:val="auto"/>
              </w:rPr>
            </w:pPr>
            <w:r>
              <w:rPr>
                <w:rFonts w:ascii="Arial" w:cs="Arial" w:eastAsia="Arial" w:hAnsi="Arial"/>
                <w:sz w:val="17"/>
                <w:szCs w:val="17"/>
                <w:b w:val="1"/>
                <w:bCs w:val="1"/>
                <w:color w:val="auto"/>
              </w:rPr>
              <w:t>Fixed-maturity securities available-for-sale</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7"/>
                <w:szCs w:val="17"/>
                <w:color w:val="auto"/>
              </w:rPr>
              <w:t>U.S. Treasury securities and obligations of U.S. government corporations and agencies</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8,289,944</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ind w:right="599"/>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ind w:right="38"/>
              <w:spacing w:after="0"/>
              <w:rPr>
                <w:sz w:val="20"/>
                <w:szCs w:val="20"/>
                <w:color w:val="auto"/>
              </w:rPr>
            </w:pPr>
            <w:r>
              <w:rPr>
                <w:rFonts w:ascii="Arial" w:cs="Arial" w:eastAsia="Arial" w:hAnsi="Arial"/>
                <w:sz w:val="17"/>
                <w:szCs w:val="17"/>
                <w:color w:val="auto"/>
              </w:rPr>
              <w:t>8,289,944</w:t>
            </w:r>
          </w:p>
        </w:tc>
        <w:tc>
          <w:tcPr>
            <w:tcW w:w="0" w:type="dxa"/>
            <w:vAlign w:val="bottom"/>
          </w:tcPr>
          <w:p>
            <w:pPr>
              <w:spacing w:after="0"/>
              <w:rPr>
                <w:sz w:val="1"/>
                <w:szCs w:val="1"/>
                <w:color w:val="auto"/>
              </w:rPr>
            </w:pPr>
          </w:p>
        </w:tc>
      </w:tr>
      <w:tr>
        <w:trPr>
          <w:trHeight w:val="209"/>
        </w:trPr>
        <w:tc>
          <w:tcPr>
            <w:tcW w:w="686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7"/>
                <w:szCs w:val="17"/>
                <w:color w:val="auto"/>
              </w:rPr>
              <w:t>Political subdivisions of States, Territories and Possessions</w:t>
            </w: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5,799,104</w:t>
            </w:r>
          </w:p>
        </w:tc>
        <w:tc>
          <w:tcPr>
            <w:tcW w:w="88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38"/>
              <w:spacing w:after="0"/>
              <w:rPr>
                <w:sz w:val="20"/>
                <w:szCs w:val="20"/>
                <w:color w:val="auto"/>
              </w:rPr>
            </w:pPr>
            <w:r>
              <w:rPr>
                <w:rFonts w:ascii="Arial" w:cs="Arial" w:eastAsia="Arial" w:hAnsi="Arial"/>
                <w:sz w:val="17"/>
                <w:szCs w:val="17"/>
                <w:color w:val="auto"/>
              </w:rPr>
              <w:t>5,799,104</w:t>
            </w:r>
          </w:p>
        </w:tc>
        <w:tc>
          <w:tcPr>
            <w:tcW w:w="0" w:type="dxa"/>
            <w:vAlign w:val="bottom"/>
          </w:tcPr>
          <w:p>
            <w:pPr>
              <w:spacing w:after="0"/>
              <w:rPr>
                <w:sz w:val="1"/>
                <w:szCs w:val="1"/>
                <w:color w:val="auto"/>
              </w:rPr>
            </w:pPr>
          </w:p>
        </w:tc>
      </w:tr>
      <w:tr>
        <w:trPr>
          <w:trHeight w:val="209"/>
        </w:trPr>
        <w:tc>
          <w:tcPr>
            <w:tcW w:w="6860" w:type="dxa"/>
            <w:vAlign w:val="bottom"/>
            <w:gridSpan w:val="2"/>
          </w:tcPr>
          <w:p>
            <w:pPr>
              <w:spacing w:after="0"/>
              <w:rPr>
                <w:sz w:val="18"/>
                <w:szCs w:val="18"/>
                <w:color w:val="auto"/>
              </w:rPr>
            </w:pPr>
          </w:p>
        </w:tc>
        <w:tc>
          <w:tcPr>
            <w:tcW w:w="114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7"/>
                <w:szCs w:val="17"/>
                <w:color w:val="auto"/>
              </w:rPr>
              <w:t>Corporate and other bonds industrial and miscellaneous</w:t>
            </w:r>
          </w:p>
        </w:tc>
        <w:tc>
          <w:tcPr>
            <w:tcW w:w="1140" w:type="dxa"/>
            <w:vAlign w:val="bottom"/>
            <w:gridSpan w:val="2"/>
            <w:shd w:val="clear" w:color="auto" w:fill="CCEEFF"/>
          </w:tcPr>
          <w:p>
            <w:pPr>
              <w:jc w:val="right"/>
              <w:ind w:right="18"/>
              <w:spacing w:after="0"/>
              <w:rPr>
                <w:sz w:val="20"/>
                <w:szCs w:val="20"/>
                <w:color w:val="auto"/>
              </w:rPr>
            </w:pPr>
            <w:r>
              <w:rPr>
                <w:rFonts w:ascii="Arial" w:cs="Arial" w:eastAsia="Arial" w:hAnsi="Arial"/>
                <w:sz w:val="17"/>
                <w:szCs w:val="17"/>
                <w:color w:val="auto"/>
              </w:rPr>
              <w:t>121,238,077</w:t>
            </w: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3,715,296</w:t>
            </w:r>
          </w:p>
        </w:tc>
        <w:tc>
          <w:tcPr>
            <w:tcW w:w="88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38"/>
              <w:spacing w:after="0"/>
              <w:rPr>
                <w:sz w:val="20"/>
                <w:szCs w:val="20"/>
                <w:color w:val="auto"/>
              </w:rPr>
            </w:pPr>
            <w:r>
              <w:rPr>
                <w:rFonts w:ascii="Arial" w:cs="Arial" w:eastAsia="Arial" w:hAnsi="Arial"/>
                <w:sz w:val="17"/>
                <w:szCs w:val="17"/>
                <w:color w:val="auto"/>
              </w:rPr>
              <w:t>124,953,373</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6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6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Residential mortgage backed securities</w:t>
            </w: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7"/>
                <w:szCs w:val="17"/>
                <w:color w:val="auto"/>
                <w:w w:val="91"/>
              </w:rPr>
              <w:t>21,434,731</w:t>
            </w:r>
          </w:p>
        </w:tc>
        <w:tc>
          <w:tcPr>
            <w:tcW w:w="88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7"/>
                <w:szCs w:val="17"/>
                <w:color w:val="auto"/>
                <w:w w:val="89"/>
              </w:rPr>
              <w:t>21,434,731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7"/>
                <w:szCs w:val="17"/>
                <w:color w:val="auto"/>
              </w:rPr>
              <w:t>Total fixed maturities</w:t>
            </w:r>
          </w:p>
        </w:tc>
        <w:tc>
          <w:tcPr>
            <w:tcW w:w="1140" w:type="dxa"/>
            <w:vAlign w:val="bottom"/>
            <w:gridSpan w:val="2"/>
          </w:tcPr>
          <w:p>
            <w:pPr>
              <w:jc w:val="right"/>
              <w:ind w:right="18"/>
              <w:spacing w:after="0"/>
              <w:rPr>
                <w:sz w:val="20"/>
                <w:szCs w:val="20"/>
                <w:color w:val="auto"/>
              </w:rPr>
            </w:pPr>
            <w:r>
              <w:rPr>
                <w:rFonts w:ascii="Arial" w:cs="Arial" w:eastAsia="Arial" w:hAnsi="Arial"/>
                <w:sz w:val="17"/>
                <w:szCs w:val="17"/>
                <w:color w:val="auto"/>
              </w:rPr>
              <w:t>129,528,021</w:t>
            </w:r>
          </w:p>
        </w:tc>
        <w:tc>
          <w:tcPr>
            <w:tcW w:w="240" w:type="dxa"/>
            <w:vAlign w:val="bottom"/>
          </w:tcPr>
          <w:p>
            <w:pPr>
              <w:spacing w:after="0"/>
              <w:rPr>
                <w:sz w:val="18"/>
                <w:szCs w:val="18"/>
                <w:color w:val="auto"/>
              </w:rPr>
            </w:pPr>
          </w:p>
        </w:tc>
        <w:tc>
          <w:tcPr>
            <w:tcW w:w="900" w:type="dxa"/>
            <w:vAlign w:val="bottom"/>
          </w:tcPr>
          <w:p>
            <w:pPr>
              <w:jc w:val="right"/>
              <w:ind w:right="18"/>
              <w:spacing w:after="0"/>
              <w:rPr>
                <w:sz w:val="20"/>
                <w:szCs w:val="20"/>
                <w:color w:val="auto"/>
              </w:rPr>
            </w:pPr>
            <w:r>
              <w:rPr>
                <w:rFonts w:ascii="Arial" w:cs="Arial" w:eastAsia="Arial" w:hAnsi="Arial"/>
                <w:sz w:val="17"/>
                <w:szCs w:val="17"/>
                <w:color w:val="auto"/>
                <w:w w:val="91"/>
              </w:rPr>
              <w:t>30,949,131</w:t>
            </w:r>
          </w:p>
        </w:tc>
        <w:tc>
          <w:tcPr>
            <w:tcW w:w="880" w:type="dxa"/>
            <w:vAlign w:val="bottom"/>
          </w:tcPr>
          <w:p>
            <w:pPr>
              <w:spacing w:after="0"/>
              <w:rPr>
                <w:sz w:val="18"/>
                <w:szCs w:val="18"/>
                <w:color w:val="auto"/>
              </w:rPr>
            </w:pPr>
          </w:p>
        </w:tc>
        <w:tc>
          <w:tcPr>
            <w:tcW w:w="26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140" w:type="dxa"/>
            <w:vAlign w:val="bottom"/>
            <w:gridSpan w:val="2"/>
          </w:tcPr>
          <w:p>
            <w:pPr>
              <w:jc w:val="right"/>
              <w:ind w:right="38"/>
              <w:spacing w:after="0"/>
              <w:rPr>
                <w:sz w:val="20"/>
                <w:szCs w:val="20"/>
                <w:color w:val="auto"/>
              </w:rPr>
            </w:pPr>
            <w:r>
              <w:rPr>
                <w:rFonts w:ascii="Arial" w:cs="Arial" w:eastAsia="Arial" w:hAnsi="Arial"/>
                <w:sz w:val="17"/>
                <w:szCs w:val="17"/>
                <w:color w:val="auto"/>
              </w:rPr>
              <w:t>160,477,152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Equity securities</w:t>
            </w: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7"/>
                <w:szCs w:val="17"/>
                <w:color w:val="auto"/>
                <w:w w:val="91"/>
              </w:rPr>
              <w:t>19,663,987</w:t>
            </w: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7"/>
                <w:szCs w:val="17"/>
                <w:color w:val="auto"/>
                <w:w w:val="89"/>
              </w:rPr>
              <w:t>19,663,987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7"/>
                <w:szCs w:val="17"/>
                <w:color w:val="auto"/>
              </w:rPr>
              <w:t>Total investments</w:t>
            </w:r>
          </w:p>
        </w:tc>
        <w:tc>
          <w:tcPr>
            <w:tcW w:w="1140" w:type="dxa"/>
            <w:vAlign w:val="bottom"/>
            <w:tcBorders>
              <w:bottom w:val="single" w:sz="8" w:color="auto"/>
            </w:tcBorders>
            <w:gridSpan w:val="2"/>
          </w:tcPr>
          <w:p>
            <w:pPr>
              <w:jc w:val="right"/>
              <w:ind w:right="18"/>
              <w:spacing w:after="0"/>
              <w:rPr>
                <w:sz w:val="20"/>
                <w:szCs w:val="20"/>
                <w:color w:val="auto"/>
              </w:rPr>
            </w:pPr>
            <w:r>
              <w:rPr>
                <w:rFonts w:ascii="Arial" w:cs="Arial" w:eastAsia="Arial" w:hAnsi="Arial"/>
                <w:sz w:val="17"/>
                <w:szCs w:val="17"/>
                <w:color w:val="auto"/>
                <w:w w:val="98"/>
              </w:rPr>
              <w:t>$149,192,008</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tcPr>
          <w:p>
            <w:pPr>
              <w:jc w:val="right"/>
              <w:ind w:right="18"/>
              <w:spacing w:after="0"/>
              <w:rPr>
                <w:sz w:val="20"/>
                <w:szCs w:val="20"/>
                <w:color w:val="auto"/>
              </w:rPr>
            </w:pPr>
            <w:r>
              <w:rPr>
                <w:rFonts w:ascii="Arial" w:cs="Arial" w:eastAsia="Arial" w:hAnsi="Arial"/>
                <w:sz w:val="17"/>
                <w:szCs w:val="17"/>
                <w:color w:val="auto"/>
                <w:w w:val="91"/>
              </w:rPr>
              <w:t>30,949,131</w:t>
            </w:r>
          </w:p>
        </w:tc>
        <w:tc>
          <w:tcPr>
            <w:tcW w:w="880" w:type="dxa"/>
            <w:vAlign w:val="bottom"/>
            <w:tcBorders>
              <w:bottom w:val="single" w:sz="8" w:color="auto"/>
            </w:tcBorders>
          </w:tcPr>
          <w:p>
            <w:pPr>
              <w:jc w:val="right"/>
              <w:ind w:right="599"/>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gridSpan w:val="2"/>
          </w:tcPr>
          <w:p>
            <w:pPr>
              <w:jc w:val="right"/>
              <w:ind w:right="38"/>
              <w:spacing w:after="0"/>
              <w:rPr>
                <w:sz w:val="20"/>
                <w:szCs w:val="20"/>
                <w:color w:val="auto"/>
              </w:rPr>
            </w:pPr>
            <w:r>
              <w:rPr>
                <w:rFonts w:ascii="Arial" w:cs="Arial" w:eastAsia="Arial" w:hAnsi="Arial"/>
                <w:sz w:val="17"/>
                <w:szCs w:val="17"/>
                <w:color w:val="auto"/>
                <w:w w:val="96"/>
              </w:rPr>
              <w:t>$180,141,139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gridSpan w:val="2"/>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20" w:type="dxa"/>
            <w:vAlign w:val="bottom"/>
          </w:tcPr>
          <w:p>
            <w:pPr>
              <w:spacing w:after="0"/>
              <w:rPr>
                <w:sz w:val="24"/>
                <w:szCs w:val="24"/>
                <w:color w:val="auto"/>
              </w:rPr>
            </w:pPr>
          </w:p>
        </w:tc>
        <w:tc>
          <w:tcPr>
            <w:tcW w:w="68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2"/>
          </w:tcPr>
          <w:p>
            <w:pPr>
              <w:jc w:val="right"/>
              <w:ind w:right="219"/>
              <w:spacing w:after="0"/>
              <w:rPr>
                <w:sz w:val="20"/>
                <w:szCs w:val="20"/>
                <w:color w:val="auto"/>
              </w:rPr>
            </w:pPr>
            <w:r>
              <w:rPr>
                <w:rFonts w:ascii="Arial" w:cs="Arial" w:eastAsia="Arial" w:hAnsi="Arial"/>
                <w:sz w:val="14"/>
                <w:szCs w:val="14"/>
                <w:b w:val="1"/>
                <w:bCs w:val="1"/>
                <w:color w:val="auto"/>
              </w:rPr>
              <w:t>December 31, 2018</w:t>
            </w:r>
          </w:p>
        </w:tc>
        <w:tc>
          <w:tcPr>
            <w:tcW w:w="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8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58"/>
              <w:spacing w:after="0"/>
              <w:rPr>
                <w:sz w:val="20"/>
                <w:szCs w:val="20"/>
                <w:color w:val="auto"/>
              </w:rPr>
            </w:pPr>
            <w:r>
              <w:rPr>
                <w:rFonts w:ascii="Arial" w:cs="Arial" w:eastAsia="Arial" w:hAnsi="Arial"/>
                <w:sz w:val="14"/>
                <w:szCs w:val="14"/>
                <w:b w:val="1"/>
                <w:bCs w:val="1"/>
                <w:color w:val="auto"/>
              </w:rPr>
              <w:t>Level 1</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58"/>
              <w:spacing w:after="0"/>
              <w:rPr>
                <w:sz w:val="20"/>
                <w:szCs w:val="20"/>
                <w:color w:val="auto"/>
              </w:rPr>
            </w:pPr>
            <w:r>
              <w:rPr>
                <w:rFonts w:ascii="Arial" w:cs="Arial" w:eastAsia="Arial" w:hAnsi="Arial"/>
                <w:sz w:val="14"/>
                <w:szCs w:val="14"/>
                <w:b w:val="1"/>
                <w:bCs w:val="1"/>
                <w:color w:val="auto"/>
              </w:rPr>
              <w:t>Level 2</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3</w:t>
            </w:r>
          </w:p>
        </w:tc>
        <w:tc>
          <w:tcPr>
            <w:tcW w:w="2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470"/>
        </w:trPr>
        <w:tc>
          <w:tcPr>
            <w:tcW w:w="6860" w:type="dxa"/>
            <w:vAlign w:val="bottom"/>
            <w:gridSpan w:val="2"/>
          </w:tcPr>
          <w:p>
            <w:pPr>
              <w:spacing w:after="0"/>
              <w:rPr>
                <w:sz w:val="20"/>
                <w:szCs w:val="20"/>
                <w:color w:val="auto"/>
              </w:rPr>
            </w:pPr>
            <w:r>
              <w:rPr>
                <w:rFonts w:ascii="Arial" w:cs="Arial" w:eastAsia="Arial" w:hAnsi="Arial"/>
                <w:sz w:val="17"/>
                <w:szCs w:val="17"/>
                <w:b w:val="1"/>
                <w:bCs w:val="1"/>
                <w:color w:val="auto"/>
              </w:rPr>
              <w:t>Fixed-maturity securities available-for-sale</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7"/>
                <w:szCs w:val="17"/>
                <w:color w:val="auto"/>
              </w:rPr>
              <w:t>U.S. Treasury securities and obligations of U.S. government corporations and agencies</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8,220,381</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ind w:right="599"/>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ind w:right="38"/>
              <w:spacing w:after="0"/>
              <w:rPr>
                <w:sz w:val="20"/>
                <w:szCs w:val="20"/>
                <w:color w:val="auto"/>
              </w:rPr>
            </w:pPr>
            <w:r>
              <w:rPr>
                <w:rFonts w:ascii="Arial" w:cs="Arial" w:eastAsia="Arial" w:hAnsi="Arial"/>
                <w:sz w:val="17"/>
                <w:szCs w:val="17"/>
                <w:color w:val="auto"/>
              </w:rPr>
              <w:t>8,220,381</w:t>
            </w:r>
          </w:p>
        </w:tc>
        <w:tc>
          <w:tcPr>
            <w:tcW w:w="0" w:type="dxa"/>
            <w:vAlign w:val="bottom"/>
          </w:tcPr>
          <w:p>
            <w:pPr>
              <w:spacing w:after="0"/>
              <w:rPr>
                <w:sz w:val="1"/>
                <w:szCs w:val="1"/>
                <w:color w:val="auto"/>
              </w:rPr>
            </w:pPr>
          </w:p>
        </w:tc>
      </w:tr>
      <w:tr>
        <w:trPr>
          <w:trHeight w:val="209"/>
        </w:trPr>
        <w:tc>
          <w:tcPr>
            <w:tcW w:w="686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7"/>
                <w:szCs w:val="17"/>
                <w:color w:val="auto"/>
              </w:rPr>
              <w:t>Political subdivisions of States, Territories and Possessions</w:t>
            </w: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6,341,608</w:t>
            </w:r>
          </w:p>
        </w:tc>
        <w:tc>
          <w:tcPr>
            <w:tcW w:w="88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38"/>
              <w:spacing w:after="0"/>
              <w:rPr>
                <w:sz w:val="20"/>
                <w:szCs w:val="20"/>
                <w:color w:val="auto"/>
              </w:rPr>
            </w:pPr>
            <w:r>
              <w:rPr>
                <w:rFonts w:ascii="Arial" w:cs="Arial" w:eastAsia="Arial" w:hAnsi="Arial"/>
                <w:sz w:val="17"/>
                <w:szCs w:val="17"/>
                <w:color w:val="auto"/>
              </w:rPr>
              <w:t>6,341,608</w:t>
            </w:r>
          </w:p>
        </w:tc>
        <w:tc>
          <w:tcPr>
            <w:tcW w:w="0" w:type="dxa"/>
            <w:vAlign w:val="bottom"/>
          </w:tcPr>
          <w:p>
            <w:pPr>
              <w:spacing w:after="0"/>
              <w:rPr>
                <w:sz w:val="1"/>
                <w:szCs w:val="1"/>
                <w:color w:val="auto"/>
              </w:rPr>
            </w:pPr>
          </w:p>
        </w:tc>
      </w:tr>
      <w:tr>
        <w:trPr>
          <w:trHeight w:val="209"/>
        </w:trPr>
        <w:tc>
          <w:tcPr>
            <w:tcW w:w="6860" w:type="dxa"/>
            <w:vAlign w:val="bottom"/>
            <w:gridSpan w:val="2"/>
          </w:tcPr>
          <w:p>
            <w:pPr>
              <w:spacing w:after="0"/>
              <w:rPr>
                <w:sz w:val="18"/>
                <w:szCs w:val="18"/>
                <w:color w:val="auto"/>
              </w:rPr>
            </w:pPr>
          </w:p>
        </w:tc>
        <w:tc>
          <w:tcPr>
            <w:tcW w:w="114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7"/>
                <w:szCs w:val="17"/>
                <w:color w:val="auto"/>
              </w:rPr>
              <w:t>Corporate and other bonds industrial and miscellaneous</w:t>
            </w:r>
          </w:p>
        </w:tc>
        <w:tc>
          <w:tcPr>
            <w:tcW w:w="1140" w:type="dxa"/>
            <w:vAlign w:val="bottom"/>
            <w:gridSpan w:val="2"/>
            <w:shd w:val="clear" w:color="auto" w:fill="CCEEFF"/>
          </w:tcPr>
          <w:p>
            <w:pPr>
              <w:jc w:val="right"/>
              <w:ind w:right="18"/>
              <w:spacing w:after="0"/>
              <w:rPr>
                <w:sz w:val="20"/>
                <w:szCs w:val="20"/>
                <w:color w:val="auto"/>
              </w:rPr>
            </w:pPr>
            <w:r>
              <w:rPr>
                <w:rFonts w:ascii="Arial" w:cs="Arial" w:eastAsia="Arial" w:hAnsi="Arial"/>
                <w:sz w:val="17"/>
                <w:szCs w:val="17"/>
                <w:color w:val="auto"/>
              </w:rPr>
              <w:t>112,076,270</w:t>
            </w: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3,674,023</w:t>
            </w:r>
          </w:p>
        </w:tc>
        <w:tc>
          <w:tcPr>
            <w:tcW w:w="88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38"/>
              <w:spacing w:after="0"/>
              <w:rPr>
                <w:sz w:val="20"/>
                <w:szCs w:val="20"/>
                <w:color w:val="auto"/>
              </w:rPr>
            </w:pPr>
            <w:r>
              <w:rPr>
                <w:rFonts w:ascii="Arial" w:cs="Arial" w:eastAsia="Arial" w:hAnsi="Arial"/>
                <w:sz w:val="17"/>
                <w:szCs w:val="17"/>
                <w:color w:val="auto"/>
              </w:rPr>
              <w:t>115,750,293</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6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6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Residential mortgage backed securities</w:t>
            </w: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7"/>
                <w:szCs w:val="17"/>
                <w:color w:val="auto"/>
                <w:w w:val="91"/>
              </w:rPr>
              <w:t>21,465,234</w:t>
            </w:r>
          </w:p>
        </w:tc>
        <w:tc>
          <w:tcPr>
            <w:tcW w:w="88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7"/>
                <w:szCs w:val="17"/>
                <w:color w:val="auto"/>
                <w:w w:val="89"/>
              </w:rPr>
              <w:t>21,465,234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7"/>
                <w:szCs w:val="17"/>
                <w:color w:val="auto"/>
              </w:rPr>
              <w:t>Total fixed maturities</w:t>
            </w:r>
          </w:p>
        </w:tc>
        <w:tc>
          <w:tcPr>
            <w:tcW w:w="1140" w:type="dxa"/>
            <w:vAlign w:val="bottom"/>
            <w:gridSpan w:val="2"/>
          </w:tcPr>
          <w:p>
            <w:pPr>
              <w:jc w:val="right"/>
              <w:ind w:right="18"/>
              <w:spacing w:after="0"/>
              <w:rPr>
                <w:sz w:val="20"/>
                <w:szCs w:val="20"/>
                <w:color w:val="auto"/>
              </w:rPr>
            </w:pPr>
            <w:r>
              <w:rPr>
                <w:rFonts w:ascii="Arial" w:cs="Arial" w:eastAsia="Arial" w:hAnsi="Arial"/>
                <w:sz w:val="17"/>
                <w:szCs w:val="17"/>
                <w:color w:val="auto"/>
              </w:rPr>
              <w:t>120,296,651</w:t>
            </w:r>
          </w:p>
        </w:tc>
        <w:tc>
          <w:tcPr>
            <w:tcW w:w="240" w:type="dxa"/>
            <w:vAlign w:val="bottom"/>
          </w:tcPr>
          <w:p>
            <w:pPr>
              <w:spacing w:after="0"/>
              <w:rPr>
                <w:sz w:val="18"/>
                <w:szCs w:val="18"/>
                <w:color w:val="auto"/>
              </w:rPr>
            </w:pPr>
          </w:p>
        </w:tc>
        <w:tc>
          <w:tcPr>
            <w:tcW w:w="900" w:type="dxa"/>
            <w:vAlign w:val="bottom"/>
          </w:tcPr>
          <w:p>
            <w:pPr>
              <w:jc w:val="right"/>
              <w:ind w:right="18"/>
              <w:spacing w:after="0"/>
              <w:rPr>
                <w:sz w:val="20"/>
                <w:szCs w:val="20"/>
                <w:color w:val="auto"/>
              </w:rPr>
            </w:pPr>
            <w:r>
              <w:rPr>
                <w:rFonts w:ascii="Arial" w:cs="Arial" w:eastAsia="Arial" w:hAnsi="Arial"/>
                <w:sz w:val="17"/>
                <w:szCs w:val="17"/>
                <w:color w:val="auto"/>
                <w:w w:val="91"/>
              </w:rPr>
              <w:t>31,480,865</w:t>
            </w:r>
          </w:p>
        </w:tc>
        <w:tc>
          <w:tcPr>
            <w:tcW w:w="880" w:type="dxa"/>
            <w:vAlign w:val="bottom"/>
          </w:tcPr>
          <w:p>
            <w:pPr>
              <w:spacing w:after="0"/>
              <w:rPr>
                <w:sz w:val="18"/>
                <w:szCs w:val="18"/>
                <w:color w:val="auto"/>
              </w:rPr>
            </w:pPr>
          </w:p>
        </w:tc>
        <w:tc>
          <w:tcPr>
            <w:tcW w:w="26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140" w:type="dxa"/>
            <w:vAlign w:val="bottom"/>
            <w:gridSpan w:val="2"/>
          </w:tcPr>
          <w:p>
            <w:pPr>
              <w:jc w:val="right"/>
              <w:ind w:right="38"/>
              <w:spacing w:after="0"/>
              <w:rPr>
                <w:sz w:val="20"/>
                <w:szCs w:val="20"/>
                <w:color w:val="auto"/>
              </w:rPr>
            </w:pPr>
            <w:r>
              <w:rPr>
                <w:rFonts w:ascii="Arial" w:cs="Arial" w:eastAsia="Arial" w:hAnsi="Arial"/>
                <w:sz w:val="17"/>
                <w:szCs w:val="17"/>
                <w:color w:val="auto"/>
              </w:rPr>
              <w:t>151,777,516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Equity securities</w:t>
            </w: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7"/>
                <w:szCs w:val="17"/>
                <w:color w:val="auto"/>
                <w:w w:val="91"/>
              </w:rPr>
              <w:t>16,572,616</w:t>
            </w: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7"/>
                <w:szCs w:val="17"/>
                <w:color w:val="auto"/>
                <w:w w:val="89"/>
              </w:rPr>
              <w:t>16,572,616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7"/>
                <w:szCs w:val="17"/>
                <w:color w:val="auto"/>
              </w:rPr>
              <w:t>Total investments</w:t>
            </w:r>
          </w:p>
        </w:tc>
        <w:tc>
          <w:tcPr>
            <w:tcW w:w="1140" w:type="dxa"/>
            <w:vAlign w:val="bottom"/>
            <w:tcBorders>
              <w:bottom w:val="single" w:sz="8" w:color="auto"/>
            </w:tcBorders>
            <w:gridSpan w:val="2"/>
          </w:tcPr>
          <w:p>
            <w:pPr>
              <w:jc w:val="right"/>
              <w:ind w:right="18"/>
              <w:spacing w:after="0"/>
              <w:rPr>
                <w:sz w:val="20"/>
                <w:szCs w:val="20"/>
                <w:color w:val="auto"/>
              </w:rPr>
            </w:pPr>
            <w:r>
              <w:rPr>
                <w:rFonts w:ascii="Arial" w:cs="Arial" w:eastAsia="Arial" w:hAnsi="Arial"/>
                <w:sz w:val="17"/>
                <w:szCs w:val="17"/>
                <w:color w:val="auto"/>
                <w:w w:val="98"/>
              </w:rPr>
              <w:t>$136,869,267</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tcPr>
          <w:p>
            <w:pPr>
              <w:jc w:val="right"/>
              <w:ind w:right="18"/>
              <w:spacing w:after="0"/>
              <w:rPr>
                <w:sz w:val="20"/>
                <w:szCs w:val="20"/>
                <w:color w:val="auto"/>
              </w:rPr>
            </w:pPr>
            <w:r>
              <w:rPr>
                <w:rFonts w:ascii="Arial" w:cs="Arial" w:eastAsia="Arial" w:hAnsi="Arial"/>
                <w:sz w:val="17"/>
                <w:szCs w:val="17"/>
                <w:color w:val="auto"/>
                <w:w w:val="91"/>
              </w:rPr>
              <w:t>31,480,865</w:t>
            </w:r>
          </w:p>
        </w:tc>
        <w:tc>
          <w:tcPr>
            <w:tcW w:w="880" w:type="dxa"/>
            <w:vAlign w:val="bottom"/>
            <w:tcBorders>
              <w:bottom w:val="single" w:sz="8" w:color="auto"/>
            </w:tcBorders>
          </w:tcPr>
          <w:p>
            <w:pPr>
              <w:jc w:val="right"/>
              <w:ind w:right="599"/>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gridSpan w:val="2"/>
          </w:tcPr>
          <w:p>
            <w:pPr>
              <w:jc w:val="right"/>
              <w:ind w:right="38"/>
              <w:spacing w:after="0"/>
              <w:rPr>
                <w:sz w:val="20"/>
                <w:szCs w:val="20"/>
                <w:color w:val="auto"/>
              </w:rPr>
            </w:pPr>
            <w:r>
              <w:rPr>
                <w:rFonts w:ascii="Arial" w:cs="Arial" w:eastAsia="Arial" w:hAnsi="Arial"/>
                <w:sz w:val="17"/>
                <w:szCs w:val="17"/>
                <w:color w:val="auto"/>
                <w:w w:val="96"/>
              </w:rPr>
              <w:t>$168,350,132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840" w:type="dxa"/>
            <w:vAlign w:val="bottom"/>
            <w:vMerge w:val="restart"/>
          </w:tcPr>
          <w:p>
            <w:pPr>
              <w:jc w:val="right"/>
              <w:ind w:right="975"/>
              <w:spacing w:after="0"/>
              <w:rPr>
                <w:sz w:val="20"/>
                <w:szCs w:val="20"/>
                <w:color w:val="auto"/>
              </w:rPr>
            </w:pPr>
            <w:r>
              <w:rPr>
                <w:rFonts w:ascii="Arial" w:cs="Arial" w:eastAsia="Arial" w:hAnsi="Arial"/>
                <w:sz w:val="17"/>
                <w:szCs w:val="17"/>
                <w:color w:val="auto"/>
              </w:rPr>
              <w:t>20</w:t>
            </w: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7"/>
        </w:trPr>
        <w:tc>
          <w:tcPr>
            <w:tcW w:w="20" w:type="dxa"/>
            <w:vAlign w:val="bottom"/>
            <w:vMerge w:val="continue"/>
          </w:tcPr>
          <w:p>
            <w:pPr>
              <w:spacing w:after="0"/>
              <w:rPr>
                <w:sz w:val="24"/>
                <w:szCs w:val="24"/>
                <w:color w:val="auto"/>
              </w:rPr>
            </w:pPr>
          </w:p>
        </w:tc>
        <w:tc>
          <w:tcPr>
            <w:tcW w:w="6840" w:type="dxa"/>
            <w:vAlign w:val="bottom"/>
            <w:tcBorders>
              <w:bottom w:val="single" w:sz="8" w:color="auto"/>
            </w:tcBorders>
            <w:vMerge w:val="continue"/>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23" w:right="239" w:bottom="1440" w:gutter="0" w:footer="0" w:header="0"/>
        </w:sectPr>
      </w:pPr>
    </w:p>
    <w:bookmarkStart w:id="20" w:name="page21"/>
    <w:bookmarkEnd w:id="20"/>
    <w:p>
      <w:pPr>
        <w:jc w:val="both"/>
        <w:spacing w:after="0" w:line="265" w:lineRule="auto"/>
        <w:rPr>
          <w:sz w:val="20"/>
          <w:szCs w:val="20"/>
          <w:color w:val="auto"/>
        </w:rPr>
      </w:pPr>
      <w:r>
        <w:rPr>
          <w:rFonts w:ascii="Arial" w:cs="Arial" w:eastAsia="Arial" w:hAnsi="Arial"/>
          <w:sz w:val="17"/>
          <w:szCs w:val="17"/>
          <w:color w:val="auto"/>
        </w:rPr>
        <w:t>Pursuant to ASC 820 “Fair Value Measurement,” an entity is permitted, as a practical expedient, to estimate the fair value of an investment within the scope of ASC 820 using the net asset value (“NAV”) per share of the investment. The following table sets forth the Company’s investment in a hedge fund investment measured at NAV per share as of March 31, 2019 and December 31, 2018. The Company measures this investment at fair value on a recurring basis. Fair value using NAV per share is as follows as of the dates indicated:</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ind w:left="80"/>
              <w:spacing w:after="0"/>
              <w:rPr>
                <w:sz w:val="20"/>
                <w:szCs w:val="20"/>
                <w:color w:val="auto"/>
              </w:rPr>
            </w:pPr>
            <w:r>
              <w:rPr>
                <w:rFonts w:ascii="Arial" w:cs="Arial" w:eastAsia="Arial" w:hAnsi="Arial"/>
                <w:sz w:val="14"/>
                <w:szCs w:val="14"/>
                <w:b w:val="1"/>
                <w:bCs w:val="1"/>
                <w:color w:val="auto"/>
              </w:rPr>
              <w:t>March 31,</w:t>
            </w:r>
          </w:p>
        </w:tc>
        <w:tc>
          <w:tcPr>
            <w:tcW w:w="260" w:type="dxa"/>
            <w:vAlign w:val="bottom"/>
          </w:tcPr>
          <w:p>
            <w:pPr>
              <w:spacing w:after="0"/>
              <w:rPr>
                <w:sz w:val="14"/>
                <w:szCs w:val="14"/>
                <w:color w:val="auto"/>
              </w:rPr>
            </w:pPr>
          </w:p>
        </w:tc>
        <w:tc>
          <w:tcPr>
            <w:tcW w:w="1100" w:type="dxa"/>
            <w:vAlign w:val="bottom"/>
          </w:tcPr>
          <w:p>
            <w:pPr>
              <w:ind w:left="20"/>
              <w:spacing w:after="0"/>
              <w:rPr>
                <w:sz w:val="20"/>
                <w:szCs w:val="20"/>
                <w:color w:val="auto"/>
              </w:rPr>
            </w:pPr>
            <w:r>
              <w:rPr>
                <w:rFonts w:ascii="Arial" w:cs="Arial" w:eastAsia="Arial" w:hAnsi="Arial"/>
                <w:sz w:val="14"/>
                <w:szCs w:val="14"/>
                <w:b w:val="1"/>
                <w:bCs w:val="1"/>
                <w:color w:val="auto"/>
              </w:rPr>
              <w:t>December 31,</w:t>
            </w:r>
          </w:p>
        </w:tc>
      </w:tr>
      <w:tr>
        <w:trPr>
          <w:trHeight w:val="177"/>
        </w:trPr>
        <w:tc>
          <w:tcPr>
            <w:tcW w:w="86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Category</w:t>
            </w: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2018</w:t>
            </w:r>
          </w:p>
        </w:tc>
      </w:tr>
      <w:tr>
        <w:trPr>
          <w:trHeight w:val="209"/>
        </w:trPr>
        <w:tc>
          <w:tcPr>
            <w:tcW w:w="8680" w:type="dxa"/>
            <w:vAlign w:val="bottom"/>
            <w:gridSpan w:val="2"/>
          </w:tcPr>
          <w:p>
            <w:pPr>
              <w:spacing w:after="0"/>
              <w:rPr>
                <w:sz w:val="20"/>
                <w:szCs w:val="20"/>
                <w:color w:val="auto"/>
              </w:rPr>
            </w:pPr>
            <w:r>
              <w:rPr>
                <w:rFonts w:ascii="Arial" w:cs="Arial" w:eastAsia="Arial" w:hAnsi="Arial"/>
                <w:sz w:val="17"/>
                <w:szCs w:val="17"/>
                <w:color w:val="auto"/>
              </w:rPr>
              <w:t>Other Investments:</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8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Hedge fund</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7"/>
                <w:szCs w:val="17"/>
                <w:color w:val="auto"/>
              </w:rPr>
              <w:t>2,147,945</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7"/>
                <w:szCs w:val="17"/>
                <w:color w:val="auto"/>
              </w:rPr>
              <w:t>1,855,225</w:t>
            </w:r>
          </w:p>
        </w:tc>
      </w:tr>
      <w:tr>
        <w:trPr>
          <w:trHeight w:val="209"/>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7"/>
                <w:szCs w:val="17"/>
                <w:color w:val="auto"/>
              </w:rPr>
              <w:t>Total</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tcPr>
          <w:p>
            <w:pPr>
              <w:ind w:left="240"/>
              <w:spacing w:after="0"/>
              <w:rPr>
                <w:sz w:val="20"/>
                <w:szCs w:val="20"/>
                <w:color w:val="auto"/>
              </w:rPr>
            </w:pPr>
            <w:r>
              <w:rPr>
                <w:rFonts w:ascii="Arial" w:cs="Arial" w:eastAsia="Arial" w:hAnsi="Arial"/>
                <w:sz w:val="17"/>
                <w:szCs w:val="17"/>
                <w:color w:val="auto"/>
              </w:rPr>
              <w:t>2,147,945</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tcPr>
          <w:p>
            <w:pPr>
              <w:ind w:left="280"/>
              <w:spacing w:after="0"/>
              <w:rPr>
                <w:sz w:val="20"/>
                <w:szCs w:val="20"/>
                <w:color w:val="auto"/>
              </w:rPr>
            </w:pPr>
            <w:r>
              <w:rPr>
                <w:rFonts w:ascii="Arial" w:cs="Arial" w:eastAsia="Arial" w:hAnsi="Arial"/>
                <w:sz w:val="17"/>
                <w:szCs w:val="17"/>
                <w:color w:val="auto"/>
              </w:rPr>
              <w:t>1,855,225</w:t>
            </w:r>
          </w:p>
        </w:tc>
      </w:tr>
      <w:tr>
        <w:trPr>
          <w:trHeight w:val="20"/>
        </w:trPr>
        <w:tc>
          <w:tcPr>
            <w:tcW w:w="20" w:type="dxa"/>
            <w:vAlign w:val="bottom"/>
          </w:tcPr>
          <w:p>
            <w:pPr>
              <w:spacing w:after="0" w:line="20" w:lineRule="exact"/>
              <w:rPr>
                <w:sz w:val="1"/>
                <w:szCs w:val="1"/>
                <w:color w:val="auto"/>
              </w:rPr>
            </w:pPr>
          </w:p>
        </w:tc>
        <w:tc>
          <w:tcPr>
            <w:tcW w:w="86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investment is generally redeemable with at least 45 days prior written notice. The hedge fund investment is accounted for as a limited partnership by the Company. Revenue is earned based upon the Company’s allocated share of the partnership's changes in unrealized gains and losses to its partners. Such amounts have been recorded in the condensed consolidated statements of operations and comprehensive (loss) within net gains (losses) on investments.</w:t>
      </w:r>
    </w:p>
    <w:p>
      <w:pPr>
        <w:spacing w:after="0" w:line="163" w:lineRule="exact"/>
        <w:rPr>
          <w:sz w:val="20"/>
          <w:szCs w:val="20"/>
          <w:color w:val="auto"/>
        </w:rPr>
      </w:pPr>
    </w:p>
    <w:p>
      <w:pPr>
        <w:jc w:val="both"/>
        <w:spacing w:after="0" w:line="281" w:lineRule="auto"/>
        <w:rPr>
          <w:sz w:val="20"/>
          <w:szCs w:val="20"/>
          <w:color w:val="auto"/>
        </w:rPr>
      </w:pPr>
      <w:r>
        <w:rPr>
          <w:rFonts w:ascii="Arial" w:cs="Arial" w:eastAsia="Arial" w:hAnsi="Arial"/>
          <w:sz w:val="17"/>
          <w:szCs w:val="17"/>
          <w:color w:val="auto"/>
        </w:rPr>
        <w:t>The estimated fair value and the level of the fair value hierarchy of the Company’s long-term debt as of March 31, 2019 and December 31, 2018 not measured at fair value is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2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gridSpan w:val="2"/>
          </w:tcPr>
          <w:p>
            <w:pPr>
              <w:jc w:val="right"/>
              <w:ind w:right="322"/>
              <w:spacing w:after="0"/>
              <w:rPr>
                <w:sz w:val="20"/>
                <w:szCs w:val="20"/>
                <w:color w:val="auto"/>
              </w:rPr>
            </w:pPr>
            <w:r>
              <w:rPr>
                <w:rFonts w:ascii="Arial" w:cs="Arial" w:eastAsia="Arial" w:hAnsi="Arial"/>
                <w:sz w:val="14"/>
                <w:szCs w:val="14"/>
                <w:b w:val="1"/>
                <w:bCs w:val="1"/>
                <w:color w:val="auto"/>
              </w:rPr>
              <w:t>March 31, 2019</w:t>
            </w:r>
          </w:p>
        </w:tc>
        <w:tc>
          <w:tcPr>
            <w:tcW w:w="2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Level 1</w:t>
            </w: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Level 2</w:t>
            </w:r>
          </w:p>
        </w:tc>
        <w:tc>
          <w:tcPr>
            <w:tcW w:w="88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Level 3</w:t>
            </w: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233"/>
        </w:trPr>
        <w:tc>
          <w:tcPr>
            <w:tcW w:w="3600" w:type="dxa"/>
            <w:vAlign w:val="bottom"/>
            <w:gridSpan w:val="2"/>
          </w:tcPr>
          <w:p>
            <w:pPr>
              <w:spacing w:after="0"/>
              <w:rPr>
                <w:sz w:val="20"/>
                <w:szCs w:val="20"/>
                <w:color w:val="auto"/>
              </w:rPr>
            </w:pPr>
            <w:r>
              <w:rPr>
                <w:rFonts w:ascii="Arial" w:cs="Arial" w:eastAsia="Arial" w:hAnsi="Arial"/>
                <w:sz w:val="17"/>
                <w:szCs w:val="17"/>
                <w:b w:val="1"/>
                <w:bCs w:val="1"/>
                <w:color w:val="auto"/>
              </w:rPr>
              <w:t>Long-term debt</w:t>
            </w:r>
          </w:p>
        </w:tc>
        <w:tc>
          <w:tcPr>
            <w:tcW w:w="3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20" w:type="dxa"/>
            <w:vAlign w:val="bottom"/>
            <w:vMerge w:val="restart"/>
          </w:tcPr>
          <w:p>
            <w:pPr>
              <w:spacing w:after="0"/>
              <w:rPr>
                <w:sz w:val="20"/>
                <w:szCs w:val="20"/>
                <w:color w:val="auto"/>
              </w:rPr>
            </w:pPr>
          </w:p>
        </w:tc>
        <w:tc>
          <w:tcPr>
            <w:tcW w:w="358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7"/>
                <w:szCs w:val="17"/>
                <w:color w:val="auto"/>
              </w:rPr>
              <w:t>Senior Notes due 2022</w:t>
            </w:r>
          </w:p>
        </w:tc>
        <w:tc>
          <w:tcPr>
            <w:tcW w:w="4140" w:type="dxa"/>
            <w:vAlign w:val="bottom"/>
            <w:gridSpan w:val="2"/>
            <w:shd w:val="clear" w:color="auto" w:fill="CCEEFF"/>
          </w:tcPr>
          <w:p>
            <w:pPr>
              <w:jc w:val="right"/>
              <w:ind w:right="608"/>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2"/>
              </w:rPr>
              <w:t>$ 28,485,329</w:t>
            </w:r>
          </w:p>
        </w:tc>
        <w:tc>
          <w:tcPr>
            <w:tcW w:w="880" w:type="dxa"/>
            <w:vAlign w:val="bottom"/>
            <w:shd w:val="clear" w:color="auto" w:fill="CCEEFF"/>
          </w:tcPr>
          <w:p>
            <w:pPr>
              <w:jc w:val="right"/>
              <w:ind w:right="602"/>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0"/>
              </w:rPr>
              <w:t>$ 28,485,329</w:t>
            </w:r>
          </w:p>
        </w:tc>
        <w:tc>
          <w:tcPr>
            <w:tcW w:w="0" w:type="dxa"/>
            <w:vAlign w:val="bottom"/>
          </w:tcPr>
          <w:p>
            <w:pPr>
              <w:spacing w:after="0"/>
              <w:rPr>
                <w:sz w:val="1"/>
                <w:szCs w:val="1"/>
                <w:color w:val="auto"/>
              </w:rPr>
            </w:pPr>
          </w:p>
        </w:tc>
      </w:tr>
      <w:tr>
        <w:trPr>
          <w:trHeight w:val="634"/>
        </w:trPr>
        <w:tc>
          <w:tcPr>
            <w:tcW w:w="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2"/>
          </w:tcPr>
          <w:p>
            <w:pPr>
              <w:jc w:val="right"/>
              <w:ind w:right="222"/>
              <w:spacing w:after="0"/>
              <w:rPr>
                <w:sz w:val="20"/>
                <w:szCs w:val="20"/>
                <w:color w:val="auto"/>
              </w:rPr>
            </w:pPr>
            <w:r>
              <w:rPr>
                <w:rFonts w:ascii="Arial" w:cs="Arial" w:eastAsia="Arial" w:hAnsi="Arial"/>
                <w:sz w:val="14"/>
                <w:szCs w:val="14"/>
                <w:b w:val="1"/>
                <w:bCs w:val="1"/>
                <w:color w:val="auto"/>
              </w:rPr>
              <w:t>December 31, 2018</w:t>
            </w:r>
          </w:p>
        </w:tc>
        <w:tc>
          <w:tcPr>
            <w:tcW w:w="2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Level 1</w:t>
            </w: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Level 2</w:t>
            </w:r>
          </w:p>
        </w:tc>
        <w:tc>
          <w:tcPr>
            <w:tcW w:w="88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Level 3</w:t>
            </w: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233"/>
        </w:trPr>
        <w:tc>
          <w:tcPr>
            <w:tcW w:w="3600" w:type="dxa"/>
            <w:vAlign w:val="bottom"/>
            <w:gridSpan w:val="2"/>
          </w:tcPr>
          <w:p>
            <w:pPr>
              <w:spacing w:after="0"/>
              <w:rPr>
                <w:sz w:val="20"/>
                <w:szCs w:val="20"/>
                <w:color w:val="auto"/>
              </w:rPr>
            </w:pPr>
            <w:r>
              <w:rPr>
                <w:rFonts w:ascii="Arial" w:cs="Arial" w:eastAsia="Arial" w:hAnsi="Arial"/>
                <w:sz w:val="17"/>
                <w:szCs w:val="17"/>
                <w:b w:val="1"/>
                <w:bCs w:val="1"/>
                <w:color w:val="auto"/>
              </w:rPr>
              <w:t>Long-term debt</w:t>
            </w:r>
          </w:p>
        </w:tc>
        <w:tc>
          <w:tcPr>
            <w:tcW w:w="3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20" w:type="dxa"/>
            <w:vAlign w:val="bottom"/>
            <w:vMerge w:val="restart"/>
          </w:tcPr>
          <w:p>
            <w:pPr>
              <w:spacing w:after="0"/>
              <w:rPr>
                <w:sz w:val="20"/>
                <w:szCs w:val="20"/>
                <w:color w:val="auto"/>
              </w:rPr>
            </w:pPr>
          </w:p>
        </w:tc>
        <w:tc>
          <w:tcPr>
            <w:tcW w:w="358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7"/>
                <w:szCs w:val="17"/>
                <w:color w:val="auto"/>
              </w:rPr>
              <w:t>Senior Notes due 2022</w:t>
            </w:r>
          </w:p>
        </w:tc>
        <w:tc>
          <w:tcPr>
            <w:tcW w:w="4140" w:type="dxa"/>
            <w:vAlign w:val="bottom"/>
            <w:gridSpan w:val="2"/>
            <w:shd w:val="clear" w:color="auto" w:fill="CCEEFF"/>
          </w:tcPr>
          <w:p>
            <w:pPr>
              <w:jc w:val="right"/>
              <w:ind w:right="608"/>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2"/>
              </w:rPr>
              <w:t>$ 28,521,734</w:t>
            </w:r>
          </w:p>
        </w:tc>
        <w:tc>
          <w:tcPr>
            <w:tcW w:w="880" w:type="dxa"/>
            <w:vAlign w:val="bottom"/>
            <w:shd w:val="clear" w:color="auto" w:fill="CCEEFF"/>
          </w:tcPr>
          <w:p>
            <w:pPr>
              <w:jc w:val="right"/>
              <w:ind w:right="602"/>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0"/>
              </w:rPr>
              <w:t>$ 28,521,734</w:t>
            </w:r>
          </w:p>
        </w:tc>
        <w:tc>
          <w:tcPr>
            <w:tcW w:w="0" w:type="dxa"/>
            <w:vAlign w:val="bottom"/>
          </w:tcPr>
          <w:p>
            <w:pPr>
              <w:spacing w:after="0"/>
              <w:rPr>
                <w:sz w:val="1"/>
                <w:szCs w:val="1"/>
                <w:color w:val="auto"/>
              </w:rPr>
            </w:pPr>
          </w:p>
        </w:tc>
      </w:tr>
      <w:tr>
        <w:trPr>
          <w:trHeight w:val="574"/>
        </w:trPr>
        <w:tc>
          <w:tcPr>
            <w:tcW w:w="20" w:type="dxa"/>
            <w:vAlign w:val="bottom"/>
          </w:tcPr>
          <w:p>
            <w:pPr>
              <w:spacing w:after="0"/>
              <w:rPr>
                <w:sz w:val="24"/>
                <w:szCs w:val="24"/>
                <w:color w:val="auto"/>
              </w:rPr>
            </w:pPr>
          </w:p>
        </w:tc>
        <w:tc>
          <w:tcPr>
            <w:tcW w:w="358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jc w:val="right"/>
              <w:ind w:right="975"/>
              <w:spacing w:after="0"/>
              <w:rPr>
                <w:sz w:val="20"/>
                <w:szCs w:val="20"/>
                <w:color w:val="auto"/>
              </w:rPr>
            </w:pPr>
            <w:r>
              <w:rPr>
                <w:rFonts w:ascii="Arial" w:cs="Arial" w:eastAsia="Arial" w:hAnsi="Arial"/>
                <w:sz w:val="17"/>
                <w:szCs w:val="17"/>
                <w:color w:val="auto"/>
              </w:rPr>
              <w:t>21</w:t>
            </w:r>
          </w:p>
        </w:tc>
        <w:tc>
          <w:tcPr>
            <w:tcW w:w="8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97" w:right="239" w:bottom="1440" w:gutter="0" w:footer="0" w:header="0"/>
        </w:sectPr>
      </w:pPr>
    </w:p>
    <w:bookmarkStart w:id="21" w:name="page22"/>
    <w:bookmarkEnd w:id="21"/>
    <w:p>
      <w:pPr>
        <w:spacing w:after="0"/>
        <w:rPr>
          <w:sz w:val="20"/>
          <w:szCs w:val="20"/>
          <w:color w:val="auto"/>
        </w:rPr>
      </w:pPr>
      <w:r>
        <w:rPr>
          <w:rFonts w:ascii="Arial" w:cs="Arial" w:eastAsia="Arial" w:hAnsi="Arial"/>
          <w:sz w:val="17"/>
          <w:szCs w:val="17"/>
          <w:b w:val="1"/>
          <w:bCs w:val="1"/>
          <w:color w:val="auto"/>
        </w:rPr>
        <w:t>Note 5 - Fair Value of Financial Instruments and Real Estate</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color w:val="auto"/>
        </w:rPr>
        <w:t>The Company uses the following methods and assumptions in estimating the fair value of financial instruments and real estate:</w:t>
      </w:r>
    </w:p>
    <w:p>
      <w:pPr>
        <w:spacing w:after="0" w:line="223"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i w:val="1"/>
          <w:iCs w:val="1"/>
          <w:color w:val="auto"/>
        </w:rPr>
        <w:t xml:space="preserve">Equity securities, available-for-sale fixed income securities, and other investments: </w:t>
      </w:r>
      <w:r>
        <w:rPr>
          <w:rFonts w:ascii="Arial" w:cs="Arial" w:eastAsia="Arial" w:hAnsi="Arial"/>
          <w:sz w:val="17"/>
          <w:szCs w:val="17"/>
          <w:color w:val="auto"/>
        </w:rPr>
        <w:t>Fair value disclosures for these investments are included in “Note 3 -</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Investments” and “Note 4 – Fair Value Measurements”.</w:t>
      </w: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 xml:space="preserve">Cash and cash equivalents: </w:t>
      </w:r>
      <w:r>
        <w:rPr>
          <w:rFonts w:ascii="Arial" w:cs="Arial" w:eastAsia="Arial" w:hAnsi="Arial"/>
          <w:sz w:val="15"/>
          <w:szCs w:val="15"/>
          <w:color w:val="auto"/>
        </w:rPr>
        <w:t>The carrying values of cash and cash equivalents approximate their fair values because of the short-term nature of these instruments.</w:t>
      </w:r>
    </w:p>
    <w:p>
      <w:pPr>
        <w:spacing w:after="0" w:line="246"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i w:val="1"/>
          <w:iCs w:val="1"/>
          <w:color w:val="auto"/>
        </w:rPr>
        <w:t xml:space="preserve">Premiums receivable and reinsurance receivables: </w:t>
      </w:r>
      <w:r>
        <w:rPr>
          <w:rFonts w:ascii="Arial" w:cs="Arial" w:eastAsia="Arial" w:hAnsi="Arial"/>
          <w:sz w:val="17"/>
          <w:szCs w:val="17"/>
          <w:color w:val="auto"/>
        </w:rPr>
        <w:t>The carrying values reported in the condensed consolidated balance sheets for these financial instruments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approximate their fair values due to the short-term nature of the assets.</w:t>
      </w: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 xml:space="preserve">Real estate: </w:t>
      </w:r>
      <w:r>
        <w:rPr>
          <w:rFonts w:ascii="Arial" w:cs="Arial" w:eastAsia="Arial" w:hAnsi="Arial"/>
          <w:sz w:val="15"/>
          <w:szCs w:val="15"/>
          <w:color w:val="auto"/>
        </w:rPr>
        <w:t>The fair value of the land and building included in property and equipment, which is used in the Company’s operations, approximates the carrying value.</w:t>
      </w:r>
    </w:p>
    <w:p>
      <w:pPr>
        <w:spacing w:after="0" w:line="43" w:lineRule="exact"/>
        <w:rPr>
          <w:sz w:val="20"/>
          <w:szCs w:val="20"/>
          <w:color w:val="auto"/>
        </w:rPr>
      </w:pPr>
    </w:p>
    <w:p>
      <w:pPr>
        <w:spacing w:after="0"/>
        <w:rPr>
          <w:sz w:val="20"/>
          <w:szCs w:val="20"/>
          <w:color w:val="auto"/>
        </w:rPr>
      </w:pPr>
      <w:r>
        <w:rPr>
          <w:rFonts w:ascii="Arial" w:cs="Arial" w:eastAsia="Arial" w:hAnsi="Arial"/>
          <w:sz w:val="15"/>
          <w:szCs w:val="15"/>
          <w:color w:val="auto"/>
        </w:rPr>
        <w:t>The fair value was based on an appraisal prepared using the sales comparison approach, and accordingly the real estate is a Level 3 asset under the fair value hierarchy.</w:t>
      </w:r>
    </w:p>
    <w:p>
      <w:pPr>
        <w:spacing w:after="0" w:line="24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 xml:space="preserve">Reinsurance balances payable: </w:t>
      </w:r>
      <w:r>
        <w:rPr>
          <w:rFonts w:ascii="Arial" w:cs="Arial" w:eastAsia="Arial" w:hAnsi="Arial"/>
          <w:sz w:val="15"/>
          <w:szCs w:val="15"/>
          <w:color w:val="auto"/>
        </w:rPr>
        <w:t>The carrying value reported in the condensed consolidated balance sheets for these financial instruments approximates fair value.</w:t>
      </w:r>
    </w:p>
    <w:p>
      <w:pPr>
        <w:spacing w:after="0" w:line="246" w:lineRule="exact"/>
        <w:rPr>
          <w:sz w:val="20"/>
          <w:szCs w:val="20"/>
          <w:color w:val="auto"/>
        </w:rPr>
      </w:pPr>
    </w:p>
    <w:p>
      <w:pPr>
        <w:jc w:val="both"/>
        <w:spacing w:after="0" w:line="265" w:lineRule="auto"/>
        <w:rPr>
          <w:sz w:val="20"/>
          <w:szCs w:val="20"/>
          <w:color w:val="auto"/>
        </w:rPr>
      </w:pPr>
      <w:r>
        <w:rPr>
          <w:rFonts w:ascii="Arial" w:cs="Arial" w:eastAsia="Arial" w:hAnsi="Arial"/>
          <w:sz w:val="17"/>
          <w:szCs w:val="17"/>
          <w:b w:val="1"/>
          <w:bCs w:val="1"/>
          <w:i w:val="1"/>
          <w:iCs w:val="1"/>
          <w:color w:val="auto"/>
        </w:rPr>
        <w:t xml:space="preserve">Long-term debt: </w:t>
      </w:r>
      <w:r>
        <w:rPr>
          <w:rFonts w:ascii="Arial" w:cs="Arial" w:eastAsia="Arial" w:hAnsi="Arial"/>
          <w:sz w:val="17"/>
          <w:szCs w:val="17"/>
          <w:color w:val="auto"/>
        </w:rPr>
        <w:t>The estimated fair value of long-term debt is based on observable market interest rates when available. When observable market interest rates were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not available, the estimated fair values of debt were based on observable market interest rates of comparable instruments adjusted for differences between the observed instruments and the instruments being valued or estimated using discounted cash flow analyses, based on current incremental borrowing rates for similar types of borrowing arrangements.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The estimated fair values of the Company’s financial instruments and real estate as of March 31, 2019 and December 31, 2018 are as follows: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20" w:type="dxa"/>
            <w:vAlign w:val="bottom"/>
          </w:tcPr>
          <w:p>
            <w:pPr>
              <w:spacing w:after="0"/>
              <w:rPr>
                <w:sz w:val="15"/>
                <w:szCs w:val="15"/>
                <w:color w:val="auto"/>
              </w:rPr>
            </w:pPr>
          </w:p>
        </w:tc>
        <w:tc>
          <w:tcPr>
            <w:tcW w:w="430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3"/>
          </w:tcPr>
          <w:p>
            <w:pPr>
              <w:jc w:val="right"/>
              <w:ind w:right="578"/>
              <w:spacing w:after="0"/>
              <w:rPr>
                <w:sz w:val="20"/>
                <w:szCs w:val="20"/>
                <w:color w:val="auto"/>
              </w:rPr>
            </w:pPr>
            <w:r>
              <w:rPr>
                <w:rFonts w:ascii="Arial" w:cs="Arial" w:eastAsia="Arial" w:hAnsi="Arial"/>
                <w:sz w:val="14"/>
                <w:szCs w:val="14"/>
                <w:b w:val="1"/>
                <w:bCs w:val="1"/>
                <w:color w:val="auto"/>
              </w:rPr>
              <w:t>March 31, 2019</w:t>
            </w:r>
          </w:p>
        </w:tc>
        <w:tc>
          <w:tcPr>
            <w:tcW w:w="24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3"/>
          </w:tcPr>
          <w:p>
            <w:pPr>
              <w:jc w:val="right"/>
              <w:ind w:right="478"/>
              <w:spacing w:after="0"/>
              <w:rPr>
                <w:sz w:val="20"/>
                <w:szCs w:val="20"/>
                <w:color w:val="auto"/>
              </w:rPr>
            </w:pPr>
            <w:r>
              <w:rPr>
                <w:rFonts w:ascii="Arial" w:cs="Arial" w:eastAsia="Arial" w:hAnsi="Arial"/>
                <w:sz w:val="14"/>
                <w:szCs w:val="14"/>
                <w:b w:val="1"/>
                <w:bCs w:val="1"/>
                <w:color w:val="auto"/>
              </w:rPr>
              <w:t>December 31, 2018</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ind w:right="199"/>
              <w:spacing w:after="0"/>
              <w:rPr>
                <w:sz w:val="20"/>
                <w:szCs w:val="20"/>
                <w:color w:val="auto"/>
              </w:rPr>
            </w:pPr>
            <w:r>
              <w:rPr>
                <w:rFonts w:ascii="Arial" w:cs="Arial" w:eastAsia="Arial" w:hAnsi="Arial"/>
                <w:sz w:val="14"/>
                <w:szCs w:val="14"/>
                <w:b w:val="1"/>
                <w:bCs w:val="1"/>
                <w:color w:val="auto"/>
              </w:rPr>
              <w:t>Carrying</w:t>
            </w:r>
          </w:p>
        </w:tc>
        <w:tc>
          <w:tcPr>
            <w:tcW w:w="240" w:type="dxa"/>
            <w:vAlign w:val="bottom"/>
          </w:tcPr>
          <w:p>
            <w:pPr>
              <w:spacing w:after="0"/>
              <w:rPr>
                <w:sz w:val="19"/>
                <w:szCs w:val="19"/>
                <w:color w:val="auto"/>
              </w:rPr>
            </w:pPr>
          </w:p>
        </w:tc>
        <w:tc>
          <w:tcPr>
            <w:tcW w:w="900" w:type="dxa"/>
            <w:vAlign w:val="bottom"/>
          </w:tcPr>
          <w:p>
            <w:pPr>
              <w:jc w:val="right"/>
              <w:ind w:right="158"/>
              <w:spacing w:after="0"/>
              <w:rPr>
                <w:sz w:val="20"/>
                <w:szCs w:val="20"/>
                <w:color w:val="auto"/>
              </w:rPr>
            </w:pPr>
            <w:r>
              <w:rPr>
                <w:rFonts w:ascii="Arial" w:cs="Arial" w:eastAsia="Arial" w:hAnsi="Arial"/>
                <w:sz w:val="14"/>
                <w:szCs w:val="14"/>
                <w:b w:val="1"/>
                <w:bCs w:val="1"/>
                <w:color w:val="auto"/>
                <w:w w:val="95"/>
              </w:rPr>
              <w:t>Estimated</w:t>
            </w:r>
          </w:p>
        </w:tc>
        <w:tc>
          <w:tcPr>
            <w:tcW w:w="240" w:type="dxa"/>
            <w:vAlign w:val="bottom"/>
          </w:tcPr>
          <w:p>
            <w:pPr>
              <w:spacing w:after="0"/>
              <w:rPr>
                <w:sz w:val="19"/>
                <w:szCs w:val="19"/>
                <w:color w:val="auto"/>
              </w:rPr>
            </w:pPr>
          </w:p>
        </w:tc>
        <w:tc>
          <w:tcPr>
            <w:tcW w:w="900" w:type="dxa"/>
            <w:vAlign w:val="bottom"/>
          </w:tcPr>
          <w:p>
            <w:pPr>
              <w:jc w:val="right"/>
              <w:ind w:right="199"/>
              <w:spacing w:after="0"/>
              <w:rPr>
                <w:sz w:val="20"/>
                <w:szCs w:val="20"/>
                <w:color w:val="auto"/>
              </w:rPr>
            </w:pPr>
            <w:r>
              <w:rPr>
                <w:rFonts w:ascii="Arial" w:cs="Arial" w:eastAsia="Arial" w:hAnsi="Arial"/>
                <w:sz w:val="14"/>
                <w:szCs w:val="14"/>
                <w:b w:val="1"/>
                <w:bCs w:val="1"/>
                <w:color w:val="auto"/>
              </w:rPr>
              <w:t>Carrying</w:t>
            </w:r>
          </w:p>
        </w:tc>
        <w:tc>
          <w:tcPr>
            <w:tcW w:w="220" w:type="dxa"/>
            <w:vAlign w:val="bottom"/>
          </w:tcPr>
          <w:p>
            <w:pPr>
              <w:spacing w:after="0"/>
              <w:rPr>
                <w:sz w:val="19"/>
                <w:szCs w:val="19"/>
                <w:color w:val="auto"/>
              </w:rPr>
            </w:pPr>
          </w:p>
        </w:tc>
        <w:tc>
          <w:tcPr>
            <w:tcW w:w="920" w:type="dxa"/>
            <w:vAlign w:val="bottom"/>
          </w:tcPr>
          <w:p>
            <w:pPr>
              <w:jc w:val="right"/>
              <w:ind w:right="178"/>
              <w:spacing w:after="0"/>
              <w:rPr>
                <w:sz w:val="20"/>
                <w:szCs w:val="20"/>
                <w:color w:val="auto"/>
              </w:rPr>
            </w:pPr>
            <w:r>
              <w:rPr>
                <w:rFonts w:ascii="Arial" w:cs="Arial" w:eastAsia="Arial" w:hAnsi="Arial"/>
                <w:sz w:val="14"/>
                <w:szCs w:val="14"/>
                <w:b w:val="1"/>
                <w:bCs w:val="1"/>
                <w:color w:val="auto"/>
                <w:w w:val="95"/>
              </w:rPr>
              <w:t>Estimated</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30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Value</w:t>
            </w: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58"/>
              <w:spacing w:after="0"/>
              <w:rPr>
                <w:sz w:val="20"/>
                <w:szCs w:val="20"/>
                <w:color w:val="auto"/>
              </w:rPr>
            </w:pPr>
            <w:r>
              <w:rPr>
                <w:rFonts w:ascii="Arial" w:cs="Arial" w:eastAsia="Arial" w:hAnsi="Arial"/>
                <w:sz w:val="14"/>
                <w:szCs w:val="14"/>
                <w:b w:val="1"/>
                <w:bCs w:val="1"/>
                <w:color w:val="auto"/>
                <w:w w:val="95"/>
              </w:rPr>
              <w:t>Fair Value</w:t>
            </w: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Value</w:t>
            </w: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58"/>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235"/>
        </w:trPr>
        <w:tc>
          <w:tcPr>
            <w:tcW w:w="20" w:type="dxa"/>
            <w:vAlign w:val="bottom"/>
            <w:vMerge w:val="restart"/>
          </w:tcPr>
          <w:p>
            <w:pPr>
              <w:spacing w:after="0"/>
              <w:rPr>
                <w:sz w:val="20"/>
                <w:szCs w:val="20"/>
                <w:color w:val="auto"/>
              </w:rPr>
            </w:pPr>
          </w:p>
        </w:tc>
        <w:tc>
          <w:tcPr>
            <w:tcW w:w="430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7"/>
                <w:szCs w:val="17"/>
                <w:color w:val="auto"/>
              </w:rPr>
              <w:t>Fixed-maturity securities-held-to maturity</w:t>
            </w:r>
          </w:p>
        </w:tc>
        <w:tc>
          <w:tcPr>
            <w:tcW w:w="27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7"/>
                <w:szCs w:val="17"/>
                <w:color w:val="auto"/>
              </w:rPr>
              <w:t>3,824,620</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4,076,611</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7"/>
                <w:szCs w:val="17"/>
                <w:color w:val="auto"/>
              </w:rPr>
              <w:t>4,222,855</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ind w:right="38"/>
              <w:spacing w:after="0"/>
              <w:rPr>
                <w:sz w:val="20"/>
                <w:szCs w:val="20"/>
                <w:color w:val="auto"/>
              </w:rPr>
            </w:pPr>
            <w:r>
              <w:rPr>
                <w:rFonts w:ascii="Arial" w:cs="Arial" w:eastAsia="Arial" w:hAnsi="Arial"/>
                <w:sz w:val="17"/>
                <w:szCs w:val="17"/>
                <w:color w:val="auto"/>
              </w:rPr>
              <w:t>4,426,416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7"/>
                <w:szCs w:val="17"/>
                <w:color w:val="auto"/>
              </w:rPr>
              <w:t>Cash and cash equivalents</w:t>
            </w:r>
          </w:p>
        </w:tc>
        <w:tc>
          <w:tcPr>
            <w:tcW w:w="278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900" w:type="dxa"/>
            <w:vAlign w:val="bottom"/>
          </w:tcPr>
          <w:p>
            <w:pPr>
              <w:jc w:val="right"/>
              <w:ind w:right="19"/>
              <w:spacing w:after="0"/>
              <w:rPr>
                <w:sz w:val="20"/>
                <w:szCs w:val="20"/>
                <w:color w:val="auto"/>
              </w:rPr>
            </w:pPr>
            <w:r>
              <w:rPr>
                <w:rFonts w:ascii="Arial" w:cs="Arial" w:eastAsia="Arial" w:hAnsi="Arial"/>
                <w:sz w:val="17"/>
                <w:szCs w:val="17"/>
                <w:color w:val="auto"/>
                <w:w w:val="91"/>
              </w:rPr>
              <w:t>15,764,480</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900" w:type="dxa"/>
            <w:vAlign w:val="bottom"/>
          </w:tcPr>
          <w:p>
            <w:pPr>
              <w:jc w:val="right"/>
              <w:ind w:right="18"/>
              <w:spacing w:after="0"/>
              <w:rPr>
                <w:sz w:val="20"/>
                <w:szCs w:val="20"/>
                <w:color w:val="auto"/>
              </w:rPr>
            </w:pPr>
            <w:r>
              <w:rPr>
                <w:rFonts w:ascii="Arial" w:cs="Arial" w:eastAsia="Arial" w:hAnsi="Arial"/>
                <w:sz w:val="17"/>
                <w:szCs w:val="17"/>
                <w:color w:val="auto"/>
                <w:w w:val="91"/>
              </w:rPr>
              <w:t>15,764,480</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900" w:type="dxa"/>
            <w:vAlign w:val="bottom"/>
          </w:tcPr>
          <w:p>
            <w:pPr>
              <w:jc w:val="right"/>
              <w:ind w:right="19"/>
              <w:spacing w:after="0"/>
              <w:rPr>
                <w:sz w:val="20"/>
                <w:szCs w:val="20"/>
                <w:color w:val="auto"/>
              </w:rPr>
            </w:pPr>
            <w:r>
              <w:rPr>
                <w:rFonts w:ascii="Arial" w:cs="Arial" w:eastAsia="Arial" w:hAnsi="Arial"/>
                <w:sz w:val="17"/>
                <w:szCs w:val="17"/>
                <w:color w:val="auto"/>
                <w:w w:val="91"/>
              </w:rPr>
              <w:t>21,138,403</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920" w:type="dxa"/>
            <w:vAlign w:val="bottom"/>
          </w:tcPr>
          <w:p>
            <w:pPr>
              <w:jc w:val="right"/>
              <w:ind w:right="38"/>
              <w:spacing w:after="0"/>
              <w:rPr>
                <w:sz w:val="20"/>
                <w:szCs w:val="20"/>
                <w:color w:val="auto"/>
              </w:rPr>
            </w:pPr>
            <w:r>
              <w:rPr>
                <w:rFonts w:ascii="Arial" w:cs="Arial" w:eastAsia="Arial" w:hAnsi="Arial"/>
                <w:sz w:val="17"/>
                <w:szCs w:val="17"/>
                <w:color w:val="auto"/>
                <w:w w:val="91"/>
              </w:rPr>
              <w:t>21,138,403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7"/>
                <w:szCs w:val="17"/>
                <w:color w:val="auto"/>
              </w:rPr>
              <w:t>Premiums receivable, net</w:t>
            </w:r>
          </w:p>
        </w:tc>
        <w:tc>
          <w:tcPr>
            <w:tcW w:w="27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7"/>
                <w:szCs w:val="17"/>
                <w:color w:val="auto"/>
                <w:w w:val="91"/>
              </w:rPr>
              <w:t>14,211,748</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w w:val="91"/>
              </w:rPr>
              <w:t>14,211,748</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7"/>
                <w:szCs w:val="17"/>
                <w:color w:val="auto"/>
                <w:w w:val="91"/>
              </w:rPr>
              <w:t>13,961,599</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ind w:right="38"/>
              <w:spacing w:after="0"/>
              <w:rPr>
                <w:sz w:val="20"/>
                <w:szCs w:val="20"/>
                <w:color w:val="auto"/>
              </w:rPr>
            </w:pPr>
            <w:r>
              <w:rPr>
                <w:rFonts w:ascii="Arial" w:cs="Arial" w:eastAsia="Arial" w:hAnsi="Arial"/>
                <w:sz w:val="17"/>
                <w:szCs w:val="17"/>
                <w:color w:val="auto"/>
                <w:w w:val="91"/>
              </w:rPr>
              <w:t>13,961,599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7"/>
                <w:szCs w:val="17"/>
                <w:color w:val="auto"/>
              </w:rPr>
              <w:t>Reinsurance receivables, net</w:t>
            </w:r>
          </w:p>
        </w:tc>
        <w:tc>
          <w:tcPr>
            <w:tcW w:w="278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900" w:type="dxa"/>
            <w:vAlign w:val="bottom"/>
          </w:tcPr>
          <w:p>
            <w:pPr>
              <w:jc w:val="right"/>
              <w:ind w:right="19"/>
              <w:spacing w:after="0"/>
              <w:rPr>
                <w:sz w:val="20"/>
                <w:szCs w:val="20"/>
                <w:color w:val="auto"/>
              </w:rPr>
            </w:pPr>
            <w:r>
              <w:rPr>
                <w:rFonts w:ascii="Arial" w:cs="Arial" w:eastAsia="Arial" w:hAnsi="Arial"/>
                <w:sz w:val="17"/>
                <w:szCs w:val="17"/>
                <w:color w:val="auto"/>
                <w:w w:val="91"/>
              </w:rPr>
              <w:t>26,157,637</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900" w:type="dxa"/>
            <w:vAlign w:val="bottom"/>
          </w:tcPr>
          <w:p>
            <w:pPr>
              <w:jc w:val="right"/>
              <w:ind w:right="18"/>
              <w:spacing w:after="0"/>
              <w:rPr>
                <w:sz w:val="20"/>
                <w:szCs w:val="20"/>
                <w:color w:val="auto"/>
              </w:rPr>
            </w:pPr>
            <w:r>
              <w:rPr>
                <w:rFonts w:ascii="Arial" w:cs="Arial" w:eastAsia="Arial" w:hAnsi="Arial"/>
                <w:sz w:val="17"/>
                <w:szCs w:val="17"/>
                <w:color w:val="auto"/>
                <w:w w:val="91"/>
              </w:rPr>
              <w:t>26,157,637</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900" w:type="dxa"/>
            <w:vAlign w:val="bottom"/>
          </w:tcPr>
          <w:p>
            <w:pPr>
              <w:jc w:val="right"/>
              <w:ind w:right="19"/>
              <w:spacing w:after="0"/>
              <w:rPr>
                <w:sz w:val="20"/>
                <w:szCs w:val="20"/>
                <w:color w:val="auto"/>
              </w:rPr>
            </w:pPr>
            <w:r>
              <w:rPr>
                <w:rFonts w:ascii="Arial" w:cs="Arial" w:eastAsia="Arial" w:hAnsi="Arial"/>
                <w:sz w:val="17"/>
                <w:szCs w:val="17"/>
                <w:color w:val="auto"/>
                <w:w w:val="91"/>
              </w:rPr>
              <w:t>26,367,115</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920" w:type="dxa"/>
            <w:vAlign w:val="bottom"/>
          </w:tcPr>
          <w:p>
            <w:pPr>
              <w:jc w:val="right"/>
              <w:ind w:right="38"/>
              <w:spacing w:after="0"/>
              <w:rPr>
                <w:sz w:val="20"/>
                <w:szCs w:val="20"/>
                <w:color w:val="auto"/>
              </w:rPr>
            </w:pPr>
            <w:r>
              <w:rPr>
                <w:rFonts w:ascii="Arial" w:cs="Arial" w:eastAsia="Arial" w:hAnsi="Arial"/>
                <w:sz w:val="17"/>
                <w:szCs w:val="17"/>
                <w:color w:val="auto"/>
                <w:w w:val="91"/>
              </w:rPr>
              <w:t>26,367,115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7"/>
                <w:szCs w:val="17"/>
                <w:color w:val="auto"/>
              </w:rPr>
              <w:t>Real estate, net of accumulated depreciation</w:t>
            </w:r>
          </w:p>
        </w:tc>
        <w:tc>
          <w:tcPr>
            <w:tcW w:w="27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7"/>
                <w:szCs w:val="17"/>
                <w:color w:val="auto"/>
              </w:rPr>
              <w:t>2,285,933</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2,705,000</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7"/>
                <w:szCs w:val="17"/>
                <w:color w:val="auto"/>
              </w:rPr>
              <w:t>2,300,827</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ind w:right="38"/>
              <w:spacing w:after="0"/>
              <w:rPr>
                <w:sz w:val="20"/>
                <w:szCs w:val="20"/>
                <w:color w:val="auto"/>
              </w:rPr>
            </w:pPr>
            <w:r>
              <w:rPr>
                <w:rFonts w:ascii="Arial" w:cs="Arial" w:eastAsia="Arial" w:hAnsi="Arial"/>
                <w:sz w:val="17"/>
                <w:szCs w:val="17"/>
                <w:color w:val="auto"/>
              </w:rPr>
              <w:t>2,705,000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7"/>
                <w:szCs w:val="17"/>
                <w:color w:val="auto"/>
              </w:rPr>
              <w:t>Reinsurance balances payable</w:t>
            </w:r>
          </w:p>
        </w:tc>
        <w:tc>
          <w:tcPr>
            <w:tcW w:w="278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900" w:type="dxa"/>
            <w:vAlign w:val="bottom"/>
          </w:tcPr>
          <w:p>
            <w:pPr>
              <w:jc w:val="right"/>
              <w:ind w:right="19"/>
              <w:spacing w:after="0"/>
              <w:rPr>
                <w:sz w:val="20"/>
                <w:szCs w:val="20"/>
                <w:color w:val="auto"/>
              </w:rPr>
            </w:pPr>
            <w:r>
              <w:rPr>
                <w:rFonts w:ascii="Arial" w:cs="Arial" w:eastAsia="Arial" w:hAnsi="Arial"/>
                <w:sz w:val="17"/>
                <w:szCs w:val="17"/>
                <w:color w:val="auto"/>
              </w:rPr>
              <w:t>1,201,931</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900" w:type="dxa"/>
            <w:vAlign w:val="bottom"/>
          </w:tcPr>
          <w:p>
            <w:pPr>
              <w:jc w:val="right"/>
              <w:ind w:right="18"/>
              <w:spacing w:after="0"/>
              <w:rPr>
                <w:sz w:val="20"/>
                <w:szCs w:val="20"/>
                <w:color w:val="auto"/>
              </w:rPr>
            </w:pPr>
            <w:r>
              <w:rPr>
                <w:rFonts w:ascii="Arial" w:cs="Arial" w:eastAsia="Arial" w:hAnsi="Arial"/>
                <w:sz w:val="17"/>
                <w:szCs w:val="17"/>
                <w:color w:val="auto"/>
              </w:rPr>
              <w:t>1,201,931</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900" w:type="dxa"/>
            <w:vAlign w:val="bottom"/>
          </w:tcPr>
          <w:p>
            <w:pPr>
              <w:jc w:val="right"/>
              <w:ind w:right="19"/>
              <w:spacing w:after="0"/>
              <w:rPr>
                <w:sz w:val="20"/>
                <w:szCs w:val="20"/>
                <w:color w:val="auto"/>
              </w:rPr>
            </w:pPr>
            <w:r>
              <w:rPr>
                <w:rFonts w:ascii="Arial" w:cs="Arial" w:eastAsia="Arial" w:hAnsi="Arial"/>
                <w:sz w:val="17"/>
                <w:szCs w:val="17"/>
                <w:color w:val="auto"/>
              </w:rPr>
              <w:t>1,933,376</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920" w:type="dxa"/>
            <w:vAlign w:val="bottom"/>
          </w:tcPr>
          <w:p>
            <w:pPr>
              <w:jc w:val="right"/>
              <w:ind w:right="38"/>
              <w:spacing w:after="0"/>
              <w:rPr>
                <w:sz w:val="20"/>
                <w:szCs w:val="20"/>
                <w:color w:val="auto"/>
              </w:rPr>
            </w:pPr>
            <w:r>
              <w:rPr>
                <w:rFonts w:ascii="Arial" w:cs="Arial" w:eastAsia="Arial" w:hAnsi="Arial"/>
                <w:sz w:val="17"/>
                <w:szCs w:val="17"/>
                <w:color w:val="auto"/>
              </w:rPr>
              <w:t>1,933,376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7"/>
                <w:szCs w:val="17"/>
                <w:color w:val="auto"/>
              </w:rPr>
              <w:t>Long-term debt, net</w:t>
            </w:r>
          </w:p>
        </w:tc>
        <w:tc>
          <w:tcPr>
            <w:tcW w:w="27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7"/>
                <w:szCs w:val="17"/>
                <w:color w:val="auto"/>
                <w:w w:val="91"/>
              </w:rPr>
              <w:t>29,339,296</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w w:val="91"/>
              </w:rPr>
              <w:t>28,485,329</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7"/>
                <w:szCs w:val="17"/>
                <w:color w:val="auto"/>
                <w:w w:val="91"/>
              </w:rPr>
              <w:t>29,295,251</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ind w:right="38"/>
              <w:spacing w:after="0"/>
              <w:rPr>
                <w:sz w:val="20"/>
                <w:szCs w:val="20"/>
                <w:color w:val="auto"/>
              </w:rPr>
            </w:pPr>
            <w:r>
              <w:rPr>
                <w:rFonts w:ascii="Arial" w:cs="Arial" w:eastAsia="Arial" w:hAnsi="Arial"/>
                <w:sz w:val="17"/>
                <w:szCs w:val="17"/>
                <w:color w:val="auto"/>
                <w:w w:val="91"/>
              </w:rPr>
              <w:t>28,521,734</w:t>
            </w:r>
          </w:p>
        </w:tc>
        <w:tc>
          <w:tcPr>
            <w:tcW w:w="0" w:type="dxa"/>
            <w:vAlign w:val="bottom"/>
          </w:tcPr>
          <w:p>
            <w:pPr>
              <w:spacing w:after="0"/>
              <w:rPr>
                <w:sz w:val="1"/>
                <w:szCs w:val="1"/>
                <w:color w:val="auto"/>
              </w:rPr>
            </w:pPr>
          </w:p>
        </w:tc>
      </w:tr>
      <w:tr>
        <w:trPr>
          <w:trHeight w:val="574"/>
        </w:trPr>
        <w:tc>
          <w:tcPr>
            <w:tcW w:w="20" w:type="dxa"/>
            <w:vAlign w:val="bottom"/>
          </w:tcPr>
          <w:p>
            <w:pPr>
              <w:spacing w:after="0"/>
              <w:rPr>
                <w:sz w:val="24"/>
                <w:szCs w:val="24"/>
                <w:color w:val="auto"/>
              </w:rPr>
            </w:pPr>
          </w:p>
        </w:tc>
        <w:tc>
          <w:tcPr>
            <w:tcW w:w="430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tcPr>
          <w:p>
            <w:pPr>
              <w:jc w:val="right"/>
              <w:ind w:right="975"/>
              <w:spacing w:after="0"/>
              <w:rPr>
                <w:sz w:val="20"/>
                <w:szCs w:val="20"/>
                <w:color w:val="auto"/>
              </w:rPr>
            </w:pPr>
            <w:r>
              <w:rPr>
                <w:rFonts w:ascii="Arial" w:cs="Arial" w:eastAsia="Arial" w:hAnsi="Arial"/>
                <w:sz w:val="17"/>
                <w:szCs w:val="17"/>
                <w:color w:val="auto"/>
              </w:rPr>
              <w:t>22</w:t>
            </w: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93" w:right="239" w:bottom="1440" w:gutter="0" w:footer="0" w:header="0"/>
        </w:sectPr>
      </w:pPr>
    </w:p>
    <w:bookmarkStart w:id="22" w:name="page23"/>
    <w:bookmarkEnd w:id="22"/>
    <w:p>
      <w:pPr>
        <w:spacing w:after="0"/>
        <w:rPr>
          <w:sz w:val="20"/>
          <w:szCs w:val="20"/>
          <w:color w:val="auto"/>
        </w:rPr>
      </w:pPr>
      <w:r>
        <w:rPr>
          <w:rFonts w:ascii="Arial" w:cs="Arial" w:eastAsia="Arial" w:hAnsi="Arial"/>
          <w:sz w:val="17"/>
          <w:szCs w:val="17"/>
          <w:b w:val="1"/>
          <w:bCs w:val="1"/>
          <w:color w:val="auto"/>
        </w:rPr>
        <w:t>Note 6 – Property and Casualty Insurance Activity</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Premiums Earned</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Premiums written, ceded and earned are as follows: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20" w:type="dxa"/>
            <w:vAlign w:val="bottom"/>
          </w:tcPr>
          <w:p>
            <w:pPr>
              <w:spacing w:after="0"/>
              <w:rPr>
                <w:sz w:val="15"/>
                <w:szCs w:val="15"/>
                <w:color w:val="auto"/>
              </w:rPr>
            </w:pPr>
          </w:p>
        </w:tc>
        <w:tc>
          <w:tcPr>
            <w:tcW w:w="6840" w:type="dxa"/>
            <w:vAlign w:val="bottom"/>
          </w:tcPr>
          <w:p>
            <w:pPr>
              <w:spacing w:after="0"/>
              <w:rPr>
                <w:sz w:val="15"/>
                <w:szCs w:val="15"/>
                <w:color w:val="auto"/>
              </w:rPr>
            </w:pPr>
          </w:p>
        </w:tc>
        <w:tc>
          <w:tcPr>
            <w:tcW w:w="118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Direct</w:t>
            </w: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w w:val="91"/>
              </w:rPr>
              <w:t>Assumed</w:t>
            </w: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Ceded</w:t>
            </w:r>
          </w:p>
        </w:tc>
        <w:tc>
          <w:tcPr>
            <w:tcW w:w="110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469"/>
        </w:trPr>
        <w:tc>
          <w:tcPr>
            <w:tcW w:w="6860" w:type="dxa"/>
            <w:vAlign w:val="bottom"/>
            <w:gridSpan w:val="2"/>
          </w:tcPr>
          <w:p>
            <w:pPr>
              <w:spacing w:after="0"/>
              <w:rPr>
                <w:sz w:val="20"/>
                <w:szCs w:val="20"/>
                <w:color w:val="auto"/>
              </w:rPr>
            </w:pPr>
            <w:r>
              <w:rPr>
                <w:rFonts w:ascii="Arial" w:cs="Arial" w:eastAsia="Arial" w:hAnsi="Arial"/>
                <w:sz w:val="17"/>
                <w:szCs w:val="17"/>
                <w:b w:val="1"/>
                <w:bCs w:val="1"/>
                <w:color w:val="auto"/>
              </w:rPr>
              <w:t>Three months ended March 31, 2019</w:t>
            </w: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7"/>
                <w:szCs w:val="17"/>
                <w:color w:val="auto"/>
              </w:rPr>
              <w:t>Premiums written</w:t>
            </w:r>
          </w:p>
        </w:tc>
        <w:tc>
          <w:tcPr>
            <w:tcW w:w="118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$ 37,488,548</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w w:val="91"/>
              </w:rPr>
              <w:t>(7,127,909)</w:t>
            </w:r>
          </w:p>
        </w:tc>
        <w:tc>
          <w:tcPr>
            <w:tcW w:w="110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w w:val="96"/>
              </w:rPr>
              <w:t>$ 30,360,605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7"/>
                <w:szCs w:val="17"/>
                <w:color w:val="auto"/>
              </w:rPr>
              <w:t>Change in unearned premiums</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(628,067)</w:t>
            </w: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57"/>
              <w:spacing w:after="0"/>
              <w:rPr>
                <w:sz w:val="20"/>
                <w:szCs w:val="20"/>
                <w:color w:val="auto"/>
              </w:rPr>
            </w:pPr>
            <w:r>
              <w:rPr>
                <w:rFonts w:ascii="Arial" w:cs="Arial" w:eastAsia="Arial" w:hAnsi="Arial"/>
                <w:sz w:val="17"/>
                <w:szCs w:val="17"/>
                <w:color w:val="auto"/>
              </w:rPr>
              <w:t>195</w:t>
            </w: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(136,844)</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(764,716)</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6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Premiums earned</w:t>
            </w:r>
          </w:p>
        </w:tc>
        <w:tc>
          <w:tcPr>
            <w:tcW w:w="11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7"/>
                <w:szCs w:val="17"/>
                <w:color w:val="auto"/>
              </w:rPr>
              <w:t>$ 36,860,481</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7"/>
                <w:szCs w:val="17"/>
                <w:color w:val="auto"/>
              </w:rPr>
              <w:t>161</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w w:val="91"/>
              </w:rPr>
              <w:t>(7,264,753)</w:t>
            </w:r>
          </w:p>
        </w:tc>
        <w:tc>
          <w:tcPr>
            <w:tcW w:w="11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w w:val="96"/>
              </w:rPr>
              <w:t>$ 29,595,889</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68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Three months ended March 31, 2018</w:t>
            </w: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7"/>
                <w:szCs w:val="17"/>
                <w:color w:val="auto"/>
              </w:rPr>
              <w:t>Premiums written</w:t>
            </w:r>
          </w:p>
        </w:tc>
        <w:tc>
          <w:tcPr>
            <w:tcW w:w="1180" w:type="dxa"/>
            <w:vAlign w:val="bottom"/>
          </w:tcPr>
          <w:p>
            <w:pPr>
              <w:jc w:val="right"/>
              <w:ind w:right="57"/>
              <w:spacing w:after="0"/>
              <w:rPr>
                <w:sz w:val="20"/>
                <w:szCs w:val="20"/>
                <w:color w:val="auto"/>
              </w:rPr>
            </w:pPr>
            <w:r>
              <w:rPr>
                <w:rFonts w:ascii="Arial" w:cs="Arial" w:eastAsia="Arial" w:hAnsi="Arial"/>
                <w:sz w:val="17"/>
                <w:szCs w:val="17"/>
                <w:color w:val="auto"/>
              </w:rPr>
              <w:t>$ 31,526,283</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920" w:type="dxa"/>
            <w:vAlign w:val="bottom"/>
          </w:tcPr>
          <w:p>
            <w:pPr>
              <w:jc w:val="right"/>
              <w:ind w:right="57"/>
              <w:spacing w:after="0"/>
              <w:rPr>
                <w:sz w:val="20"/>
                <w:szCs w:val="20"/>
                <w:color w:val="auto"/>
              </w:rPr>
            </w:pPr>
            <w:r>
              <w:rPr>
                <w:rFonts w:ascii="Arial" w:cs="Arial" w:eastAsia="Arial" w:hAnsi="Arial"/>
                <w:sz w:val="17"/>
                <w:szCs w:val="17"/>
                <w:color w:val="auto"/>
              </w:rPr>
              <w:t>336</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920" w:type="dxa"/>
            <w:vAlign w:val="bottom"/>
          </w:tcPr>
          <w:p>
            <w:pPr>
              <w:jc w:val="right"/>
              <w:ind w:right="17"/>
              <w:spacing w:after="0"/>
              <w:rPr>
                <w:sz w:val="20"/>
                <w:szCs w:val="20"/>
                <w:color w:val="auto"/>
              </w:rPr>
            </w:pPr>
            <w:r>
              <w:rPr>
                <w:rFonts w:ascii="Arial" w:cs="Arial" w:eastAsia="Arial" w:hAnsi="Arial"/>
                <w:sz w:val="17"/>
                <w:szCs w:val="17"/>
                <w:color w:val="auto"/>
                <w:w w:val="91"/>
              </w:rPr>
              <w:t>(7,826,235)</w:t>
            </w:r>
          </w:p>
        </w:tc>
        <w:tc>
          <w:tcPr>
            <w:tcW w:w="1100" w:type="dxa"/>
            <w:vAlign w:val="bottom"/>
          </w:tcPr>
          <w:p>
            <w:pPr>
              <w:jc w:val="right"/>
              <w:ind w:right="37"/>
              <w:spacing w:after="0"/>
              <w:rPr>
                <w:sz w:val="20"/>
                <w:szCs w:val="20"/>
                <w:color w:val="auto"/>
              </w:rPr>
            </w:pPr>
            <w:r>
              <w:rPr>
                <w:rFonts w:ascii="Arial" w:cs="Arial" w:eastAsia="Arial" w:hAnsi="Arial"/>
                <w:sz w:val="17"/>
                <w:szCs w:val="17"/>
                <w:color w:val="auto"/>
                <w:w w:val="96"/>
              </w:rPr>
              <w:t>$ 23,700,384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Change in unearned premiums</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(1,008,869)</w:t>
            </w: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7"/>
                <w:szCs w:val="17"/>
                <w:color w:val="auto"/>
              </w:rPr>
              <w:t>1,901</w:t>
            </w: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7"/>
                <w:szCs w:val="17"/>
                <w:color w:val="auto"/>
              </w:rPr>
              <w:t>144,201</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(862,767)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7"/>
                <w:szCs w:val="17"/>
                <w:color w:val="auto"/>
              </w:rPr>
              <w:t>Premiums earned</w:t>
            </w:r>
          </w:p>
        </w:tc>
        <w:tc>
          <w:tcPr>
            <w:tcW w:w="1180" w:type="dxa"/>
            <w:vAlign w:val="bottom"/>
            <w:tcBorders>
              <w:bottom w:val="single" w:sz="8" w:color="auto"/>
            </w:tcBorders>
          </w:tcPr>
          <w:p>
            <w:pPr>
              <w:jc w:val="right"/>
              <w:ind w:right="57"/>
              <w:spacing w:after="0"/>
              <w:rPr>
                <w:sz w:val="20"/>
                <w:szCs w:val="20"/>
                <w:color w:val="auto"/>
              </w:rPr>
            </w:pPr>
            <w:r>
              <w:rPr>
                <w:rFonts w:ascii="Arial" w:cs="Arial" w:eastAsia="Arial" w:hAnsi="Arial"/>
                <w:sz w:val="17"/>
                <w:szCs w:val="17"/>
                <w:color w:val="auto"/>
              </w:rPr>
              <w:t>$ 30,517,414</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tcPr>
          <w:p>
            <w:pPr>
              <w:jc w:val="right"/>
              <w:ind w:right="57"/>
              <w:spacing w:after="0"/>
              <w:rPr>
                <w:sz w:val="20"/>
                <w:szCs w:val="20"/>
                <w:color w:val="auto"/>
              </w:rPr>
            </w:pPr>
            <w:r>
              <w:rPr>
                <w:rFonts w:ascii="Arial" w:cs="Arial" w:eastAsia="Arial" w:hAnsi="Arial"/>
                <w:sz w:val="17"/>
                <w:szCs w:val="17"/>
                <w:color w:val="auto"/>
              </w:rPr>
              <w:t>2,237</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w w:val="91"/>
              </w:rPr>
              <w:t>(7,682,034)</w:t>
            </w:r>
          </w:p>
        </w:tc>
        <w:tc>
          <w:tcPr>
            <w:tcW w:w="110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w w:val="96"/>
              </w:rPr>
              <w:t>$ 22,837,617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jc w:val="both"/>
        <w:spacing w:after="0" w:line="281" w:lineRule="auto"/>
        <w:rPr>
          <w:sz w:val="20"/>
          <w:szCs w:val="20"/>
          <w:color w:val="auto"/>
        </w:rPr>
      </w:pPr>
      <w:r>
        <w:rPr>
          <w:rFonts w:ascii="Arial" w:cs="Arial" w:eastAsia="Arial" w:hAnsi="Arial"/>
          <w:sz w:val="17"/>
          <w:szCs w:val="17"/>
          <w:color w:val="auto"/>
        </w:rPr>
        <w:t>Premium receipts in advance of the policy effective date are recorded as advance premiums. The balance of advance premiums as of March 31, 2019 and December 31, 2018 was $3,064,413 and $2,107,629,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Loss and Loss Adjustment Expense Reserves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a reconciliation of the beginning and ending balances for unpaid losses and loss adjustment expense (“LAE”) reserves:</w:t>
      </w:r>
    </w:p>
    <w:p>
      <w:pPr>
        <w:spacing w:after="0" w:line="271" w:lineRule="exact"/>
        <w:rPr>
          <w:sz w:val="20"/>
          <w:szCs w:val="20"/>
          <w:color w:val="auto"/>
        </w:rPr>
      </w:pPr>
    </w:p>
    <w:p>
      <w:pPr>
        <w:jc w:val="center"/>
        <w:ind w:left="9140"/>
        <w:spacing w:after="0"/>
        <w:rPr>
          <w:sz w:val="20"/>
          <w:szCs w:val="20"/>
          <w:color w:val="auto"/>
        </w:rPr>
      </w:pPr>
      <w:r>
        <w:rPr>
          <w:rFonts w:ascii="Arial" w:cs="Arial" w:eastAsia="Arial" w:hAnsi="Arial"/>
          <w:sz w:val="14"/>
          <w:szCs w:val="14"/>
          <w:b w:val="1"/>
          <w:bCs w:val="1"/>
          <w:color w:val="auto"/>
        </w:rPr>
        <w:t>Three months ended</w:t>
      </w:r>
    </w:p>
    <w:p>
      <w:pPr>
        <w:spacing w:after="0" w:line="48" w:lineRule="exact"/>
        <w:rPr>
          <w:sz w:val="20"/>
          <w:szCs w:val="20"/>
          <w:color w:val="auto"/>
        </w:rPr>
      </w:pPr>
    </w:p>
    <w:p>
      <w:pPr>
        <w:jc w:val="center"/>
        <w:ind w:left="914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5808345</wp:posOffset>
            </wp:positionH>
            <wp:positionV relativeFrom="paragraph">
              <wp:posOffset>5715</wp:posOffset>
            </wp:positionV>
            <wp:extent cx="1445260" cy="165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445260" cy="16510"/>
                    </a:xfrm>
                    <a:prstGeom prst="rect">
                      <a:avLst/>
                    </a:prstGeom>
                    <a:noFill/>
                  </pic:spPr>
                </pic:pic>
              </a:graphicData>
            </a:graphic>
          </wp:anchor>
        </w:drawing>
      </w:r>
    </w:p>
    <w:p>
      <w:pPr>
        <w:spacing w:after="0" w:line="54" w:lineRule="exact"/>
        <w:rPr>
          <w:sz w:val="20"/>
          <w:szCs w:val="20"/>
          <w:color w:val="auto"/>
        </w:rPr>
      </w:pPr>
    </w:p>
    <w:p>
      <w:pPr>
        <w:ind w:left="9580"/>
        <w:spacing w:after="0"/>
        <w:tabs>
          <w:tab w:leader="none" w:pos="1070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5808345</wp:posOffset>
            </wp:positionH>
            <wp:positionV relativeFrom="paragraph">
              <wp:posOffset>5715</wp:posOffset>
            </wp:positionV>
            <wp:extent cx="1445260" cy="165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445260" cy="16510"/>
                    </a:xfrm>
                    <a:prstGeom prst="rect">
                      <a:avLst/>
                    </a:prstGeom>
                    <a:noFill/>
                  </pic:spPr>
                </pic:pic>
              </a:graphicData>
            </a:graphic>
          </wp:anchor>
        </w:drawing>
      </w:r>
    </w:p>
    <w:p>
      <w:pPr>
        <w:sectPr>
          <w:pgSz w:w="11900" w:h="16838" w:orient="portrait"/>
          <w:cols w:equalWidth="0" w:num="1">
            <w:col w:w="11420"/>
          </w:cols>
          <w:pgMar w:left="240" w:top="519" w:right="239" w:bottom="1440" w:gutter="0" w:footer="0" w:header="0"/>
        </w:sectPr>
      </w:pP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color w:val="auto"/>
        </w:rPr>
        <w:t>Balance at beginning of period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Less reinsurance recoverables</w:t>
      </w:r>
    </w:p>
    <w:p>
      <w:pPr>
        <w:spacing w:after="0" w:line="45" w:lineRule="exact"/>
        <w:rPr>
          <w:sz w:val="20"/>
          <w:szCs w:val="20"/>
          <w:color w:val="auto"/>
        </w:rPr>
      </w:pPr>
    </w:p>
    <w:p>
      <w:pPr>
        <w:spacing w:after="0"/>
        <w:rPr>
          <w:sz w:val="20"/>
          <w:szCs w:val="20"/>
          <w:color w:val="auto"/>
        </w:rPr>
      </w:pPr>
      <w:r>
        <w:rPr>
          <w:rFonts w:ascii="Arial" w:cs="Arial" w:eastAsia="Arial" w:hAnsi="Arial"/>
          <w:sz w:val="15"/>
          <w:szCs w:val="15"/>
          <w:color w:val="auto"/>
        </w:rPr>
        <w:t>Net balance, beginning of period</w:t>
      </w:r>
    </w:p>
    <w:p>
      <w:pPr>
        <w:spacing w:after="0" w:line="272" w:lineRule="exact"/>
        <w:rPr>
          <w:sz w:val="20"/>
          <w:szCs w:val="20"/>
          <w:color w:val="auto"/>
        </w:rPr>
      </w:pPr>
    </w:p>
    <w:p>
      <w:pPr>
        <w:spacing w:after="0"/>
        <w:rPr>
          <w:sz w:val="20"/>
          <w:szCs w:val="20"/>
          <w:color w:val="auto"/>
        </w:rPr>
      </w:pPr>
      <w:r>
        <w:rPr>
          <w:rFonts w:ascii="Arial" w:cs="Arial" w:eastAsia="Arial" w:hAnsi="Arial"/>
          <w:sz w:val="17"/>
          <w:szCs w:val="17"/>
          <w:color w:val="auto"/>
        </w:rPr>
        <w:t>Incurred related to:</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Current year</w:t>
      </w:r>
    </w:p>
    <w:p>
      <w:pPr>
        <w:spacing w:after="0" w:line="20" w:lineRule="exact"/>
        <w:rPr>
          <w:sz w:val="20"/>
          <w:szCs w:val="20"/>
          <w:color w:val="auto"/>
        </w:rPr>
      </w:pPr>
      <w:r>
        <w:rPr>
          <w:sz w:val="20"/>
          <w:szCs w:val="20"/>
          <w:color w:val="auto"/>
        </w:rPr>
        <w:br w:type="column"/>
      </w:r>
    </w:p>
    <w:p>
      <w:pPr>
        <w:spacing w:after="0" w:line="24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9"/>
        </w:trPr>
        <w:tc>
          <w:tcPr>
            <w:tcW w:w="1180" w:type="dxa"/>
            <w:vAlign w:val="bottom"/>
          </w:tcPr>
          <w:p>
            <w:pPr>
              <w:jc w:val="right"/>
              <w:ind w:right="55"/>
              <w:spacing w:after="0"/>
              <w:rPr>
                <w:sz w:val="20"/>
                <w:szCs w:val="20"/>
                <w:color w:val="auto"/>
              </w:rPr>
            </w:pPr>
            <w:r>
              <w:rPr>
                <w:rFonts w:ascii="Arial" w:cs="Arial" w:eastAsia="Arial" w:hAnsi="Arial"/>
                <w:sz w:val="17"/>
                <w:szCs w:val="17"/>
                <w:color w:val="auto"/>
              </w:rPr>
              <w:t>$ 56,197,106</w:t>
            </w:r>
          </w:p>
        </w:tc>
        <w:tc>
          <w:tcPr>
            <w:tcW w:w="1100" w:type="dxa"/>
            <w:vAlign w:val="bottom"/>
          </w:tcPr>
          <w:p>
            <w:pPr>
              <w:jc w:val="right"/>
              <w:ind w:right="35"/>
              <w:spacing w:after="0"/>
              <w:rPr>
                <w:sz w:val="20"/>
                <w:szCs w:val="20"/>
                <w:color w:val="auto"/>
              </w:rPr>
            </w:pPr>
            <w:r>
              <w:rPr>
                <w:rFonts w:ascii="Arial" w:cs="Arial" w:eastAsia="Arial" w:hAnsi="Arial"/>
                <w:sz w:val="17"/>
                <w:szCs w:val="17"/>
                <w:color w:val="auto"/>
                <w:w w:val="96"/>
              </w:rPr>
              <w:t>$ 48,799,622</w:t>
            </w:r>
          </w:p>
        </w:tc>
      </w:tr>
      <w:tr>
        <w:trPr>
          <w:trHeight w:val="224"/>
        </w:trPr>
        <w:tc>
          <w:tcPr>
            <w:tcW w:w="118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(15,671,247)</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(16,748,908)</w:t>
            </w:r>
          </w:p>
        </w:tc>
      </w:tr>
      <w:tr>
        <w:trPr>
          <w:trHeight w:val="215"/>
        </w:trPr>
        <w:tc>
          <w:tcPr>
            <w:tcW w:w="118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40,525,859</w:t>
            </w:r>
          </w:p>
        </w:tc>
        <w:tc>
          <w:tcPr>
            <w:tcW w:w="110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32,050,714</w:t>
            </w:r>
          </w:p>
        </w:tc>
      </w:tr>
      <w:tr>
        <w:trPr>
          <w:trHeight w:val="626"/>
        </w:trPr>
        <w:tc>
          <w:tcPr>
            <w:tcW w:w="1180" w:type="dxa"/>
            <w:vAlign w:val="bottom"/>
          </w:tcPr>
          <w:p>
            <w:pPr>
              <w:jc w:val="right"/>
              <w:ind w:right="55"/>
              <w:spacing w:after="0"/>
              <w:rPr>
                <w:sz w:val="20"/>
                <w:szCs w:val="20"/>
                <w:color w:val="auto"/>
              </w:rPr>
            </w:pPr>
            <w:r>
              <w:rPr>
                <w:rFonts w:ascii="Arial" w:cs="Arial" w:eastAsia="Arial" w:hAnsi="Arial"/>
                <w:sz w:val="17"/>
                <w:szCs w:val="17"/>
                <w:color w:val="auto"/>
              </w:rPr>
              <w:t>24,655,975</w:t>
            </w:r>
          </w:p>
        </w:tc>
        <w:tc>
          <w:tcPr>
            <w:tcW w:w="1100" w:type="dxa"/>
            <w:vAlign w:val="bottom"/>
          </w:tcPr>
          <w:p>
            <w:pPr>
              <w:jc w:val="right"/>
              <w:ind w:right="35"/>
              <w:spacing w:after="0"/>
              <w:rPr>
                <w:sz w:val="20"/>
                <w:szCs w:val="20"/>
                <w:color w:val="auto"/>
              </w:rPr>
            </w:pPr>
            <w:r>
              <w:rPr>
                <w:rFonts w:ascii="Arial" w:cs="Arial" w:eastAsia="Arial" w:hAnsi="Arial"/>
                <w:sz w:val="17"/>
                <w:szCs w:val="17"/>
                <w:color w:val="auto"/>
              </w:rPr>
              <w:t>17,367,560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-5800090</wp:posOffset>
            </wp:positionH>
            <wp:positionV relativeFrom="paragraph">
              <wp:posOffset>-828675</wp:posOffset>
            </wp:positionV>
            <wp:extent cx="7251065" cy="1327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1065" cy="13271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-546100</wp:posOffset>
            </wp:positionV>
            <wp:extent cx="7251065" cy="14922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1065" cy="14922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-263525</wp:posOffset>
            </wp:positionV>
            <wp:extent cx="7251065" cy="1327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1065" cy="132715"/>
                    </a:xfrm>
                    <a:prstGeom prst="rect">
                      <a:avLst/>
                    </a:prstGeom>
                    <a:noFill/>
                  </pic:spPr>
                </pic:pic>
              </a:graphicData>
            </a:graphic>
          </wp:anchor>
        </w:drawing>
      </w:r>
    </w:p>
    <w:p>
      <w:pPr>
        <w:spacing w:after="0" w:line="16" w:lineRule="exact"/>
        <w:rPr>
          <w:sz w:val="20"/>
          <w:szCs w:val="20"/>
          <w:color w:val="auto"/>
        </w:rPr>
      </w:pPr>
    </w:p>
    <w:p>
      <w:pPr>
        <w:sectPr>
          <w:pgSz w:w="11900" w:h="16838" w:orient="portrait"/>
          <w:cols w:equalWidth="0" w:num="2">
            <w:col w:w="8420" w:space="720"/>
            <w:col w:w="2280"/>
          </w:cols>
          <w:pgMar w:left="240" w:top="519" w:right="239" w:bottom="1440" w:gutter="0" w:footer="0" w:header="0"/>
          <w:type w:val="continuous"/>
        </w:sectPr>
      </w:pPr>
    </w:p>
    <w:tbl>
      <w:tblPr>
        <w:tblLayout w:type="fixed"/>
        <w:tblInd w:w="0" w:type="dxa"/>
        <w:tblCellMar>
          <w:top w:w="0" w:type="dxa"/>
          <w:left w:w="0" w:type="dxa"/>
          <w:bottom w:w="0" w:type="dxa"/>
          <w:right w:w="0" w:type="dxa"/>
        </w:tblCellMar>
      </w:tblPr>
      <w:tr>
        <w:trPr>
          <w:trHeight w:val="202"/>
        </w:trPr>
        <w:tc>
          <w:tcPr>
            <w:tcW w:w="20" w:type="dxa"/>
            <w:vAlign w:val="bottom"/>
          </w:tcPr>
          <w:p>
            <w:pPr>
              <w:spacing w:after="0"/>
              <w:rPr>
                <w:sz w:val="17"/>
                <w:szCs w:val="17"/>
                <w:color w:val="auto"/>
              </w:rPr>
            </w:pPr>
          </w:p>
        </w:tc>
        <w:tc>
          <w:tcPr>
            <w:tcW w:w="9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Prior years</w:t>
            </w:r>
          </w:p>
        </w:tc>
        <w:tc>
          <w:tcPr>
            <w:tcW w:w="122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rPr>
              <w:t>4,478,249</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(101,230)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9120" w:type="dxa"/>
            <w:vAlign w:val="bottom"/>
          </w:tcPr>
          <w:p>
            <w:pPr>
              <w:spacing w:after="0"/>
              <w:rPr>
                <w:sz w:val="20"/>
                <w:szCs w:val="20"/>
                <w:color w:val="auto"/>
              </w:rPr>
            </w:pPr>
            <w:r>
              <w:rPr>
                <w:rFonts w:ascii="Arial" w:cs="Arial" w:eastAsia="Arial" w:hAnsi="Arial"/>
                <w:sz w:val="17"/>
                <w:szCs w:val="17"/>
                <w:color w:val="auto"/>
              </w:rPr>
              <w:t>Total incurred</w:t>
            </w:r>
          </w:p>
        </w:tc>
        <w:tc>
          <w:tcPr>
            <w:tcW w:w="122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29,134,224</w:t>
            </w:r>
          </w:p>
        </w:tc>
        <w:tc>
          <w:tcPr>
            <w:tcW w:w="10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17,266,330</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9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9120" w:type="dxa"/>
            <w:vAlign w:val="bottom"/>
          </w:tcPr>
          <w:p>
            <w:pPr>
              <w:spacing w:after="0"/>
              <w:rPr>
                <w:sz w:val="20"/>
                <w:szCs w:val="20"/>
                <w:color w:val="auto"/>
              </w:rPr>
            </w:pPr>
            <w:r>
              <w:rPr>
                <w:rFonts w:ascii="Arial" w:cs="Arial" w:eastAsia="Arial" w:hAnsi="Arial"/>
                <w:sz w:val="17"/>
                <w:szCs w:val="17"/>
                <w:color w:val="auto"/>
              </w:rPr>
              <w:t>Paid related to:</w:t>
            </w:r>
          </w:p>
        </w:tc>
        <w:tc>
          <w:tcPr>
            <w:tcW w:w="1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7"/>
                <w:szCs w:val="17"/>
                <w:color w:val="auto"/>
              </w:rPr>
              <w:t>Current year</w:t>
            </w:r>
          </w:p>
        </w:tc>
        <w:tc>
          <w:tcPr>
            <w:tcW w:w="122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7,731,086</w:t>
            </w:r>
          </w:p>
        </w:tc>
        <w:tc>
          <w:tcPr>
            <w:tcW w:w="106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5,971,788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9120" w:type="dxa"/>
            <w:vAlign w:val="bottom"/>
          </w:tcPr>
          <w:p>
            <w:pPr>
              <w:spacing w:after="0"/>
              <w:rPr>
                <w:sz w:val="20"/>
                <w:szCs w:val="20"/>
                <w:color w:val="auto"/>
              </w:rPr>
            </w:pPr>
            <w:r>
              <w:rPr>
                <w:rFonts w:ascii="Arial" w:cs="Arial" w:eastAsia="Arial" w:hAnsi="Arial"/>
                <w:sz w:val="17"/>
                <w:szCs w:val="17"/>
                <w:color w:val="auto"/>
              </w:rPr>
              <w:t>Prior years</w:t>
            </w:r>
          </w:p>
        </w:tc>
        <w:tc>
          <w:tcPr>
            <w:tcW w:w="122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8,405,440</w:t>
            </w:r>
          </w:p>
        </w:tc>
        <w:tc>
          <w:tcPr>
            <w:tcW w:w="10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6,495,154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9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Total paid</w:t>
            </w:r>
          </w:p>
        </w:tc>
        <w:tc>
          <w:tcPr>
            <w:tcW w:w="122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rPr>
              <w:t>16,136,526</w:t>
            </w:r>
          </w:p>
        </w:tc>
        <w:tc>
          <w:tcPr>
            <w:tcW w:w="10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12,466,942</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19" w:right="239" w:bottom="1440" w:gutter="0" w:footer="0" w:header="0"/>
          <w:type w:val="continuous"/>
        </w:sectPr>
      </w:pP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Net balance at end of period</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Add reinsurance recoverables</w:t>
      </w:r>
    </w:p>
    <w:p>
      <w:pPr>
        <w:spacing w:after="0" w:line="57" w:lineRule="exact"/>
        <w:rPr>
          <w:sz w:val="20"/>
          <w:szCs w:val="20"/>
          <w:color w:val="auto"/>
        </w:rPr>
      </w:pPr>
    </w:p>
    <w:p>
      <w:pPr>
        <w:spacing w:after="0"/>
        <w:rPr>
          <w:sz w:val="20"/>
          <w:szCs w:val="20"/>
          <w:color w:val="auto"/>
        </w:rPr>
      </w:pPr>
      <w:r>
        <w:rPr>
          <w:rFonts w:ascii="Arial" w:cs="Arial" w:eastAsia="Arial" w:hAnsi="Arial"/>
          <w:sz w:val="17"/>
          <w:szCs w:val="17"/>
          <w:color w:val="auto"/>
        </w:rPr>
        <w:t>Balance at end of period</w:t>
      </w:r>
    </w:p>
    <w:p>
      <w:pPr>
        <w:spacing w:after="0" w:line="20" w:lineRule="exact"/>
        <w:rPr>
          <w:sz w:val="20"/>
          <w:szCs w:val="20"/>
          <w:color w:val="auto"/>
        </w:rPr>
      </w:pPr>
      <w:r>
        <w:rPr>
          <w:sz w:val="20"/>
          <w:szCs w:val="20"/>
          <w:color w:val="auto"/>
        </w:rPr>
        <w:br w:type="column"/>
      </w:r>
    </w:p>
    <w:p>
      <w:pPr>
        <w:ind w:left="140"/>
        <w:spacing w:after="0"/>
        <w:tabs>
          <w:tab w:leader="none" w:pos="1260" w:val="left"/>
        </w:tabs>
        <w:rPr>
          <w:sz w:val="20"/>
          <w:szCs w:val="20"/>
          <w:color w:val="auto"/>
        </w:rPr>
      </w:pPr>
      <w:r>
        <w:rPr>
          <w:rFonts w:ascii="Arial" w:cs="Arial" w:eastAsia="Arial" w:hAnsi="Arial"/>
          <w:sz w:val="15"/>
          <w:szCs w:val="15"/>
          <w:color w:val="auto"/>
        </w:rPr>
        <w:t>53,523,557</w:t>
      </w:r>
      <w:r>
        <w:rPr>
          <w:sz w:val="20"/>
          <w:szCs w:val="20"/>
          <w:color w:val="auto"/>
        </w:rPr>
        <w:tab/>
      </w:r>
      <w:r>
        <w:rPr>
          <w:rFonts w:ascii="Arial" w:cs="Arial" w:eastAsia="Arial" w:hAnsi="Arial"/>
          <w:sz w:val="15"/>
          <w:szCs w:val="15"/>
          <w:color w:val="auto"/>
        </w:rPr>
        <w:t>36,850,102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-5876290</wp:posOffset>
            </wp:positionH>
            <wp:positionV relativeFrom="paragraph">
              <wp:posOffset>-103505</wp:posOffset>
            </wp:positionV>
            <wp:extent cx="7251065" cy="1327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1065" cy="132715"/>
                    </a:xfrm>
                    <a:prstGeom prst="rect">
                      <a:avLst/>
                    </a:prstGeom>
                    <a:noFill/>
                  </pic:spPr>
                </pic:pic>
              </a:graphicData>
            </a:graphic>
          </wp:anchor>
        </w:drawing>
      </w:r>
    </w:p>
    <w:p>
      <w:pPr>
        <w:spacing w:after="0" w:line="23" w:lineRule="exact"/>
        <w:rPr>
          <w:sz w:val="20"/>
          <w:szCs w:val="20"/>
          <w:color w:val="auto"/>
        </w:rPr>
      </w:pPr>
    </w:p>
    <w:p>
      <w:pPr>
        <w:ind w:left="140"/>
        <w:spacing w:after="0"/>
        <w:tabs>
          <w:tab w:leader="none" w:pos="1280" w:val="left"/>
        </w:tabs>
        <w:rPr>
          <w:sz w:val="20"/>
          <w:szCs w:val="20"/>
          <w:color w:val="auto"/>
        </w:rPr>
      </w:pPr>
      <w:r>
        <w:rPr>
          <w:rFonts w:ascii="Arial" w:cs="Arial" w:eastAsia="Arial" w:hAnsi="Arial"/>
          <w:sz w:val="14"/>
          <w:szCs w:val="14"/>
          <w:color w:val="auto"/>
        </w:rPr>
        <w:t>15,586,714</w:t>
      </w:r>
      <w:r>
        <w:rPr>
          <w:sz w:val="20"/>
          <w:szCs w:val="20"/>
          <w:color w:val="auto"/>
        </w:rPr>
        <w:tab/>
      </w:r>
      <w:r>
        <w:rPr>
          <w:rFonts w:ascii="Arial" w:cs="Arial" w:eastAsia="Arial" w:hAnsi="Arial"/>
          <w:sz w:val="14"/>
          <w:szCs w:val="14"/>
          <w:color w:val="auto"/>
        </w:rPr>
        <w:t>19,422,011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wp:posOffset>
            </wp:positionH>
            <wp:positionV relativeFrom="paragraph">
              <wp:posOffset>32385</wp:posOffset>
            </wp:positionV>
            <wp:extent cx="1445260" cy="165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445260" cy="16510"/>
                    </a:xfrm>
                    <a:prstGeom prst="rect">
                      <a:avLst/>
                    </a:prstGeom>
                    <a:noFill/>
                  </pic:spPr>
                </pic:pic>
              </a:graphicData>
            </a:graphic>
          </wp:anchor>
        </w:drawing>
      </w:r>
    </w:p>
    <w:p>
      <w:pPr>
        <w:spacing w:after="0" w:line="48" w:lineRule="exact"/>
        <w:rPr>
          <w:sz w:val="20"/>
          <w:szCs w:val="20"/>
          <w:color w:val="auto"/>
        </w:rPr>
      </w:pPr>
    </w:p>
    <w:p>
      <w:pPr>
        <w:spacing w:after="0"/>
        <w:tabs>
          <w:tab w:leader="none" w:pos="1120" w:val="left"/>
        </w:tabs>
        <w:rPr>
          <w:sz w:val="20"/>
          <w:szCs w:val="20"/>
          <w:color w:val="auto"/>
        </w:rPr>
      </w:pPr>
      <w:r>
        <w:rPr>
          <w:rFonts w:ascii="Arial" w:cs="Arial" w:eastAsia="Arial" w:hAnsi="Arial"/>
          <w:sz w:val="17"/>
          <w:szCs w:val="17"/>
          <w:color w:val="auto"/>
        </w:rPr>
        <w:t>$ 69,110,271</w:t>
      </w:r>
      <w:r>
        <w:rPr>
          <w:sz w:val="20"/>
          <w:szCs w:val="20"/>
          <w:color w:val="auto"/>
        </w:rPr>
        <w:tab/>
      </w:r>
      <w:r>
        <w:rPr>
          <w:rFonts w:ascii="Arial" w:cs="Arial" w:eastAsia="Arial" w:hAnsi="Arial"/>
          <w:sz w:val="15"/>
          <w:szCs w:val="15"/>
          <w:color w:val="auto"/>
        </w:rPr>
        <w:t>$ 56,272,113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-5876290</wp:posOffset>
            </wp:positionH>
            <wp:positionV relativeFrom="paragraph">
              <wp:posOffset>-118110</wp:posOffset>
            </wp:positionV>
            <wp:extent cx="7251065" cy="16637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1065" cy="16637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540" w:space="720"/>
            <w:col w:w="2160"/>
          </w:cols>
          <w:pgMar w:left="240" w:top="519" w:right="239" w:bottom="1440" w:gutter="0" w:footer="0" w:header="0"/>
          <w:type w:val="continuous"/>
        </w:sectPr>
      </w:pPr>
    </w:p>
    <w:p>
      <w:pPr>
        <w:spacing w:after="0" w:line="102" w:lineRule="exact"/>
        <w:rPr>
          <w:sz w:val="20"/>
          <w:szCs w:val="20"/>
          <w:color w:val="auto"/>
        </w:rPr>
      </w:pPr>
    </w:p>
    <w:p>
      <w:pPr>
        <w:spacing w:after="0" w:line="281" w:lineRule="auto"/>
        <w:rPr>
          <w:sz w:val="20"/>
          <w:szCs w:val="20"/>
          <w:color w:val="auto"/>
        </w:rPr>
      </w:pPr>
      <w:r>
        <w:rPr>
          <w:rFonts w:ascii="Arial" w:cs="Arial" w:eastAsia="Arial" w:hAnsi="Arial"/>
          <w:sz w:val="17"/>
          <w:szCs w:val="17"/>
          <w:color w:val="auto"/>
        </w:rPr>
        <w:t>Incurred losses and LAE are net of reinsurance recoveries under reinsurance contracts of $3,135,894 and $5,612,056 for the three months ended March 31, 2019 and 2018, respectively.</w:t>
      </w: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25106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ectPr>
          <w:pgSz w:w="11900" w:h="16838" w:orient="portrait"/>
          <w:cols w:equalWidth="0" w:num="1">
            <w:col w:w="11420"/>
          </w:cols>
          <w:pgMar w:left="240" w:top="519" w:right="239" w:bottom="1440" w:gutter="0" w:footer="0" w:header="0"/>
          <w:type w:val="continuous"/>
        </w:sectPr>
      </w:pPr>
    </w:p>
    <w:bookmarkStart w:id="23" w:name="page24"/>
    <w:bookmarkEnd w:id="23"/>
    <w:p>
      <w:pPr>
        <w:jc w:val="both"/>
        <w:spacing w:after="0" w:line="263" w:lineRule="auto"/>
        <w:rPr>
          <w:sz w:val="20"/>
          <w:szCs w:val="20"/>
          <w:color w:val="auto"/>
        </w:rPr>
      </w:pPr>
      <w:r>
        <w:rPr>
          <w:rFonts w:ascii="Arial" w:cs="Arial" w:eastAsia="Arial" w:hAnsi="Arial"/>
          <w:sz w:val="17"/>
          <w:szCs w:val="17"/>
          <w:color w:val="auto"/>
        </w:rPr>
        <w:t>Prior year incurred loss and LAE development is based upon estimates by line of business and accident year. Prior year loss and LAE development incurred during the three months ended March 31, 2019 and 2018 was $4,478,249 unfavorable and $(101,230), favorable, respectively. During the three months ended March 31, 2019, the Company increased case reserves for certain older open liability claims, which primarily affected the ultimate loss projections for commercial lines business. The Company’s management continually monitors claims activity to assess the appropriateness of carried case and incurred but not reported (“IBNR”) reserves, giving consideration to Company and industry trends.</w:t>
      </w:r>
    </w:p>
    <w:p>
      <w:pPr>
        <w:spacing w:after="0" w:line="185"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The reserving process for loss and LAE reserves provides for the Company’s best estimate at a particular point in time of the ultimate unpaid cost of all losses and LAE incurred, including settlement and administration of losses, and is based on facts and circumstances then known including losses that have occurred but that have not yet been reported. The process relies on standard actuarial reserving methodologies, judgments relative to estimates of ultimate claims’ severity and frequency, the length of time before losses will develop to their ultimate level (‘tail’ factors), and the likelihood of changes in the law or other external factors that are beyond the Company’s control. Several actuarial reserving methodologies are used to estimate required loss reserves. The process produces carried reserves set by management based upon the actuaries’ best estimate and is the cumulative combination of the best estimates made by line of business, accident year, and loss and LAE. The amount of loss and LAE reserves for individual reported claims (the “case reserve”) is determined by the claims department and changes over time as new information is gathered. Such information includes a review of coverage applicability, comparative liability on the part of the insured, injury severity, property damage, replacement cost estimates, and any other information considered pertinent to estimating the exposure presented by the claim. The amounts of loss and LAE reserves for unreported claims and development on known claims (IBNR reserves) are determined using historical information aggregated by line of insurance as adjusted to current conditions. Since this process produces loss reserves set by management based upon the actuaries’ best estimate, there is no explicit or implicit provision for uncertainty in the carried loss reserves.</w:t>
      </w:r>
    </w:p>
    <w:p>
      <w:pPr>
        <w:spacing w:after="0" w:line="182" w:lineRule="exact"/>
        <w:rPr>
          <w:sz w:val="20"/>
          <w:szCs w:val="20"/>
          <w:color w:val="auto"/>
        </w:rPr>
      </w:pPr>
    </w:p>
    <w:p>
      <w:pPr>
        <w:jc w:val="both"/>
        <w:spacing w:after="0" w:line="306" w:lineRule="auto"/>
        <w:rPr>
          <w:sz w:val="20"/>
          <w:szCs w:val="20"/>
          <w:color w:val="auto"/>
        </w:rPr>
      </w:pPr>
      <w:r>
        <w:rPr>
          <w:rFonts w:ascii="Arial" w:cs="Arial" w:eastAsia="Arial" w:hAnsi="Arial"/>
          <w:sz w:val="15"/>
          <w:szCs w:val="15"/>
          <w:color w:val="auto"/>
        </w:rPr>
        <w:t>Due to the inherent uncertainty associated with the reserving process, the ultimate liability may differ, perhaps substantially, from the original estimate. Such estimates are regularly reviewed and updated and any resulting adjustments are included in the current period’s results. Reserves are closely monitored and are recomputed periodically using the most recent information on reported claims and a variety of statistical techniques. On at least a quarterly basis, the Company reviews by line of business existing reserves, new claims, changes to existing case reserves and paid losses with respect to the current and prior periods. Several methods are used, varying by line of business and accident year, in order to select the estimated period-end loss reserves. These methods include the following:</w:t>
      </w:r>
    </w:p>
    <w:p>
      <w:pPr>
        <w:spacing w:after="0" w:line="156" w:lineRule="exact"/>
        <w:rPr>
          <w:sz w:val="20"/>
          <w:szCs w:val="20"/>
          <w:color w:val="auto"/>
        </w:rPr>
      </w:pPr>
    </w:p>
    <w:p>
      <w:pPr>
        <w:ind w:left="640"/>
        <w:spacing w:after="0"/>
        <w:rPr>
          <w:sz w:val="20"/>
          <w:szCs w:val="20"/>
          <w:color w:val="auto"/>
        </w:rPr>
      </w:pPr>
      <w:r>
        <w:rPr>
          <w:rFonts w:ascii="Arial" w:cs="Arial" w:eastAsia="Arial" w:hAnsi="Arial"/>
          <w:sz w:val="15"/>
          <w:szCs w:val="15"/>
          <w:i w:val="1"/>
          <w:iCs w:val="1"/>
          <w:color w:val="auto"/>
        </w:rPr>
        <w:t xml:space="preserve">Paid Loss Development </w:t>
      </w:r>
      <w:r>
        <w:rPr>
          <w:rFonts w:ascii="Arial" w:cs="Arial" w:eastAsia="Arial" w:hAnsi="Arial"/>
          <w:sz w:val="15"/>
          <w:szCs w:val="15"/>
          <w:color w:val="auto"/>
        </w:rPr>
        <w:t>– historical patterns of paid loss development are used to project future paid loss emergence in order to estimate required reserves.</w:t>
      </w:r>
    </w:p>
    <w:p>
      <w:pPr>
        <w:spacing w:after="0" w:line="246" w:lineRule="exact"/>
        <w:rPr>
          <w:sz w:val="20"/>
          <w:szCs w:val="20"/>
          <w:color w:val="auto"/>
        </w:rPr>
      </w:pPr>
    </w:p>
    <w:p>
      <w:pPr>
        <w:jc w:val="both"/>
        <w:ind w:left="640"/>
        <w:spacing w:after="0" w:line="281" w:lineRule="auto"/>
        <w:rPr>
          <w:sz w:val="20"/>
          <w:szCs w:val="20"/>
          <w:color w:val="auto"/>
        </w:rPr>
      </w:pPr>
      <w:r>
        <w:rPr>
          <w:rFonts w:ascii="Arial" w:cs="Arial" w:eastAsia="Arial" w:hAnsi="Arial"/>
          <w:sz w:val="17"/>
          <w:szCs w:val="17"/>
          <w:i w:val="1"/>
          <w:iCs w:val="1"/>
          <w:color w:val="auto"/>
        </w:rPr>
        <w:t xml:space="preserve">Incurred Loss Development </w:t>
      </w:r>
      <w:r>
        <w:rPr>
          <w:rFonts w:ascii="Arial" w:cs="Arial" w:eastAsia="Arial" w:hAnsi="Arial"/>
          <w:sz w:val="17"/>
          <w:szCs w:val="17"/>
          <w:color w:val="auto"/>
        </w:rPr>
        <w:t>– historical patterns of incurred loss development, reflecting both paid losses and changes in case reserves, are used to project</w:t>
      </w:r>
      <w:r>
        <w:rPr>
          <w:rFonts w:ascii="Arial" w:cs="Arial" w:eastAsia="Arial" w:hAnsi="Arial"/>
          <w:sz w:val="17"/>
          <w:szCs w:val="17"/>
          <w:i w:val="1"/>
          <w:iCs w:val="1"/>
          <w:color w:val="auto"/>
        </w:rPr>
        <w:t xml:space="preserve"> </w:t>
      </w:r>
      <w:r>
        <w:rPr>
          <w:rFonts w:ascii="Arial" w:cs="Arial" w:eastAsia="Arial" w:hAnsi="Arial"/>
          <w:sz w:val="17"/>
          <w:szCs w:val="17"/>
          <w:color w:val="auto"/>
        </w:rPr>
        <w:t>future incurred loss emergence in order to estimate required reserves.</w:t>
      </w:r>
    </w:p>
    <w:p>
      <w:pPr>
        <w:spacing w:after="0" w:line="170" w:lineRule="exact"/>
        <w:rPr>
          <w:sz w:val="20"/>
          <w:szCs w:val="20"/>
          <w:color w:val="auto"/>
        </w:rPr>
      </w:pPr>
    </w:p>
    <w:p>
      <w:pPr>
        <w:jc w:val="both"/>
        <w:ind w:left="640"/>
        <w:spacing w:after="0" w:line="286" w:lineRule="auto"/>
        <w:rPr>
          <w:sz w:val="20"/>
          <w:szCs w:val="20"/>
          <w:color w:val="auto"/>
        </w:rPr>
      </w:pPr>
      <w:r>
        <w:rPr>
          <w:rFonts w:ascii="Arial" w:cs="Arial" w:eastAsia="Arial" w:hAnsi="Arial"/>
          <w:sz w:val="16"/>
          <w:szCs w:val="16"/>
          <w:i w:val="1"/>
          <w:iCs w:val="1"/>
          <w:color w:val="auto"/>
        </w:rPr>
        <w:t xml:space="preserve">Paid Bornhuetter-Ferguson (“BF”) </w:t>
      </w:r>
      <w:r>
        <w:rPr>
          <w:rFonts w:ascii="Arial" w:cs="Arial" w:eastAsia="Arial" w:hAnsi="Arial"/>
          <w:sz w:val="16"/>
          <w:szCs w:val="16"/>
          <w:color w:val="auto"/>
        </w:rPr>
        <w:t>– an estimated loss ratio for a particular accident year is determined, and is weighted against the portion of the accident</w:t>
      </w:r>
      <w:r>
        <w:rPr>
          <w:rFonts w:ascii="Arial" w:cs="Arial" w:eastAsia="Arial" w:hAnsi="Arial"/>
          <w:sz w:val="16"/>
          <w:szCs w:val="16"/>
          <w:i w:val="1"/>
          <w:iCs w:val="1"/>
          <w:color w:val="auto"/>
        </w:rPr>
        <w:t xml:space="preserve"> </w:t>
      </w:r>
      <w:r>
        <w:rPr>
          <w:rFonts w:ascii="Arial" w:cs="Arial" w:eastAsia="Arial" w:hAnsi="Arial"/>
          <w:sz w:val="16"/>
          <w:szCs w:val="16"/>
          <w:color w:val="auto"/>
        </w:rPr>
        <w:t>year claims that have been paid, based on historical paid loss development patterns. The estimate of required reserves assumes that the remaining unpaid portion of a particular accident year will pay out at a rate consistent with the estimated loss ratio for that year. This method can be useful for situations where an unusually high or low amount of paid losses exists at the early stages of the claims development process.</w:t>
      </w:r>
    </w:p>
    <w:p>
      <w:pPr>
        <w:spacing w:after="0" w:line="169" w:lineRule="exact"/>
        <w:rPr>
          <w:sz w:val="20"/>
          <w:szCs w:val="20"/>
          <w:color w:val="auto"/>
        </w:rPr>
      </w:pPr>
    </w:p>
    <w:p>
      <w:pPr>
        <w:jc w:val="both"/>
        <w:ind w:left="640"/>
        <w:spacing w:after="0" w:line="286" w:lineRule="auto"/>
        <w:rPr>
          <w:sz w:val="20"/>
          <w:szCs w:val="20"/>
          <w:color w:val="auto"/>
        </w:rPr>
      </w:pPr>
      <w:r>
        <w:rPr>
          <w:rFonts w:ascii="Arial" w:cs="Arial" w:eastAsia="Arial" w:hAnsi="Arial"/>
          <w:sz w:val="16"/>
          <w:szCs w:val="16"/>
          <w:i w:val="1"/>
          <w:iCs w:val="1"/>
          <w:color w:val="auto"/>
        </w:rPr>
        <w:t xml:space="preserve">Incurred Bornhuetter-Ferguson (“BF”) </w:t>
      </w:r>
      <w:r>
        <w:rPr>
          <w:rFonts w:ascii="Arial" w:cs="Arial" w:eastAsia="Arial" w:hAnsi="Arial"/>
          <w:sz w:val="16"/>
          <w:szCs w:val="16"/>
          <w:color w:val="auto"/>
        </w:rPr>
        <w:t>- an estimated loss ratio for a particular accident year is determined, and is weighted against the portion of the</w:t>
      </w:r>
      <w:r>
        <w:rPr>
          <w:rFonts w:ascii="Arial" w:cs="Arial" w:eastAsia="Arial" w:hAnsi="Arial"/>
          <w:sz w:val="16"/>
          <w:szCs w:val="16"/>
          <w:i w:val="1"/>
          <w:iCs w:val="1"/>
          <w:color w:val="auto"/>
        </w:rPr>
        <w:t xml:space="preserve"> </w:t>
      </w:r>
      <w:r>
        <w:rPr>
          <w:rFonts w:ascii="Arial" w:cs="Arial" w:eastAsia="Arial" w:hAnsi="Arial"/>
          <w:sz w:val="16"/>
          <w:szCs w:val="16"/>
          <w:color w:val="auto"/>
        </w:rPr>
        <w:t>accident year claims that have been reported, based on historical incurred loss development patterns. The estimate of required reserves assumes that the remaining unreported portion of a particular accident year will pay out at a rate consistent with the estimated loss ratio for that year. This method can be useful for situations where an unusually high or low amount of reported losses exists at the early stages of the claims development process.</w:t>
      </w:r>
    </w:p>
    <w:p>
      <w:pPr>
        <w:spacing w:after="0" w:line="169" w:lineRule="exact"/>
        <w:rPr>
          <w:sz w:val="20"/>
          <w:szCs w:val="20"/>
          <w:color w:val="auto"/>
        </w:rPr>
      </w:pPr>
    </w:p>
    <w:p>
      <w:pPr>
        <w:jc w:val="both"/>
        <w:ind w:left="640"/>
        <w:spacing w:after="0" w:line="311" w:lineRule="auto"/>
        <w:rPr>
          <w:sz w:val="20"/>
          <w:szCs w:val="20"/>
          <w:color w:val="auto"/>
        </w:rPr>
      </w:pPr>
      <w:r>
        <w:rPr>
          <w:rFonts w:ascii="Arial" w:cs="Arial" w:eastAsia="Arial" w:hAnsi="Arial"/>
          <w:sz w:val="15"/>
          <w:szCs w:val="15"/>
          <w:i w:val="1"/>
          <w:iCs w:val="1"/>
          <w:color w:val="auto"/>
        </w:rPr>
        <w:t xml:space="preserve">Incremental Claim-Based Methods </w:t>
      </w:r>
      <w:r>
        <w:rPr>
          <w:rFonts w:ascii="Arial" w:cs="Arial" w:eastAsia="Arial" w:hAnsi="Arial"/>
          <w:sz w:val="15"/>
          <w:szCs w:val="15"/>
          <w:color w:val="auto"/>
        </w:rPr>
        <w:t>– historical patterns of incremental incurred losses and paid LAE during various stages of development are reviewed and</w:t>
      </w:r>
      <w:r>
        <w:rPr>
          <w:rFonts w:ascii="Arial" w:cs="Arial" w:eastAsia="Arial" w:hAnsi="Arial"/>
          <w:sz w:val="15"/>
          <w:szCs w:val="15"/>
          <w:i w:val="1"/>
          <w:iCs w:val="1"/>
          <w:color w:val="auto"/>
        </w:rPr>
        <w:t xml:space="preserve"> </w:t>
      </w:r>
      <w:r>
        <w:rPr>
          <w:rFonts w:ascii="Arial" w:cs="Arial" w:eastAsia="Arial" w:hAnsi="Arial"/>
          <w:sz w:val="15"/>
          <w:szCs w:val="15"/>
          <w:color w:val="auto"/>
        </w:rPr>
        <w:t>assumptions are made regarding average loss and LAE development applied to remaining claims inventory. Such methods more properly reflect changes in the speed of claims closure and the relative adequacy of case reserve levels at various stages of development. These methods also provide a more accurate estimate of IBNR for lines of business with relatively few remaining open claims but for which significant recent settlement activity has occurred.</w:t>
      </w:r>
    </w:p>
    <w:p>
      <w:pPr>
        <w:spacing w:after="0" w:line="15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Management’s best estimate of required reserves is generally based on an average of the methods above, with appropriate weighting of the various methods based on the line of business and accident year being projected. In some cases, additional methods or historical data from industry sources are employed to supplement the projections derived from the methods listed above.</w:t>
      </w:r>
    </w:p>
    <w:p>
      <w:pPr>
        <w:spacing w:after="0" w:line="18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Two key assumptions that materially affect the estimate of loss reserves are the loss ratio estimate for the current accident year used in the BF methods described above, and the loss development factor selections used in the loss development methods described above. The loss ratio estimates used in the BF methods are selected after reviewing historical accident year loss ratios adjusted for rate changes, trend, and mix of business.</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25106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ectPr>
          <w:pgSz w:w="11900" w:h="16838" w:orient="portrait"/>
          <w:cols w:equalWidth="0" w:num="1">
            <w:col w:w="11420"/>
          </w:cols>
          <w:pgMar w:left="240" w:top="497" w:right="239" w:bottom="1440" w:gutter="0" w:footer="0" w:header="0"/>
        </w:sectPr>
      </w:pPr>
    </w:p>
    <w:bookmarkStart w:id="24" w:name="page25"/>
    <w:bookmarkEnd w:id="24"/>
    <w:p>
      <w:pPr>
        <w:jc w:val="both"/>
        <w:spacing w:after="0" w:line="281" w:lineRule="auto"/>
        <w:rPr>
          <w:sz w:val="20"/>
          <w:szCs w:val="20"/>
          <w:color w:val="auto"/>
        </w:rPr>
      </w:pPr>
      <w:r>
        <w:rPr>
          <w:rFonts w:ascii="Arial" w:cs="Arial" w:eastAsia="Arial" w:hAnsi="Arial"/>
          <w:sz w:val="17"/>
          <w:szCs w:val="17"/>
          <w:color w:val="auto"/>
        </w:rPr>
        <w:t>The Company is not aware of any claim trends that have emerged or that would cause future adverse development that have not already been considered in existing case reserves and in its current loss development factors.</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New York State, lawsuits for negligence are subject to certain limitations and must be commenced within three years from the date of the accident or are otherwise barred. Accordingly, the Company’s exposure to unreported claims (“pure” IBNR) for accident dates of March 31, 2016 and prior is limited, although there remains the possibility of adverse development on reported claims (“case development” IBNR). In certain rare circumstances states have retroactively revised a statute of limitations. The Company is not aware of any such effort that would have a material impact on the Company’s results.</w:t>
      </w:r>
    </w:p>
    <w:p>
      <w:pPr>
        <w:spacing w:after="0" w:line="169" w:lineRule="exact"/>
        <w:rPr>
          <w:sz w:val="20"/>
          <w:szCs w:val="20"/>
          <w:color w:val="auto"/>
        </w:rPr>
      </w:pPr>
    </w:p>
    <w:p>
      <w:pPr>
        <w:jc w:val="both"/>
        <w:spacing w:after="0" w:line="321" w:lineRule="auto"/>
        <w:rPr>
          <w:sz w:val="20"/>
          <w:szCs w:val="20"/>
          <w:color w:val="auto"/>
        </w:rPr>
      </w:pPr>
      <w:r>
        <w:rPr>
          <w:rFonts w:ascii="Arial" w:cs="Arial" w:eastAsia="Arial" w:hAnsi="Arial"/>
          <w:sz w:val="15"/>
          <w:szCs w:val="15"/>
          <w:color w:val="auto"/>
        </w:rPr>
        <w:t>The following is information about incurred and paid claims development as of March 31, 2019, net of reinsurance, as well as the cumulative reported claims by accident year and total IBNR reserves as of March 31, 2019 included in the net incurred loss and allocated expense amounts. The historical information regarding incurred and paid claims development for the years ended December 31, 2010 to December 31, 2018 is presented as supplementary unaudited information.</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25106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25" w:name="page26"/>
    <w:bookmarkEnd w:id="25"/>
    <w:p>
      <w:pPr>
        <w:spacing w:after="0"/>
        <w:rPr>
          <w:sz w:val="20"/>
          <w:szCs w:val="20"/>
          <w:color w:val="auto"/>
        </w:rPr>
      </w:pPr>
      <w:r>
        <w:rPr>
          <w:rFonts w:ascii="Arial" w:cs="Arial" w:eastAsia="Arial" w:hAnsi="Arial"/>
          <w:sz w:val="17"/>
          <w:szCs w:val="17"/>
          <w:b w:val="1"/>
          <w:bCs w:val="1"/>
          <w:color w:val="auto"/>
        </w:rPr>
        <w:t>All Lines of Business</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 thousands, except reported claims data)</w:t>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6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1"/>
              </w:rPr>
              <w:t>As of</w:t>
            </w:r>
          </w:p>
        </w:tc>
      </w:tr>
      <w:tr>
        <w:trPr>
          <w:trHeight w:val="200"/>
        </w:trPr>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0" w:type="dxa"/>
            <w:vAlign w:val="bottom"/>
            <w:gridSpan w:val="11"/>
          </w:tcPr>
          <w:p>
            <w:pPr>
              <w:jc w:val="right"/>
              <w:ind w:right="297"/>
              <w:spacing w:after="0"/>
              <w:rPr>
                <w:sz w:val="20"/>
                <w:szCs w:val="20"/>
                <w:color w:val="auto"/>
              </w:rPr>
            </w:pPr>
            <w:r>
              <w:rPr>
                <w:rFonts w:ascii="Arial" w:cs="Arial" w:eastAsia="Arial" w:hAnsi="Arial"/>
                <w:sz w:val="14"/>
                <w:szCs w:val="14"/>
                <w:b w:val="1"/>
                <w:bCs w:val="1"/>
                <w:color w:val="auto"/>
                <w:w w:val="94"/>
              </w:rPr>
              <w:t>Incurred Loss and Allocated Loss Adjustment Expenses, Net of Reinsurance</w:t>
            </w: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6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6"/>
              </w:rPr>
              <w:t>March 31, 2019</w:t>
            </w:r>
          </w:p>
        </w:tc>
      </w:tr>
      <w:tr>
        <w:trPr>
          <w:trHeight w:val="144"/>
        </w:trPr>
        <w:tc>
          <w:tcPr>
            <w:tcW w:w="56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center"/>
              <w:spacing w:after="0" w:line="144" w:lineRule="exact"/>
              <w:rPr>
                <w:sz w:val="20"/>
                <w:szCs w:val="20"/>
                <w:color w:val="auto"/>
              </w:rPr>
            </w:pPr>
            <w:r>
              <w:rPr>
                <w:rFonts w:ascii="Arial" w:cs="Arial" w:eastAsia="Arial" w:hAnsi="Arial"/>
                <w:sz w:val="14"/>
                <w:szCs w:val="14"/>
                <w:b w:val="1"/>
                <w:bCs w:val="1"/>
                <w:color w:val="auto"/>
                <w:w w:val="95"/>
              </w:rPr>
              <w:t>Cumulative</w:t>
            </w:r>
          </w:p>
        </w:tc>
        <w:tc>
          <w:tcPr>
            <w:tcW w:w="100" w:type="dxa"/>
            <w:vAlign w:val="bottom"/>
          </w:tcPr>
          <w:p>
            <w:pPr>
              <w:spacing w:after="0"/>
              <w:rPr>
                <w:sz w:val="12"/>
                <w:szCs w:val="12"/>
                <w:color w:val="auto"/>
              </w:rPr>
            </w:pPr>
          </w:p>
        </w:tc>
      </w:tr>
      <w:tr>
        <w:trPr>
          <w:trHeight w:val="157"/>
        </w:trPr>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jc w:val="center"/>
              <w:ind w:right="138"/>
              <w:spacing w:after="0" w:line="157" w:lineRule="exact"/>
              <w:rPr>
                <w:sz w:val="20"/>
                <w:szCs w:val="20"/>
                <w:color w:val="auto"/>
              </w:rPr>
            </w:pPr>
            <w:r>
              <w:rPr>
                <w:rFonts w:ascii="Arial" w:cs="Arial" w:eastAsia="Arial" w:hAnsi="Arial"/>
                <w:sz w:val="14"/>
                <w:szCs w:val="14"/>
                <w:b w:val="1"/>
                <w:bCs w:val="1"/>
                <w:color w:val="auto"/>
                <w:w w:val="94"/>
              </w:rPr>
              <w:t>Three</w:t>
            </w: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0" w:type="dxa"/>
            <w:vAlign w:val="bottom"/>
            <w:gridSpan w:val="2"/>
          </w:tcPr>
          <w:p>
            <w:pPr>
              <w:jc w:val="center"/>
              <w:ind w:right="100"/>
              <w:spacing w:after="0" w:line="157" w:lineRule="exact"/>
              <w:rPr>
                <w:sz w:val="20"/>
                <w:szCs w:val="20"/>
                <w:color w:val="auto"/>
              </w:rPr>
            </w:pPr>
            <w:r>
              <w:rPr>
                <w:rFonts w:ascii="Arial" w:cs="Arial" w:eastAsia="Arial" w:hAnsi="Arial"/>
                <w:sz w:val="14"/>
                <w:szCs w:val="14"/>
                <w:b w:val="1"/>
                <w:bCs w:val="1"/>
                <w:color w:val="auto"/>
                <w:w w:val="94"/>
              </w:rPr>
              <w:t>Number of</w:t>
            </w:r>
          </w:p>
        </w:tc>
      </w:tr>
      <w:tr>
        <w:trPr>
          <w:trHeight w:val="157"/>
        </w:trPr>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jc w:val="center"/>
              <w:ind w:right="118"/>
              <w:spacing w:after="0" w:line="157" w:lineRule="exact"/>
              <w:rPr>
                <w:sz w:val="20"/>
                <w:szCs w:val="20"/>
                <w:color w:val="auto"/>
              </w:rPr>
            </w:pPr>
            <w:r>
              <w:rPr>
                <w:rFonts w:ascii="Arial" w:cs="Arial" w:eastAsia="Arial" w:hAnsi="Arial"/>
                <w:sz w:val="14"/>
                <w:szCs w:val="14"/>
                <w:b w:val="1"/>
                <w:bCs w:val="1"/>
                <w:color w:val="auto"/>
                <w:w w:val="92"/>
              </w:rPr>
              <w:t>Months</w:t>
            </w: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0" w:type="dxa"/>
            <w:vAlign w:val="bottom"/>
            <w:gridSpan w:val="2"/>
          </w:tcPr>
          <w:p>
            <w:pPr>
              <w:jc w:val="center"/>
              <w:ind w:right="100"/>
              <w:spacing w:after="0" w:line="157" w:lineRule="exact"/>
              <w:rPr>
                <w:sz w:val="20"/>
                <w:szCs w:val="20"/>
                <w:color w:val="auto"/>
              </w:rPr>
            </w:pPr>
            <w:r>
              <w:rPr>
                <w:rFonts w:ascii="Arial" w:cs="Arial" w:eastAsia="Arial" w:hAnsi="Arial"/>
                <w:sz w:val="14"/>
                <w:szCs w:val="14"/>
                <w:b w:val="1"/>
                <w:bCs w:val="1"/>
                <w:color w:val="auto"/>
                <w:w w:val="94"/>
              </w:rPr>
              <w:t>Reported</w:t>
            </w:r>
          </w:p>
        </w:tc>
      </w:tr>
      <w:tr>
        <w:trPr>
          <w:trHeight w:val="157"/>
        </w:trPr>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jc w:val="center"/>
              <w:ind w:right="138"/>
              <w:spacing w:after="0" w:line="157" w:lineRule="exact"/>
              <w:rPr>
                <w:sz w:val="20"/>
                <w:szCs w:val="20"/>
                <w:color w:val="auto"/>
              </w:rPr>
            </w:pPr>
            <w:r>
              <w:rPr>
                <w:rFonts w:ascii="Arial" w:cs="Arial" w:eastAsia="Arial" w:hAnsi="Arial"/>
                <w:sz w:val="14"/>
                <w:szCs w:val="14"/>
                <w:b w:val="1"/>
                <w:bCs w:val="1"/>
                <w:color w:val="auto"/>
                <w:w w:val="93"/>
              </w:rPr>
              <w:t>Ended</w:t>
            </w: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0" w:type="dxa"/>
            <w:vAlign w:val="bottom"/>
            <w:gridSpan w:val="2"/>
          </w:tcPr>
          <w:p>
            <w:pPr>
              <w:jc w:val="center"/>
              <w:ind w:right="100"/>
              <w:spacing w:after="0" w:line="157" w:lineRule="exact"/>
              <w:rPr>
                <w:sz w:val="20"/>
                <w:szCs w:val="20"/>
                <w:color w:val="auto"/>
              </w:rPr>
            </w:pPr>
            <w:r>
              <w:rPr>
                <w:rFonts w:ascii="Arial" w:cs="Arial" w:eastAsia="Arial" w:hAnsi="Arial"/>
                <w:sz w:val="14"/>
                <w:szCs w:val="14"/>
                <w:b w:val="1"/>
                <w:bCs w:val="1"/>
                <w:color w:val="auto"/>
                <w:w w:val="93"/>
              </w:rPr>
              <w:t>Claims by</w:t>
            </w:r>
          </w:p>
        </w:tc>
      </w:tr>
      <w:tr>
        <w:trPr>
          <w:trHeight w:val="177"/>
        </w:trPr>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91"/>
              </w:rPr>
              <w:t>Accident</w:t>
            </w:r>
          </w:p>
        </w:tc>
        <w:tc>
          <w:tcPr>
            <w:tcW w:w="2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gridSpan w:val="5"/>
          </w:tcPr>
          <w:p>
            <w:pPr>
              <w:jc w:val="center"/>
              <w:ind w:right="137"/>
              <w:spacing w:after="0"/>
              <w:rPr>
                <w:sz w:val="20"/>
                <w:szCs w:val="20"/>
                <w:color w:val="auto"/>
              </w:rPr>
            </w:pPr>
            <w:r>
              <w:rPr>
                <w:rFonts w:ascii="Arial" w:cs="Arial" w:eastAsia="Arial" w:hAnsi="Arial"/>
                <w:sz w:val="14"/>
                <w:szCs w:val="14"/>
                <w:b w:val="1"/>
                <w:bCs w:val="1"/>
                <w:color w:val="auto"/>
                <w:w w:val="92"/>
              </w:rPr>
              <w:t>For the Years Ended December 31,</w:t>
            </w:r>
          </w:p>
        </w:tc>
        <w:tc>
          <w:tcPr>
            <w:tcW w:w="2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8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March 31,</w:t>
            </w: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Accident</w:t>
            </w:r>
          </w:p>
        </w:tc>
      </w:tr>
      <w:tr>
        <w:trPr>
          <w:trHeight w:val="163"/>
        </w:trPr>
        <w:tc>
          <w:tcPr>
            <w:tcW w:w="56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2"/>
              </w:rPr>
              <w:t>Year</w:t>
            </w:r>
          </w:p>
        </w:tc>
        <w:tc>
          <w:tcPr>
            <w:tcW w:w="260" w:type="dxa"/>
            <w:vAlign w:val="bottom"/>
          </w:tcPr>
          <w:p>
            <w:pPr>
              <w:spacing w:after="0"/>
              <w:rPr>
                <w:sz w:val="14"/>
                <w:szCs w:val="14"/>
                <w:color w:val="auto"/>
              </w:rPr>
            </w:pPr>
          </w:p>
        </w:tc>
        <w:tc>
          <w:tcPr>
            <w:tcW w:w="660" w:type="dxa"/>
            <w:vAlign w:val="bottom"/>
          </w:tcPr>
          <w:p>
            <w:pPr>
              <w:jc w:val="right"/>
              <w:ind w:right="242"/>
              <w:spacing w:after="0" w:line="157" w:lineRule="exact"/>
              <w:rPr>
                <w:sz w:val="20"/>
                <w:szCs w:val="20"/>
                <w:color w:val="auto"/>
              </w:rPr>
            </w:pPr>
            <w:r>
              <w:rPr>
                <w:rFonts w:ascii="Arial" w:cs="Arial" w:eastAsia="Arial" w:hAnsi="Arial"/>
                <w:sz w:val="14"/>
                <w:szCs w:val="14"/>
                <w:b w:val="1"/>
                <w:bCs w:val="1"/>
                <w:color w:val="auto"/>
              </w:rPr>
              <w:t>2010</w:t>
            </w:r>
          </w:p>
        </w:tc>
        <w:tc>
          <w:tcPr>
            <w:tcW w:w="240" w:type="dxa"/>
            <w:vAlign w:val="bottom"/>
          </w:tcPr>
          <w:p>
            <w:pPr>
              <w:spacing w:after="0"/>
              <w:rPr>
                <w:sz w:val="14"/>
                <w:szCs w:val="14"/>
                <w:color w:val="auto"/>
              </w:rPr>
            </w:pPr>
          </w:p>
        </w:tc>
        <w:tc>
          <w:tcPr>
            <w:tcW w:w="680" w:type="dxa"/>
            <w:vAlign w:val="bottom"/>
          </w:tcPr>
          <w:p>
            <w:pPr>
              <w:jc w:val="right"/>
              <w:ind w:right="242"/>
              <w:spacing w:after="0" w:line="157" w:lineRule="exact"/>
              <w:rPr>
                <w:sz w:val="20"/>
                <w:szCs w:val="20"/>
                <w:color w:val="auto"/>
              </w:rPr>
            </w:pPr>
            <w:r>
              <w:rPr>
                <w:rFonts w:ascii="Arial" w:cs="Arial" w:eastAsia="Arial" w:hAnsi="Arial"/>
                <w:sz w:val="14"/>
                <w:szCs w:val="14"/>
                <w:b w:val="1"/>
                <w:bCs w:val="1"/>
                <w:color w:val="auto"/>
              </w:rPr>
              <w:t>2011</w:t>
            </w:r>
          </w:p>
        </w:tc>
        <w:tc>
          <w:tcPr>
            <w:tcW w:w="240" w:type="dxa"/>
            <w:vAlign w:val="bottom"/>
          </w:tcPr>
          <w:p>
            <w:pPr>
              <w:spacing w:after="0"/>
              <w:rPr>
                <w:sz w:val="14"/>
                <w:szCs w:val="14"/>
                <w:color w:val="auto"/>
              </w:rPr>
            </w:pPr>
          </w:p>
        </w:tc>
        <w:tc>
          <w:tcPr>
            <w:tcW w:w="660" w:type="dxa"/>
            <w:vAlign w:val="bottom"/>
          </w:tcPr>
          <w:p>
            <w:pPr>
              <w:jc w:val="right"/>
              <w:ind w:right="218"/>
              <w:spacing w:after="0" w:line="157" w:lineRule="exact"/>
              <w:rPr>
                <w:sz w:val="20"/>
                <w:szCs w:val="20"/>
                <w:color w:val="auto"/>
              </w:rPr>
            </w:pPr>
            <w:r>
              <w:rPr>
                <w:rFonts w:ascii="Arial" w:cs="Arial" w:eastAsia="Arial" w:hAnsi="Arial"/>
                <w:sz w:val="14"/>
                <w:szCs w:val="14"/>
                <w:b w:val="1"/>
                <w:bCs w:val="1"/>
                <w:color w:val="auto"/>
              </w:rPr>
              <w:t>2012</w:t>
            </w:r>
          </w:p>
        </w:tc>
        <w:tc>
          <w:tcPr>
            <w:tcW w:w="220" w:type="dxa"/>
            <w:vAlign w:val="bottom"/>
          </w:tcPr>
          <w:p>
            <w:pPr>
              <w:spacing w:after="0"/>
              <w:rPr>
                <w:sz w:val="14"/>
                <w:szCs w:val="14"/>
                <w:color w:val="auto"/>
              </w:rPr>
            </w:pPr>
          </w:p>
        </w:tc>
        <w:tc>
          <w:tcPr>
            <w:tcW w:w="680" w:type="dxa"/>
            <w:vAlign w:val="bottom"/>
          </w:tcPr>
          <w:p>
            <w:pPr>
              <w:jc w:val="right"/>
              <w:ind w:right="221"/>
              <w:spacing w:after="0" w:line="157" w:lineRule="exact"/>
              <w:rPr>
                <w:sz w:val="20"/>
                <w:szCs w:val="20"/>
                <w:color w:val="auto"/>
              </w:rPr>
            </w:pPr>
            <w:r>
              <w:rPr>
                <w:rFonts w:ascii="Arial" w:cs="Arial" w:eastAsia="Arial" w:hAnsi="Arial"/>
                <w:sz w:val="14"/>
                <w:szCs w:val="14"/>
                <w:b w:val="1"/>
                <w:bCs w:val="1"/>
                <w:color w:val="auto"/>
              </w:rPr>
              <w:t>2013</w:t>
            </w:r>
          </w:p>
        </w:tc>
        <w:tc>
          <w:tcPr>
            <w:tcW w:w="240" w:type="dxa"/>
            <w:vAlign w:val="bottom"/>
          </w:tcPr>
          <w:p>
            <w:pPr>
              <w:spacing w:after="0"/>
              <w:rPr>
                <w:sz w:val="14"/>
                <w:szCs w:val="14"/>
                <w:color w:val="auto"/>
              </w:rPr>
            </w:pPr>
          </w:p>
        </w:tc>
        <w:tc>
          <w:tcPr>
            <w:tcW w:w="660" w:type="dxa"/>
            <w:vAlign w:val="bottom"/>
          </w:tcPr>
          <w:p>
            <w:pPr>
              <w:jc w:val="center"/>
              <w:ind w:right="137"/>
              <w:spacing w:after="0" w:line="157" w:lineRule="exact"/>
              <w:rPr>
                <w:sz w:val="20"/>
                <w:szCs w:val="20"/>
                <w:color w:val="auto"/>
              </w:rPr>
            </w:pPr>
            <w:r>
              <w:rPr>
                <w:rFonts w:ascii="Arial" w:cs="Arial" w:eastAsia="Arial" w:hAnsi="Arial"/>
                <w:sz w:val="14"/>
                <w:szCs w:val="14"/>
                <w:b w:val="1"/>
                <w:bCs w:val="1"/>
                <w:color w:val="auto"/>
                <w:w w:val="89"/>
              </w:rPr>
              <w:t>2014</w:t>
            </w:r>
          </w:p>
        </w:tc>
        <w:tc>
          <w:tcPr>
            <w:tcW w:w="300" w:type="dxa"/>
            <w:vAlign w:val="bottom"/>
          </w:tcPr>
          <w:p>
            <w:pPr>
              <w:spacing w:after="0"/>
              <w:rPr>
                <w:sz w:val="14"/>
                <w:szCs w:val="14"/>
                <w:color w:val="auto"/>
              </w:rPr>
            </w:pPr>
          </w:p>
        </w:tc>
        <w:tc>
          <w:tcPr>
            <w:tcW w:w="600" w:type="dxa"/>
            <w:vAlign w:val="bottom"/>
          </w:tcPr>
          <w:p>
            <w:pPr>
              <w:jc w:val="right"/>
              <w:ind w:right="217"/>
              <w:spacing w:after="0" w:line="157" w:lineRule="exact"/>
              <w:rPr>
                <w:sz w:val="20"/>
                <w:szCs w:val="20"/>
                <w:color w:val="auto"/>
              </w:rPr>
            </w:pPr>
            <w:r>
              <w:rPr>
                <w:rFonts w:ascii="Arial" w:cs="Arial" w:eastAsia="Arial" w:hAnsi="Arial"/>
                <w:sz w:val="14"/>
                <w:szCs w:val="14"/>
                <w:b w:val="1"/>
                <w:bCs w:val="1"/>
                <w:color w:val="auto"/>
                <w:w w:val="89"/>
              </w:rPr>
              <w:t>2015</w:t>
            </w:r>
          </w:p>
        </w:tc>
        <w:tc>
          <w:tcPr>
            <w:tcW w:w="240" w:type="dxa"/>
            <w:vAlign w:val="bottom"/>
          </w:tcPr>
          <w:p>
            <w:pPr>
              <w:spacing w:after="0"/>
              <w:rPr>
                <w:sz w:val="14"/>
                <w:szCs w:val="14"/>
                <w:color w:val="auto"/>
              </w:rPr>
            </w:pPr>
          </w:p>
        </w:tc>
        <w:tc>
          <w:tcPr>
            <w:tcW w:w="680" w:type="dxa"/>
            <w:vAlign w:val="bottom"/>
          </w:tcPr>
          <w:p>
            <w:pPr>
              <w:jc w:val="right"/>
              <w:ind w:right="237"/>
              <w:spacing w:after="0" w:line="157" w:lineRule="exact"/>
              <w:rPr>
                <w:sz w:val="20"/>
                <w:szCs w:val="20"/>
                <w:color w:val="auto"/>
              </w:rPr>
            </w:pPr>
            <w:r>
              <w:rPr>
                <w:rFonts w:ascii="Arial" w:cs="Arial" w:eastAsia="Arial" w:hAnsi="Arial"/>
                <w:sz w:val="14"/>
                <w:szCs w:val="14"/>
                <w:b w:val="1"/>
                <w:bCs w:val="1"/>
                <w:color w:val="auto"/>
              </w:rPr>
              <w:t>2016</w:t>
            </w:r>
          </w:p>
        </w:tc>
        <w:tc>
          <w:tcPr>
            <w:tcW w:w="240" w:type="dxa"/>
            <w:vAlign w:val="bottom"/>
          </w:tcPr>
          <w:p>
            <w:pPr>
              <w:spacing w:after="0"/>
              <w:rPr>
                <w:sz w:val="14"/>
                <w:szCs w:val="14"/>
                <w:color w:val="auto"/>
              </w:rPr>
            </w:pPr>
          </w:p>
        </w:tc>
        <w:tc>
          <w:tcPr>
            <w:tcW w:w="660" w:type="dxa"/>
            <w:vAlign w:val="bottom"/>
          </w:tcPr>
          <w:p>
            <w:pPr>
              <w:jc w:val="right"/>
              <w:ind w:right="236"/>
              <w:spacing w:after="0" w:line="157" w:lineRule="exact"/>
              <w:rPr>
                <w:sz w:val="20"/>
                <w:szCs w:val="20"/>
                <w:color w:val="auto"/>
              </w:rPr>
            </w:pPr>
            <w:r>
              <w:rPr>
                <w:rFonts w:ascii="Arial" w:cs="Arial" w:eastAsia="Arial" w:hAnsi="Arial"/>
                <w:sz w:val="14"/>
                <w:szCs w:val="14"/>
                <w:b w:val="1"/>
                <w:bCs w:val="1"/>
                <w:color w:val="auto"/>
              </w:rPr>
              <w:t>2017</w:t>
            </w:r>
          </w:p>
        </w:tc>
        <w:tc>
          <w:tcPr>
            <w:tcW w:w="240" w:type="dxa"/>
            <w:vAlign w:val="bottom"/>
          </w:tcPr>
          <w:p>
            <w:pPr>
              <w:spacing w:after="0"/>
              <w:rPr>
                <w:sz w:val="14"/>
                <w:szCs w:val="14"/>
                <w:color w:val="auto"/>
              </w:rPr>
            </w:pPr>
          </w:p>
        </w:tc>
        <w:tc>
          <w:tcPr>
            <w:tcW w:w="660" w:type="dxa"/>
            <w:vAlign w:val="bottom"/>
          </w:tcPr>
          <w:p>
            <w:pPr>
              <w:jc w:val="right"/>
              <w:ind w:right="236"/>
              <w:spacing w:after="0" w:line="157" w:lineRule="exact"/>
              <w:rPr>
                <w:sz w:val="20"/>
                <w:szCs w:val="20"/>
                <w:color w:val="auto"/>
              </w:rPr>
            </w:pPr>
            <w:r>
              <w:rPr>
                <w:rFonts w:ascii="Arial" w:cs="Arial" w:eastAsia="Arial" w:hAnsi="Arial"/>
                <w:sz w:val="14"/>
                <w:szCs w:val="14"/>
                <w:b w:val="1"/>
                <w:bCs w:val="1"/>
                <w:color w:val="auto"/>
              </w:rPr>
              <w:t>2018</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center"/>
              <w:ind w:right="118"/>
              <w:spacing w:after="0" w:line="157" w:lineRule="exact"/>
              <w:rPr>
                <w:sz w:val="20"/>
                <w:szCs w:val="20"/>
                <w:color w:val="auto"/>
              </w:rPr>
            </w:pPr>
            <w:r>
              <w:rPr>
                <w:rFonts w:ascii="Arial" w:cs="Arial" w:eastAsia="Arial" w:hAnsi="Arial"/>
                <w:sz w:val="14"/>
                <w:szCs w:val="14"/>
                <w:b w:val="1"/>
                <w:bCs w:val="1"/>
                <w:color w:val="auto"/>
                <w:w w:val="96"/>
              </w:rPr>
              <w:t>2019</w:t>
            </w:r>
          </w:p>
        </w:tc>
        <w:tc>
          <w:tcPr>
            <w:tcW w:w="240" w:type="dxa"/>
            <w:vAlign w:val="bottom"/>
          </w:tcPr>
          <w:p>
            <w:pPr>
              <w:spacing w:after="0"/>
              <w:rPr>
                <w:sz w:val="14"/>
                <w:szCs w:val="14"/>
                <w:color w:val="auto"/>
              </w:rPr>
            </w:pPr>
          </w:p>
        </w:tc>
        <w:tc>
          <w:tcPr>
            <w:tcW w:w="660" w:type="dxa"/>
            <w:vAlign w:val="bottom"/>
          </w:tcPr>
          <w:p>
            <w:pPr>
              <w:jc w:val="right"/>
              <w:ind w:right="178"/>
              <w:spacing w:after="0" w:line="157" w:lineRule="exact"/>
              <w:rPr>
                <w:sz w:val="20"/>
                <w:szCs w:val="20"/>
                <w:color w:val="auto"/>
              </w:rPr>
            </w:pPr>
            <w:r>
              <w:rPr>
                <w:rFonts w:ascii="Arial" w:cs="Arial" w:eastAsia="Arial" w:hAnsi="Arial"/>
                <w:sz w:val="14"/>
                <w:szCs w:val="14"/>
                <w:b w:val="1"/>
                <w:bCs w:val="1"/>
                <w:color w:val="auto"/>
              </w:rPr>
              <w:t>IBNR</w:t>
            </w:r>
          </w:p>
        </w:tc>
        <w:tc>
          <w:tcPr>
            <w:tcW w:w="1000" w:type="dxa"/>
            <w:vAlign w:val="bottom"/>
            <w:gridSpan w:val="2"/>
          </w:tcPr>
          <w:p>
            <w:pPr>
              <w:jc w:val="center"/>
              <w:ind w:right="60"/>
              <w:spacing w:after="0" w:line="157" w:lineRule="exact"/>
              <w:rPr>
                <w:sz w:val="20"/>
                <w:szCs w:val="20"/>
                <w:color w:val="auto"/>
              </w:rPr>
            </w:pPr>
            <w:r>
              <w:rPr>
                <w:rFonts w:ascii="Arial" w:cs="Arial" w:eastAsia="Arial" w:hAnsi="Arial"/>
                <w:sz w:val="14"/>
                <w:szCs w:val="14"/>
                <w:b w:val="1"/>
                <w:bCs w:val="1"/>
                <w:color w:val="auto"/>
                <w:w w:val="98"/>
              </w:rPr>
              <w:t>Year</w:t>
            </w:r>
          </w:p>
        </w:tc>
      </w:tr>
      <w:tr>
        <w:trPr>
          <w:trHeight w:val="163"/>
        </w:trPr>
        <w:tc>
          <w:tcPr>
            <w:tcW w:w="56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1880" w:type="dxa"/>
            <w:vAlign w:val="bottom"/>
            <w:tcBorders>
              <w:top w:val="single" w:sz="8" w:color="auto"/>
              <w:bottom w:val="single" w:sz="8" w:color="auto"/>
            </w:tcBorders>
            <w:gridSpan w:val="4"/>
          </w:tcPr>
          <w:p>
            <w:pPr>
              <w:jc w:val="center"/>
              <w:ind w:left="281"/>
              <w:spacing w:after="0" w:line="157" w:lineRule="exact"/>
              <w:rPr>
                <w:sz w:val="20"/>
                <w:szCs w:val="20"/>
                <w:color w:val="auto"/>
              </w:rPr>
            </w:pPr>
            <w:r>
              <w:rPr>
                <w:rFonts w:ascii="Arial" w:cs="Arial" w:eastAsia="Arial" w:hAnsi="Arial"/>
                <w:sz w:val="14"/>
                <w:szCs w:val="14"/>
                <w:b w:val="1"/>
                <w:bCs w:val="1"/>
                <w:color w:val="auto"/>
                <w:w w:val="94"/>
              </w:rPr>
              <w:t>(Unaudited 2010 - 2018)</w:t>
            </w:r>
          </w:p>
        </w:tc>
        <w:tc>
          <w:tcPr>
            <w:tcW w:w="600" w:type="dxa"/>
            <w:vAlign w:val="bottom"/>
            <w:tcBorders>
              <w:top w:val="single" w:sz="8" w:color="auto"/>
              <w:bottom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gridSpan w:val="2"/>
          </w:tcPr>
          <w:p>
            <w:pPr>
              <w:jc w:val="center"/>
              <w:spacing w:after="0" w:line="157" w:lineRule="exact"/>
              <w:rPr>
                <w:sz w:val="20"/>
                <w:szCs w:val="20"/>
                <w:color w:val="auto"/>
              </w:rPr>
            </w:pPr>
            <w:r>
              <w:rPr>
                <w:rFonts w:ascii="Arial" w:cs="Arial" w:eastAsia="Arial" w:hAnsi="Arial"/>
                <w:sz w:val="14"/>
                <w:szCs w:val="14"/>
                <w:b w:val="1"/>
                <w:bCs w:val="1"/>
                <w:color w:val="auto"/>
                <w:w w:val="95"/>
              </w:rPr>
              <w:t>(Unaudited)</w:t>
            </w:r>
          </w:p>
        </w:tc>
        <w:tc>
          <w:tcPr>
            <w:tcW w:w="24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35"/>
        </w:trPr>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5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2010</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ind w:right="2"/>
              <w:spacing w:after="0"/>
              <w:rPr>
                <w:sz w:val="20"/>
                <w:szCs w:val="20"/>
                <w:color w:val="auto"/>
              </w:rPr>
            </w:pPr>
            <w:r>
              <w:rPr>
                <w:rFonts w:ascii="Arial" w:cs="Arial" w:eastAsia="Arial" w:hAnsi="Arial"/>
                <w:sz w:val="17"/>
                <w:szCs w:val="17"/>
                <w:color w:val="auto"/>
              </w:rPr>
              <w:t>5,598</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ind w:right="22"/>
              <w:spacing w:after="0"/>
              <w:rPr>
                <w:sz w:val="20"/>
                <w:szCs w:val="20"/>
                <w:color w:val="auto"/>
              </w:rPr>
            </w:pPr>
            <w:r>
              <w:rPr>
                <w:rFonts w:ascii="Arial" w:cs="Arial" w:eastAsia="Arial" w:hAnsi="Arial"/>
                <w:sz w:val="17"/>
                <w:szCs w:val="17"/>
                <w:color w:val="auto"/>
              </w:rPr>
              <w:t>5,707</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6,429</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6,623</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6,912</w:t>
            </w:r>
          </w:p>
        </w:tc>
        <w:tc>
          <w:tcPr>
            <w:tcW w:w="30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6,853</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6,838</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6,840</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6,787</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6,787</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1,617</w:t>
            </w:r>
          </w:p>
        </w:tc>
        <w:tc>
          <w:tcPr>
            <w:tcW w:w="100" w:type="dxa"/>
            <w:vAlign w:val="bottom"/>
          </w:tcPr>
          <w:p>
            <w:pPr>
              <w:spacing w:after="0"/>
              <w:rPr>
                <w:sz w:val="18"/>
                <w:szCs w:val="18"/>
                <w:color w:val="auto"/>
              </w:rPr>
            </w:pPr>
          </w:p>
        </w:tc>
      </w:tr>
      <w:tr>
        <w:trPr>
          <w:trHeight w:val="209"/>
        </w:trPr>
        <w:tc>
          <w:tcPr>
            <w:tcW w:w="560" w:type="dxa"/>
            <w:vAlign w:val="bottom"/>
          </w:tcPr>
          <w:p>
            <w:pPr>
              <w:jc w:val="center"/>
              <w:spacing w:after="0"/>
              <w:rPr>
                <w:sz w:val="20"/>
                <w:szCs w:val="20"/>
                <w:color w:val="auto"/>
              </w:rPr>
            </w:pPr>
            <w:r>
              <w:rPr>
                <w:rFonts w:ascii="Arial" w:cs="Arial" w:eastAsia="Arial" w:hAnsi="Arial"/>
                <w:sz w:val="17"/>
                <w:szCs w:val="17"/>
                <w:color w:val="auto"/>
                <w:w w:val="89"/>
              </w:rPr>
              <w:t>2011</w:t>
            </w: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jc w:val="right"/>
              <w:ind w:right="22"/>
              <w:spacing w:after="0"/>
              <w:rPr>
                <w:sz w:val="20"/>
                <w:szCs w:val="20"/>
                <w:color w:val="auto"/>
              </w:rPr>
            </w:pPr>
            <w:r>
              <w:rPr>
                <w:rFonts w:ascii="Arial" w:cs="Arial" w:eastAsia="Arial" w:hAnsi="Arial"/>
                <w:sz w:val="17"/>
                <w:szCs w:val="17"/>
                <w:color w:val="auto"/>
              </w:rPr>
              <w:t>7,603</w:t>
            </w: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7,678</w:t>
            </w:r>
          </w:p>
        </w:tc>
        <w:tc>
          <w:tcPr>
            <w:tcW w:w="220" w:type="dxa"/>
            <w:vAlign w:val="bottom"/>
          </w:tcPr>
          <w:p>
            <w:pPr>
              <w:spacing w:after="0"/>
              <w:rPr>
                <w:sz w:val="18"/>
                <w:szCs w:val="18"/>
                <w:color w:val="auto"/>
              </w:rPr>
            </w:pPr>
          </w:p>
        </w:tc>
        <w:tc>
          <w:tcPr>
            <w:tcW w:w="680" w:type="dxa"/>
            <w:vAlign w:val="bottom"/>
          </w:tcPr>
          <w:p>
            <w:pPr>
              <w:jc w:val="right"/>
              <w:ind w:right="1"/>
              <w:spacing w:after="0"/>
              <w:rPr>
                <w:sz w:val="20"/>
                <w:szCs w:val="20"/>
                <w:color w:val="auto"/>
              </w:rPr>
            </w:pPr>
            <w:r>
              <w:rPr>
                <w:rFonts w:ascii="Arial" w:cs="Arial" w:eastAsia="Arial" w:hAnsi="Arial"/>
                <w:sz w:val="17"/>
                <w:szCs w:val="17"/>
                <w:color w:val="auto"/>
              </w:rPr>
              <w:t>8,618</w:t>
            </w: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9,440</w:t>
            </w:r>
          </w:p>
        </w:tc>
        <w:tc>
          <w:tcPr>
            <w:tcW w:w="3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9,198</w:t>
            </w:r>
          </w:p>
        </w:tc>
        <w:tc>
          <w:tcPr>
            <w:tcW w:w="240" w:type="dxa"/>
            <w:vAlign w:val="bottom"/>
          </w:tcPr>
          <w:p>
            <w:pPr>
              <w:spacing w:after="0"/>
              <w:rPr>
                <w:sz w:val="18"/>
                <w:szCs w:val="18"/>
                <w:color w:val="auto"/>
              </w:rPr>
            </w:pPr>
          </w:p>
        </w:tc>
        <w:tc>
          <w:tcPr>
            <w:tcW w:w="680" w:type="dxa"/>
            <w:vAlign w:val="bottom"/>
          </w:tcPr>
          <w:p>
            <w:pPr>
              <w:jc w:val="right"/>
              <w:ind w:right="17"/>
              <w:spacing w:after="0"/>
              <w:rPr>
                <w:sz w:val="20"/>
                <w:szCs w:val="20"/>
                <w:color w:val="auto"/>
              </w:rPr>
            </w:pPr>
            <w:r>
              <w:rPr>
                <w:rFonts w:ascii="Arial" w:cs="Arial" w:eastAsia="Arial" w:hAnsi="Arial"/>
                <w:sz w:val="17"/>
                <w:szCs w:val="17"/>
                <w:color w:val="auto"/>
              </w:rPr>
              <w:t>9,066</w:t>
            </w:r>
          </w:p>
        </w:tc>
        <w:tc>
          <w:tcPr>
            <w:tcW w:w="240" w:type="dxa"/>
            <w:vAlign w:val="bottom"/>
          </w:tcPr>
          <w:p>
            <w:pPr>
              <w:spacing w:after="0"/>
              <w:rPr>
                <w:sz w:val="18"/>
                <w:szCs w:val="18"/>
                <w:color w:val="auto"/>
              </w:rPr>
            </w:pPr>
          </w:p>
        </w:tc>
        <w:tc>
          <w:tcPr>
            <w:tcW w:w="660" w:type="dxa"/>
            <w:vAlign w:val="bottom"/>
          </w:tcPr>
          <w:p>
            <w:pPr>
              <w:jc w:val="right"/>
              <w:ind w:right="16"/>
              <w:spacing w:after="0"/>
              <w:rPr>
                <w:sz w:val="20"/>
                <w:szCs w:val="20"/>
                <w:color w:val="auto"/>
              </w:rPr>
            </w:pPr>
            <w:r>
              <w:rPr>
                <w:rFonts w:ascii="Arial" w:cs="Arial" w:eastAsia="Arial" w:hAnsi="Arial"/>
                <w:sz w:val="17"/>
                <w:szCs w:val="17"/>
                <w:color w:val="auto"/>
              </w:rPr>
              <w:t>9,144</w:t>
            </w:r>
          </w:p>
        </w:tc>
        <w:tc>
          <w:tcPr>
            <w:tcW w:w="240" w:type="dxa"/>
            <w:vAlign w:val="bottom"/>
          </w:tcPr>
          <w:p>
            <w:pPr>
              <w:spacing w:after="0"/>
              <w:rPr>
                <w:sz w:val="18"/>
                <w:szCs w:val="18"/>
                <w:color w:val="auto"/>
              </w:rPr>
            </w:pPr>
          </w:p>
        </w:tc>
        <w:tc>
          <w:tcPr>
            <w:tcW w:w="660" w:type="dxa"/>
            <w:vAlign w:val="bottom"/>
          </w:tcPr>
          <w:p>
            <w:pPr>
              <w:jc w:val="right"/>
              <w:ind w:right="16"/>
              <w:spacing w:after="0"/>
              <w:rPr>
                <w:sz w:val="20"/>
                <w:szCs w:val="20"/>
                <w:color w:val="auto"/>
              </w:rPr>
            </w:pPr>
            <w:r>
              <w:rPr>
                <w:rFonts w:ascii="Arial" w:cs="Arial" w:eastAsia="Arial" w:hAnsi="Arial"/>
                <w:sz w:val="17"/>
                <w:szCs w:val="17"/>
                <w:color w:val="auto"/>
              </w:rPr>
              <w:t>9,171</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ind w:right="18"/>
              <w:spacing w:after="0"/>
              <w:rPr>
                <w:sz w:val="20"/>
                <w:szCs w:val="20"/>
                <w:color w:val="auto"/>
              </w:rPr>
            </w:pPr>
            <w:r>
              <w:rPr>
                <w:rFonts w:ascii="Arial" w:cs="Arial" w:eastAsia="Arial" w:hAnsi="Arial"/>
                <w:sz w:val="17"/>
                <w:szCs w:val="17"/>
                <w:color w:val="auto"/>
              </w:rPr>
              <w:t>9,175</w:t>
            </w: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1,914</w:t>
            </w:r>
          </w:p>
        </w:tc>
        <w:tc>
          <w:tcPr>
            <w:tcW w:w="100" w:type="dxa"/>
            <w:vAlign w:val="bottom"/>
          </w:tcPr>
          <w:p>
            <w:pPr>
              <w:spacing w:after="0"/>
              <w:rPr>
                <w:sz w:val="18"/>
                <w:szCs w:val="18"/>
                <w:color w:val="auto"/>
              </w:rPr>
            </w:pPr>
          </w:p>
        </w:tc>
      </w:tr>
      <w:tr>
        <w:trPr>
          <w:trHeight w:val="209"/>
        </w:trPr>
        <w:tc>
          <w:tcPr>
            <w:tcW w:w="5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2012</w:t>
            </w: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9,539</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9,344</w:t>
            </w: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10,278</w:t>
            </w: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10,382</w:t>
            </w: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10,582</w:t>
            </w: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10,790</w:t>
            </w: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10,791</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10,831</w:t>
            </w: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4,704(1)</w:t>
            </w:r>
          </w:p>
        </w:tc>
        <w:tc>
          <w:tcPr>
            <w:tcW w:w="100" w:type="dxa"/>
            <w:vAlign w:val="bottom"/>
          </w:tcPr>
          <w:p>
            <w:pPr>
              <w:spacing w:after="0"/>
              <w:rPr>
                <w:sz w:val="18"/>
                <w:szCs w:val="18"/>
                <w:color w:val="auto"/>
              </w:rPr>
            </w:pPr>
          </w:p>
        </w:tc>
      </w:tr>
      <w:tr>
        <w:trPr>
          <w:trHeight w:val="209"/>
        </w:trPr>
        <w:tc>
          <w:tcPr>
            <w:tcW w:w="560" w:type="dxa"/>
            <w:vAlign w:val="bottom"/>
          </w:tcPr>
          <w:p>
            <w:pPr>
              <w:jc w:val="center"/>
              <w:spacing w:after="0"/>
              <w:rPr>
                <w:sz w:val="20"/>
                <w:szCs w:val="20"/>
                <w:color w:val="auto"/>
              </w:rPr>
            </w:pPr>
            <w:r>
              <w:rPr>
                <w:rFonts w:ascii="Arial" w:cs="Arial" w:eastAsia="Arial" w:hAnsi="Arial"/>
                <w:sz w:val="17"/>
                <w:szCs w:val="17"/>
                <w:color w:val="auto"/>
                <w:w w:val="89"/>
              </w:rPr>
              <w:t>2013</w:t>
            </w: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ind w:right="1"/>
              <w:spacing w:after="0"/>
              <w:rPr>
                <w:sz w:val="20"/>
                <w:szCs w:val="20"/>
                <w:color w:val="auto"/>
              </w:rPr>
            </w:pPr>
            <w:r>
              <w:rPr>
                <w:rFonts w:ascii="Arial" w:cs="Arial" w:eastAsia="Arial" w:hAnsi="Arial"/>
                <w:sz w:val="17"/>
                <w:szCs w:val="17"/>
                <w:color w:val="auto"/>
              </w:rPr>
              <w:t>10,728</w:t>
            </w: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9,745</w:t>
            </w:r>
          </w:p>
        </w:tc>
        <w:tc>
          <w:tcPr>
            <w:tcW w:w="3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9,424</w:t>
            </w:r>
          </w:p>
        </w:tc>
        <w:tc>
          <w:tcPr>
            <w:tcW w:w="240" w:type="dxa"/>
            <w:vAlign w:val="bottom"/>
          </w:tcPr>
          <w:p>
            <w:pPr>
              <w:spacing w:after="0"/>
              <w:rPr>
                <w:sz w:val="18"/>
                <w:szCs w:val="18"/>
                <w:color w:val="auto"/>
              </w:rPr>
            </w:pPr>
          </w:p>
        </w:tc>
        <w:tc>
          <w:tcPr>
            <w:tcW w:w="680" w:type="dxa"/>
            <w:vAlign w:val="bottom"/>
          </w:tcPr>
          <w:p>
            <w:pPr>
              <w:jc w:val="right"/>
              <w:ind w:right="17"/>
              <w:spacing w:after="0"/>
              <w:rPr>
                <w:sz w:val="20"/>
                <w:szCs w:val="20"/>
                <w:color w:val="auto"/>
              </w:rPr>
            </w:pPr>
            <w:r>
              <w:rPr>
                <w:rFonts w:ascii="Arial" w:cs="Arial" w:eastAsia="Arial" w:hAnsi="Arial"/>
                <w:sz w:val="17"/>
                <w:szCs w:val="17"/>
                <w:color w:val="auto"/>
              </w:rPr>
              <w:t>9,621</w:t>
            </w:r>
          </w:p>
        </w:tc>
        <w:tc>
          <w:tcPr>
            <w:tcW w:w="240" w:type="dxa"/>
            <w:vAlign w:val="bottom"/>
          </w:tcPr>
          <w:p>
            <w:pPr>
              <w:spacing w:after="0"/>
              <w:rPr>
                <w:sz w:val="18"/>
                <w:szCs w:val="18"/>
                <w:color w:val="auto"/>
              </w:rPr>
            </w:pPr>
          </w:p>
        </w:tc>
        <w:tc>
          <w:tcPr>
            <w:tcW w:w="660" w:type="dxa"/>
            <w:vAlign w:val="bottom"/>
          </w:tcPr>
          <w:p>
            <w:pPr>
              <w:jc w:val="right"/>
              <w:ind w:right="16"/>
              <w:spacing w:after="0"/>
              <w:rPr>
                <w:sz w:val="20"/>
                <w:szCs w:val="20"/>
                <w:color w:val="auto"/>
              </w:rPr>
            </w:pPr>
            <w:r>
              <w:rPr>
                <w:rFonts w:ascii="Arial" w:cs="Arial" w:eastAsia="Arial" w:hAnsi="Arial"/>
                <w:sz w:val="17"/>
                <w:szCs w:val="17"/>
                <w:color w:val="auto"/>
              </w:rPr>
              <w:t>10,061</w:t>
            </w:r>
          </w:p>
        </w:tc>
        <w:tc>
          <w:tcPr>
            <w:tcW w:w="240" w:type="dxa"/>
            <w:vAlign w:val="bottom"/>
          </w:tcPr>
          <w:p>
            <w:pPr>
              <w:spacing w:after="0"/>
              <w:rPr>
                <w:sz w:val="18"/>
                <w:szCs w:val="18"/>
                <w:color w:val="auto"/>
              </w:rPr>
            </w:pPr>
          </w:p>
        </w:tc>
        <w:tc>
          <w:tcPr>
            <w:tcW w:w="660" w:type="dxa"/>
            <w:vAlign w:val="bottom"/>
          </w:tcPr>
          <w:p>
            <w:pPr>
              <w:jc w:val="right"/>
              <w:ind w:right="16"/>
              <w:spacing w:after="0"/>
              <w:rPr>
                <w:sz w:val="20"/>
                <w:szCs w:val="20"/>
                <w:color w:val="auto"/>
              </w:rPr>
            </w:pPr>
            <w:r>
              <w:rPr>
                <w:rFonts w:ascii="Arial" w:cs="Arial" w:eastAsia="Arial" w:hAnsi="Arial"/>
                <w:sz w:val="17"/>
                <w:szCs w:val="17"/>
                <w:color w:val="auto"/>
              </w:rPr>
              <w:t>10,089</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ind w:right="18"/>
              <w:spacing w:after="0"/>
              <w:rPr>
                <w:sz w:val="20"/>
                <w:szCs w:val="20"/>
                <w:color w:val="auto"/>
              </w:rPr>
            </w:pPr>
            <w:r>
              <w:rPr>
                <w:rFonts w:ascii="Arial" w:cs="Arial" w:eastAsia="Arial" w:hAnsi="Arial"/>
                <w:sz w:val="17"/>
                <w:szCs w:val="17"/>
                <w:color w:val="auto"/>
              </w:rPr>
              <w:t>10,068</w:t>
            </w: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35</w:t>
            </w:r>
          </w:p>
        </w:tc>
        <w:tc>
          <w:tcPr>
            <w:tcW w:w="900" w:type="dxa"/>
            <w:vAlign w:val="bottom"/>
          </w:tcPr>
          <w:p>
            <w:pPr>
              <w:jc w:val="right"/>
              <w:spacing w:after="0"/>
              <w:rPr>
                <w:sz w:val="20"/>
                <w:szCs w:val="20"/>
                <w:color w:val="auto"/>
              </w:rPr>
            </w:pPr>
            <w:r>
              <w:rPr>
                <w:rFonts w:ascii="Arial" w:cs="Arial" w:eastAsia="Arial" w:hAnsi="Arial"/>
                <w:sz w:val="17"/>
                <w:szCs w:val="17"/>
                <w:color w:val="auto"/>
              </w:rPr>
              <w:t>1,560</w:t>
            </w:r>
          </w:p>
        </w:tc>
        <w:tc>
          <w:tcPr>
            <w:tcW w:w="100" w:type="dxa"/>
            <w:vAlign w:val="bottom"/>
          </w:tcPr>
          <w:p>
            <w:pPr>
              <w:spacing w:after="0"/>
              <w:rPr>
                <w:sz w:val="18"/>
                <w:szCs w:val="18"/>
                <w:color w:val="auto"/>
              </w:rPr>
            </w:pPr>
          </w:p>
        </w:tc>
      </w:tr>
      <w:tr>
        <w:trPr>
          <w:trHeight w:val="209"/>
        </w:trPr>
        <w:tc>
          <w:tcPr>
            <w:tcW w:w="5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2014</w:t>
            </w: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14,193</w:t>
            </w: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14,260</w:t>
            </w: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14,218</w:t>
            </w: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14,564</w:t>
            </w: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15,023</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15,925</w:t>
            </w: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261</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2,132</w:t>
            </w:r>
          </w:p>
        </w:tc>
        <w:tc>
          <w:tcPr>
            <w:tcW w:w="100" w:type="dxa"/>
            <w:vAlign w:val="bottom"/>
          </w:tcPr>
          <w:p>
            <w:pPr>
              <w:spacing w:after="0"/>
              <w:rPr>
                <w:sz w:val="18"/>
                <w:szCs w:val="18"/>
                <w:color w:val="auto"/>
              </w:rPr>
            </w:pPr>
          </w:p>
        </w:tc>
      </w:tr>
      <w:tr>
        <w:trPr>
          <w:trHeight w:val="209"/>
        </w:trPr>
        <w:tc>
          <w:tcPr>
            <w:tcW w:w="560" w:type="dxa"/>
            <w:vAlign w:val="bottom"/>
          </w:tcPr>
          <w:p>
            <w:pPr>
              <w:jc w:val="center"/>
              <w:spacing w:after="0"/>
              <w:rPr>
                <w:sz w:val="20"/>
                <w:szCs w:val="20"/>
                <w:color w:val="auto"/>
              </w:rPr>
            </w:pPr>
            <w:r>
              <w:rPr>
                <w:rFonts w:ascii="Arial" w:cs="Arial" w:eastAsia="Arial" w:hAnsi="Arial"/>
                <w:sz w:val="17"/>
                <w:szCs w:val="17"/>
                <w:color w:val="auto"/>
                <w:w w:val="89"/>
              </w:rPr>
              <w:t>2015</w:t>
            </w: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w w:val="96"/>
              </w:rPr>
              <w:t>22,340</w:t>
            </w:r>
          </w:p>
        </w:tc>
        <w:tc>
          <w:tcPr>
            <w:tcW w:w="240" w:type="dxa"/>
            <w:vAlign w:val="bottom"/>
          </w:tcPr>
          <w:p>
            <w:pPr>
              <w:spacing w:after="0"/>
              <w:rPr>
                <w:sz w:val="18"/>
                <w:szCs w:val="18"/>
                <w:color w:val="auto"/>
              </w:rPr>
            </w:pPr>
          </w:p>
        </w:tc>
        <w:tc>
          <w:tcPr>
            <w:tcW w:w="680" w:type="dxa"/>
            <w:vAlign w:val="bottom"/>
          </w:tcPr>
          <w:p>
            <w:pPr>
              <w:jc w:val="right"/>
              <w:ind w:right="17"/>
              <w:spacing w:after="0"/>
              <w:rPr>
                <w:sz w:val="20"/>
                <w:szCs w:val="20"/>
                <w:color w:val="auto"/>
              </w:rPr>
            </w:pPr>
            <w:r>
              <w:rPr>
                <w:rFonts w:ascii="Arial" w:cs="Arial" w:eastAsia="Arial" w:hAnsi="Arial"/>
                <w:sz w:val="17"/>
                <w:szCs w:val="17"/>
                <w:color w:val="auto"/>
              </w:rPr>
              <w:t>21,994</w:t>
            </w:r>
          </w:p>
        </w:tc>
        <w:tc>
          <w:tcPr>
            <w:tcW w:w="240" w:type="dxa"/>
            <w:vAlign w:val="bottom"/>
          </w:tcPr>
          <w:p>
            <w:pPr>
              <w:spacing w:after="0"/>
              <w:rPr>
                <w:sz w:val="18"/>
                <w:szCs w:val="18"/>
                <w:color w:val="auto"/>
              </w:rPr>
            </w:pPr>
          </w:p>
        </w:tc>
        <w:tc>
          <w:tcPr>
            <w:tcW w:w="660" w:type="dxa"/>
            <w:vAlign w:val="bottom"/>
          </w:tcPr>
          <w:p>
            <w:pPr>
              <w:jc w:val="right"/>
              <w:ind w:right="16"/>
              <w:spacing w:after="0"/>
              <w:rPr>
                <w:sz w:val="20"/>
                <w:szCs w:val="20"/>
                <w:color w:val="auto"/>
              </w:rPr>
            </w:pPr>
            <w:r>
              <w:rPr>
                <w:rFonts w:ascii="Arial" w:cs="Arial" w:eastAsia="Arial" w:hAnsi="Arial"/>
                <w:sz w:val="17"/>
                <w:szCs w:val="17"/>
                <w:color w:val="auto"/>
              </w:rPr>
              <w:t>22,148</w:t>
            </w:r>
          </w:p>
        </w:tc>
        <w:tc>
          <w:tcPr>
            <w:tcW w:w="240" w:type="dxa"/>
            <w:vAlign w:val="bottom"/>
          </w:tcPr>
          <w:p>
            <w:pPr>
              <w:spacing w:after="0"/>
              <w:rPr>
                <w:sz w:val="18"/>
                <w:szCs w:val="18"/>
                <w:color w:val="auto"/>
              </w:rPr>
            </w:pPr>
          </w:p>
        </w:tc>
        <w:tc>
          <w:tcPr>
            <w:tcW w:w="660" w:type="dxa"/>
            <w:vAlign w:val="bottom"/>
          </w:tcPr>
          <w:p>
            <w:pPr>
              <w:jc w:val="right"/>
              <w:ind w:right="16"/>
              <w:spacing w:after="0"/>
              <w:rPr>
                <w:sz w:val="20"/>
                <w:szCs w:val="20"/>
                <w:color w:val="auto"/>
              </w:rPr>
            </w:pPr>
            <w:r>
              <w:rPr>
                <w:rFonts w:ascii="Arial" w:cs="Arial" w:eastAsia="Arial" w:hAnsi="Arial"/>
                <w:sz w:val="17"/>
                <w:szCs w:val="17"/>
                <w:color w:val="auto"/>
              </w:rPr>
              <w:t>22,491</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ind w:right="18"/>
              <w:spacing w:after="0"/>
              <w:rPr>
                <w:sz w:val="20"/>
                <w:szCs w:val="20"/>
                <w:color w:val="auto"/>
              </w:rPr>
            </w:pPr>
            <w:r>
              <w:rPr>
                <w:rFonts w:ascii="Arial" w:cs="Arial" w:eastAsia="Arial" w:hAnsi="Arial"/>
                <w:sz w:val="17"/>
                <w:szCs w:val="17"/>
                <w:color w:val="auto"/>
              </w:rPr>
              <w:t>22,598</w:t>
            </w: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497</w:t>
            </w:r>
          </w:p>
        </w:tc>
        <w:tc>
          <w:tcPr>
            <w:tcW w:w="900" w:type="dxa"/>
            <w:vAlign w:val="bottom"/>
          </w:tcPr>
          <w:p>
            <w:pPr>
              <w:jc w:val="right"/>
              <w:spacing w:after="0"/>
              <w:rPr>
                <w:sz w:val="20"/>
                <w:szCs w:val="20"/>
                <w:color w:val="auto"/>
              </w:rPr>
            </w:pPr>
            <w:r>
              <w:rPr>
                <w:rFonts w:ascii="Arial" w:cs="Arial" w:eastAsia="Arial" w:hAnsi="Arial"/>
                <w:sz w:val="17"/>
                <w:szCs w:val="17"/>
                <w:color w:val="auto"/>
              </w:rPr>
              <w:t>2,553</w:t>
            </w:r>
          </w:p>
        </w:tc>
        <w:tc>
          <w:tcPr>
            <w:tcW w:w="100" w:type="dxa"/>
            <w:vAlign w:val="bottom"/>
          </w:tcPr>
          <w:p>
            <w:pPr>
              <w:spacing w:after="0"/>
              <w:rPr>
                <w:sz w:val="18"/>
                <w:szCs w:val="18"/>
                <w:color w:val="auto"/>
              </w:rPr>
            </w:pPr>
          </w:p>
        </w:tc>
      </w:tr>
      <w:tr>
        <w:trPr>
          <w:trHeight w:val="209"/>
        </w:trPr>
        <w:tc>
          <w:tcPr>
            <w:tcW w:w="5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2016</w:t>
            </w: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26,062</w:t>
            </w: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24,941</w:t>
            </w: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24,789</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25,658</w:t>
            </w: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1,188</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2,867</w:t>
            </w:r>
          </w:p>
        </w:tc>
        <w:tc>
          <w:tcPr>
            <w:tcW w:w="100" w:type="dxa"/>
            <w:vAlign w:val="bottom"/>
          </w:tcPr>
          <w:p>
            <w:pPr>
              <w:spacing w:after="0"/>
              <w:rPr>
                <w:sz w:val="18"/>
                <w:szCs w:val="18"/>
                <w:color w:val="auto"/>
              </w:rPr>
            </w:pPr>
          </w:p>
        </w:tc>
      </w:tr>
      <w:tr>
        <w:trPr>
          <w:trHeight w:val="209"/>
        </w:trPr>
        <w:tc>
          <w:tcPr>
            <w:tcW w:w="560" w:type="dxa"/>
            <w:vAlign w:val="bottom"/>
          </w:tcPr>
          <w:p>
            <w:pPr>
              <w:jc w:val="center"/>
              <w:spacing w:after="0"/>
              <w:rPr>
                <w:sz w:val="20"/>
                <w:szCs w:val="20"/>
                <w:color w:val="auto"/>
              </w:rPr>
            </w:pPr>
            <w:r>
              <w:rPr>
                <w:rFonts w:ascii="Arial" w:cs="Arial" w:eastAsia="Arial" w:hAnsi="Arial"/>
                <w:sz w:val="17"/>
                <w:szCs w:val="17"/>
                <w:color w:val="auto"/>
                <w:w w:val="89"/>
              </w:rPr>
              <w:t>2017</w:t>
            </w: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jc w:val="right"/>
              <w:ind w:right="16"/>
              <w:spacing w:after="0"/>
              <w:rPr>
                <w:sz w:val="20"/>
                <w:szCs w:val="20"/>
                <w:color w:val="auto"/>
              </w:rPr>
            </w:pPr>
            <w:r>
              <w:rPr>
                <w:rFonts w:ascii="Arial" w:cs="Arial" w:eastAsia="Arial" w:hAnsi="Arial"/>
                <w:sz w:val="17"/>
                <w:szCs w:val="17"/>
                <w:color w:val="auto"/>
              </w:rPr>
              <w:t>31,605</w:t>
            </w:r>
          </w:p>
        </w:tc>
        <w:tc>
          <w:tcPr>
            <w:tcW w:w="240" w:type="dxa"/>
            <w:vAlign w:val="bottom"/>
          </w:tcPr>
          <w:p>
            <w:pPr>
              <w:spacing w:after="0"/>
              <w:rPr>
                <w:sz w:val="18"/>
                <w:szCs w:val="18"/>
                <w:color w:val="auto"/>
              </w:rPr>
            </w:pPr>
          </w:p>
        </w:tc>
        <w:tc>
          <w:tcPr>
            <w:tcW w:w="660" w:type="dxa"/>
            <w:vAlign w:val="bottom"/>
          </w:tcPr>
          <w:p>
            <w:pPr>
              <w:jc w:val="right"/>
              <w:ind w:right="16"/>
              <w:spacing w:after="0"/>
              <w:rPr>
                <w:sz w:val="20"/>
                <w:szCs w:val="20"/>
                <w:color w:val="auto"/>
              </w:rPr>
            </w:pPr>
            <w:r>
              <w:rPr>
                <w:rFonts w:ascii="Arial" w:cs="Arial" w:eastAsia="Arial" w:hAnsi="Arial"/>
                <w:sz w:val="17"/>
                <w:szCs w:val="17"/>
                <w:color w:val="auto"/>
              </w:rPr>
              <w:t>32,169</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ind w:right="18"/>
              <w:spacing w:after="0"/>
              <w:rPr>
                <w:sz w:val="20"/>
                <w:szCs w:val="20"/>
                <w:color w:val="auto"/>
              </w:rPr>
            </w:pPr>
            <w:r>
              <w:rPr>
                <w:rFonts w:ascii="Arial" w:cs="Arial" w:eastAsia="Arial" w:hAnsi="Arial"/>
                <w:sz w:val="17"/>
                <w:szCs w:val="17"/>
                <w:color w:val="auto"/>
              </w:rPr>
              <w:t>33,597</w:t>
            </w: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2,920</w:t>
            </w:r>
          </w:p>
        </w:tc>
        <w:tc>
          <w:tcPr>
            <w:tcW w:w="900" w:type="dxa"/>
            <w:vAlign w:val="bottom"/>
          </w:tcPr>
          <w:p>
            <w:pPr>
              <w:jc w:val="right"/>
              <w:spacing w:after="0"/>
              <w:rPr>
                <w:sz w:val="20"/>
                <w:szCs w:val="20"/>
                <w:color w:val="auto"/>
              </w:rPr>
            </w:pPr>
            <w:r>
              <w:rPr>
                <w:rFonts w:ascii="Arial" w:cs="Arial" w:eastAsia="Arial" w:hAnsi="Arial"/>
                <w:sz w:val="17"/>
                <w:szCs w:val="17"/>
                <w:color w:val="auto"/>
              </w:rPr>
              <w:t>3,350</w:t>
            </w:r>
          </w:p>
        </w:tc>
        <w:tc>
          <w:tcPr>
            <w:tcW w:w="100" w:type="dxa"/>
            <w:vAlign w:val="bottom"/>
          </w:tcPr>
          <w:p>
            <w:pPr>
              <w:spacing w:after="0"/>
              <w:rPr>
                <w:sz w:val="18"/>
                <w:szCs w:val="18"/>
                <w:color w:val="auto"/>
              </w:rPr>
            </w:pPr>
          </w:p>
        </w:tc>
      </w:tr>
      <w:tr>
        <w:trPr>
          <w:trHeight w:val="209"/>
        </w:trPr>
        <w:tc>
          <w:tcPr>
            <w:tcW w:w="5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2018</w:t>
            </w: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54,455</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55,591</w:t>
            </w: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7,322</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4,090</w:t>
            </w:r>
          </w:p>
        </w:tc>
        <w:tc>
          <w:tcPr>
            <w:tcW w:w="100" w:type="dxa"/>
            <w:vAlign w:val="bottom"/>
          </w:tcPr>
          <w:p>
            <w:pPr>
              <w:spacing w:after="0"/>
              <w:rPr>
                <w:sz w:val="18"/>
                <w:szCs w:val="18"/>
                <w:color w:val="auto"/>
              </w:rPr>
            </w:pPr>
          </w:p>
        </w:tc>
      </w:tr>
      <w:tr>
        <w:trPr>
          <w:trHeight w:val="215"/>
        </w:trPr>
        <w:tc>
          <w:tcPr>
            <w:tcW w:w="560" w:type="dxa"/>
            <w:vAlign w:val="bottom"/>
          </w:tcPr>
          <w:p>
            <w:pPr>
              <w:jc w:val="center"/>
              <w:spacing w:after="0"/>
              <w:rPr>
                <w:sz w:val="20"/>
                <w:szCs w:val="20"/>
                <w:color w:val="auto"/>
              </w:rPr>
            </w:pPr>
            <w:r>
              <w:rPr>
                <w:rFonts w:ascii="Arial" w:cs="Arial" w:eastAsia="Arial" w:hAnsi="Arial"/>
                <w:sz w:val="17"/>
                <w:szCs w:val="17"/>
                <w:color w:val="auto"/>
                <w:w w:val="89"/>
              </w:rPr>
              <w:t>2019</w:t>
            </w: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8"/>
              <w:spacing w:after="0"/>
              <w:rPr>
                <w:sz w:val="20"/>
                <w:szCs w:val="20"/>
                <w:color w:val="auto"/>
              </w:rPr>
            </w:pPr>
            <w:r>
              <w:rPr>
                <w:rFonts w:ascii="Arial" w:cs="Arial" w:eastAsia="Arial" w:hAnsi="Arial"/>
                <w:sz w:val="17"/>
                <w:szCs w:val="17"/>
                <w:color w:val="auto"/>
              </w:rPr>
              <w:t>23,359</w:t>
            </w: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8,904</w:t>
            </w:r>
          </w:p>
        </w:tc>
        <w:tc>
          <w:tcPr>
            <w:tcW w:w="900" w:type="dxa"/>
            <w:vAlign w:val="bottom"/>
          </w:tcPr>
          <w:p>
            <w:pPr>
              <w:jc w:val="right"/>
              <w:spacing w:after="0"/>
              <w:rPr>
                <w:sz w:val="20"/>
                <w:szCs w:val="20"/>
                <w:color w:val="auto"/>
              </w:rPr>
            </w:pPr>
            <w:r>
              <w:rPr>
                <w:rFonts w:ascii="Arial" w:cs="Arial" w:eastAsia="Arial" w:hAnsi="Arial"/>
                <w:sz w:val="17"/>
                <w:szCs w:val="17"/>
                <w:color w:val="auto"/>
              </w:rPr>
              <w:t>962</w:t>
            </w:r>
          </w:p>
        </w:tc>
        <w:tc>
          <w:tcPr>
            <w:tcW w:w="100" w:type="dxa"/>
            <w:vAlign w:val="bottom"/>
          </w:tcPr>
          <w:p>
            <w:pPr>
              <w:spacing w:after="0"/>
              <w:rPr>
                <w:sz w:val="18"/>
                <w:szCs w:val="18"/>
                <w:color w:val="auto"/>
              </w:rPr>
            </w:pPr>
          </w:p>
        </w:tc>
      </w:tr>
      <w:tr>
        <w:trPr>
          <w:trHeight w:val="215"/>
        </w:trPr>
        <w:tc>
          <w:tcPr>
            <w:tcW w:w="5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Total</w:t>
            </w:r>
          </w:p>
        </w:tc>
        <w:tc>
          <w:tcPr>
            <w:tcW w:w="4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0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7"/>
                <w:szCs w:val="17"/>
                <w:color w:val="auto"/>
                <w:w w:val="94"/>
              </w:rPr>
              <w:t>213,589</w:t>
            </w:r>
          </w:p>
        </w:tc>
        <w:tc>
          <w:tcPr>
            <w:tcW w:w="24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100" w:type="dxa"/>
            <w:vAlign w:val="bottom"/>
          </w:tcPr>
          <w:p>
            <w:pPr>
              <w:spacing w:after="0"/>
              <w:rPr>
                <w:sz w:val="18"/>
                <w:szCs w:val="18"/>
                <w:color w:val="auto"/>
              </w:rPr>
            </w:pPr>
          </w:p>
        </w:tc>
      </w:tr>
    </w:tbl>
    <w:p>
      <w:pPr>
        <w:spacing w:after="0" w:line="227" w:lineRule="exact"/>
        <w:rPr>
          <w:sz w:val="20"/>
          <w:szCs w:val="20"/>
          <w:color w:val="auto"/>
        </w:rPr>
      </w:pPr>
    </w:p>
    <w:p>
      <w:pPr>
        <w:spacing w:after="0"/>
        <w:rPr>
          <w:sz w:val="20"/>
          <w:szCs w:val="20"/>
          <w:color w:val="auto"/>
        </w:rPr>
      </w:pPr>
      <w:r>
        <w:rPr>
          <w:rFonts w:ascii="Arial" w:cs="Arial" w:eastAsia="Arial" w:hAnsi="Arial"/>
          <w:sz w:val="17"/>
          <w:szCs w:val="17"/>
          <w:color w:val="auto"/>
        </w:rPr>
        <w:t>(1)  Reported claims for accident year 2012 includes 3,406 claims from Superstorm Sandy.</w:t>
      </w: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All Lines of Business</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 thousands)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11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5880" w:type="dxa"/>
            <w:vAlign w:val="bottom"/>
            <w:tcBorders>
              <w:bottom w:val="single" w:sz="8" w:color="auto"/>
            </w:tcBorders>
            <w:gridSpan w:val="11"/>
          </w:tcPr>
          <w:p>
            <w:pPr>
              <w:jc w:val="right"/>
              <w:ind w:right="456"/>
              <w:spacing w:after="0"/>
              <w:rPr>
                <w:sz w:val="20"/>
                <w:szCs w:val="20"/>
                <w:color w:val="auto"/>
              </w:rPr>
            </w:pPr>
            <w:r>
              <w:rPr>
                <w:rFonts w:ascii="Arial" w:cs="Arial" w:eastAsia="Arial" w:hAnsi="Arial"/>
                <w:sz w:val="14"/>
                <w:szCs w:val="14"/>
                <w:b w:val="1"/>
                <w:bCs w:val="1"/>
                <w:color w:val="auto"/>
                <w:w w:val="94"/>
              </w:rPr>
              <w:t>Cumulative Paid Loss and Allocated Loss Adjustment Expenses, Net of Reinsurance</w:t>
            </w:r>
          </w:p>
        </w:tc>
        <w:tc>
          <w:tcPr>
            <w:tcW w:w="2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r>
      <w:tr>
        <w:trPr>
          <w:trHeight w:val="144"/>
        </w:trPr>
        <w:tc>
          <w:tcPr>
            <w:tcW w:w="1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jc w:val="center"/>
              <w:ind w:right="98"/>
              <w:spacing w:after="0" w:line="144" w:lineRule="exact"/>
              <w:rPr>
                <w:sz w:val="20"/>
                <w:szCs w:val="20"/>
                <w:color w:val="auto"/>
              </w:rPr>
            </w:pPr>
            <w:r>
              <w:rPr>
                <w:rFonts w:ascii="Arial" w:cs="Arial" w:eastAsia="Arial" w:hAnsi="Arial"/>
                <w:sz w:val="14"/>
                <w:szCs w:val="14"/>
                <w:b w:val="1"/>
                <w:bCs w:val="1"/>
                <w:color w:val="auto"/>
                <w:w w:val="94"/>
              </w:rPr>
              <w:t>Three</w:t>
            </w:r>
          </w:p>
        </w:tc>
      </w:tr>
      <w:tr>
        <w:trPr>
          <w:trHeight w:val="157"/>
        </w:trPr>
        <w:tc>
          <w:tcPr>
            <w:tcW w:w="1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jc w:val="center"/>
              <w:ind w:right="118"/>
              <w:spacing w:after="0" w:line="157" w:lineRule="exact"/>
              <w:rPr>
                <w:sz w:val="20"/>
                <w:szCs w:val="20"/>
                <w:color w:val="auto"/>
              </w:rPr>
            </w:pPr>
            <w:r>
              <w:rPr>
                <w:rFonts w:ascii="Arial" w:cs="Arial" w:eastAsia="Arial" w:hAnsi="Arial"/>
                <w:sz w:val="14"/>
                <w:szCs w:val="14"/>
                <w:b w:val="1"/>
                <w:bCs w:val="1"/>
                <w:color w:val="auto"/>
                <w:w w:val="92"/>
              </w:rPr>
              <w:t>Months</w:t>
            </w:r>
          </w:p>
        </w:tc>
      </w:tr>
      <w:tr>
        <w:trPr>
          <w:trHeight w:val="157"/>
        </w:trPr>
        <w:tc>
          <w:tcPr>
            <w:tcW w:w="1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jc w:val="center"/>
              <w:ind w:right="98"/>
              <w:spacing w:after="0" w:line="157" w:lineRule="exact"/>
              <w:rPr>
                <w:sz w:val="20"/>
                <w:szCs w:val="20"/>
                <w:color w:val="auto"/>
              </w:rPr>
            </w:pPr>
            <w:r>
              <w:rPr>
                <w:rFonts w:ascii="Arial" w:cs="Arial" w:eastAsia="Arial" w:hAnsi="Arial"/>
                <w:sz w:val="14"/>
                <w:szCs w:val="14"/>
                <w:b w:val="1"/>
                <w:bCs w:val="1"/>
                <w:color w:val="auto"/>
                <w:w w:val="93"/>
              </w:rPr>
              <w:t>Ended</w:t>
            </w:r>
          </w:p>
        </w:tc>
      </w:tr>
      <w:tr>
        <w:trPr>
          <w:trHeight w:val="157"/>
        </w:trPr>
        <w:tc>
          <w:tcPr>
            <w:tcW w:w="116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4"/>
              </w:rPr>
              <w:t>Accident</w:t>
            </w: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0" w:type="dxa"/>
            <w:vAlign w:val="bottom"/>
            <w:gridSpan w:val="5"/>
          </w:tcPr>
          <w:p>
            <w:pPr>
              <w:jc w:val="right"/>
              <w:ind w:right="397"/>
              <w:spacing w:after="0" w:line="157" w:lineRule="exact"/>
              <w:rPr>
                <w:sz w:val="20"/>
                <w:szCs w:val="20"/>
                <w:color w:val="auto"/>
              </w:rPr>
            </w:pPr>
            <w:r>
              <w:rPr>
                <w:rFonts w:ascii="Arial" w:cs="Arial" w:eastAsia="Arial" w:hAnsi="Arial"/>
                <w:sz w:val="14"/>
                <w:szCs w:val="14"/>
                <w:b w:val="1"/>
                <w:bCs w:val="1"/>
                <w:color w:val="auto"/>
                <w:w w:val="99"/>
              </w:rPr>
              <w:t>For the Years Ended December 31,</w:t>
            </w: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jc w:val="center"/>
              <w:ind w:right="118"/>
              <w:spacing w:after="0" w:line="157" w:lineRule="exact"/>
              <w:rPr>
                <w:sz w:val="20"/>
                <w:szCs w:val="20"/>
                <w:color w:val="auto"/>
              </w:rPr>
            </w:pPr>
            <w:r>
              <w:rPr>
                <w:rFonts w:ascii="Arial" w:cs="Arial" w:eastAsia="Arial" w:hAnsi="Arial"/>
                <w:sz w:val="14"/>
                <w:szCs w:val="14"/>
                <w:b w:val="1"/>
                <w:bCs w:val="1"/>
                <w:color w:val="auto"/>
                <w:w w:val="95"/>
              </w:rPr>
              <w:t>March 31,</w:t>
            </w:r>
          </w:p>
        </w:tc>
      </w:tr>
      <w:tr>
        <w:trPr>
          <w:trHeight w:val="177"/>
        </w:trPr>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w:t>
            </w:r>
          </w:p>
        </w:tc>
        <w:tc>
          <w:tcPr>
            <w:tcW w:w="2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82"/>
              <w:spacing w:after="0"/>
              <w:rPr>
                <w:sz w:val="20"/>
                <w:szCs w:val="20"/>
                <w:color w:val="auto"/>
              </w:rPr>
            </w:pPr>
            <w:r>
              <w:rPr>
                <w:rFonts w:ascii="Arial" w:cs="Arial" w:eastAsia="Arial" w:hAnsi="Arial"/>
                <w:sz w:val="14"/>
                <w:szCs w:val="14"/>
                <w:b w:val="1"/>
                <w:bCs w:val="1"/>
                <w:color w:val="auto"/>
              </w:rPr>
              <w:t>2010</w:t>
            </w:r>
          </w:p>
        </w:tc>
        <w:tc>
          <w:tcPr>
            <w:tcW w:w="3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2011</w:t>
            </w:r>
          </w:p>
        </w:tc>
        <w:tc>
          <w:tcPr>
            <w:tcW w:w="2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2012</w:t>
            </w:r>
          </w:p>
        </w:tc>
        <w:tc>
          <w:tcPr>
            <w:tcW w:w="2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2013</w:t>
            </w:r>
          </w:p>
        </w:tc>
        <w:tc>
          <w:tcPr>
            <w:tcW w:w="2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2014</w:t>
            </w:r>
          </w:p>
        </w:tc>
        <w:tc>
          <w:tcPr>
            <w:tcW w:w="2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2015</w:t>
            </w:r>
          </w:p>
        </w:tc>
        <w:tc>
          <w:tcPr>
            <w:tcW w:w="2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118"/>
              <w:spacing w:after="0"/>
              <w:rPr>
                <w:sz w:val="20"/>
                <w:szCs w:val="20"/>
                <w:color w:val="auto"/>
              </w:rPr>
            </w:pPr>
            <w:r>
              <w:rPr>
                <w:rFonts w:ascii="Arial" w:cs="Arial" w:eastAsia="Arial" w:hAnsi="Arial"/>
                <w:sz w:val="14"/>
                <w:szCs w:val="14"/>
                <w:b w:val="1"/>
                <w:bCs w:val="1"/>
                <w:color w:val="auto"/>
                <w:w w:val="96"/>
              </w:rPr>
              <w:t>2019</w:t>
            </w:r>
          </w:p>
        </w:tc>
      </w:tr>
      <w:tr>
        <w:trPr>
          <w:trHeight w:val="163"/>
        </w:trPr>
        <w:tc>
          <w:tcPr>
            <w:tcW w:w="11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3"/>
          </w:tcPr>
          <w:p>
            <w:pPr>
              <w:jc w:val="right"/>
              <w:spacing w:after="0" w:line="157" w:lineRule="exact"/>
              <w:rPr>
                <w:sz w:val="20"/>
                <w:szCs w:val="20"/>
                <w:color w:val="auto"/>
              </w:rPr>
            </w:pPr>
            <w:r>
              <w:rPr>
                <w:rFonts w:ascii="Arial" w:cs="Arial" w:eastAsia="Arial" w:hAnsi="Arial"/>
                <w:sz w:val="14"/>
                <w:szCs w:val="14"/>
                <w:b w:val="1"/>
                <w:bCs w:val="1"/>
                <w:color w:val="auto"/>
              </w:rPr>
              <w:t>(Unaudited 2010 - 2018)</w:t>
            </w:r>
          </w:p>
        </w:tc>
        <w:tc>
          <w:tcPr>
            <w:tcW w:w="2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20" w:type="dxa"/>
            <w:vAlign w:val="bottom"/>
            <w:gridSpan w:val="2"/>
          </w:tcPr>
          <w:p>
            <w:pPr>
              <w:jc w:val="center"/>
              <w:spacing w:after="0" w:line="157" w:lineRule="exact"/>
              <w:rPr>
                <w:sz w:val="20"/>
                <w:szCs w:val="20"/>
                <w:color w:val="auto"/>
              </w:rPr>
            </w:pPr>
            <w:r>
              <w:rPr>
                <w:rFonts w:ascii="Arial" w:cs="Arial" w:eastAsia="Arial" w:hAnsi="Arial"/>
                <w:sz w:val="14"/>
                <w:szCs w:val="14"/>
                <w:b w:val="1"/>
                <w:bCs w:val="1"/>
                <w:color w:val="auto"/>
                <w:w w:val="95"/>
              </w:rPr>
              <w:t>(Unaudited)</w:t>
            </w:r>
          </w:p>
        </w:tc>
      </w:tr>
      <w:tr>
        <w:trPr>
          <w:trHeight w:val="235"/>
        </w:trPr>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09"/>
        </w:trPr>
        <w:tc>
          <w:tcPr>
            <w:tcW w:w="11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2009</w:t>
            </w:r>
          </w:p>
        </w:tc>
        <w:tc>
          <w:tcPr>
            <w:tcW w:w="28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ind w:right="22"/>
              <w:spacing w:after="0"/>
              <w:rPr>
                <w:sz w:val="20"/>
                <w:szCs w:val="20"/>
                <w:color w:val="auto"/>
              </w:rPr>
            </w:pPr>
            <w:r>
              <w:rPr>
                <w:rFonts w:ascii="Arial" w:cs="Arial" w:eastAsia="Arial" w:hAnsi="Arial"/>
                <w:sz w:val="17"/>
                <w:szCs w:val="17"/>
                <w:color w:val="auto"/>
              </w:rPr>
              <w:t>2,566</w:t>
            </w:r>
          </w:p>
        </w:tc>
        <w:tc>
          <w:tcPr>
            <w:tcW w:w="3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ind w:right="19"/>
              <w:spacing w:after="0"/>
              <w:rPr>
                <w:sz w:val="20"/>
                <w:szCs w:val="20"/>
                <w:color w:val="auto"/>
              </w:rPr>
            </w:pPr>
            <w:r>
              <w:rPr>
                <w:rFonts w:ascii="Arial" w:cs="Arial" w:eastAsia="Arial" w:hAnsi="Arial"/>
                <w:sz w:val="17"/>
                <w:szCs w:val="17"/>
                <w:color w:val="auto"/>
              </w:rPr>
              <w:t>3,947</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7"/>
                <w:szCs w:val="17"/>
                <w:color w:val="auto"/>
              </w:rPr>
              <w:t>4,972</w:t>
            </w:r>
          </w:p>
        </w:tc>
        <w:tc>
          <w:tcPr>
            <w:tcW w:w="28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ind w:right="20"/>
              <w:spacing w:after="0"/>
              <w:rPr>
                <w:sz w:val="20"/>
                <w:szCs w:val="20"/>
                <w:color w:val="auto"/>
              </w:rPr>
            </w:pPr>
            <w:r>
              <w:rPr>
                <w:rFonts w:ascii="Arial" w:cs="Arial" w:eastAsia="Arial" w:hAnsi="Arial"/>
                <w:sz w:val="17"/>
                <w:szCs w:val="17"/>
                <w:color w:val="auto"/>
              </w:rPr>
              <w:t>5,602</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6,323</w:t>
            </w:r>
          </w:p>
        </w:tc>
        <w:tc>
          <w:tcPr>
            <w:tcW w:w="24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6,576</w:t>
            </w:r>
          </w:p>
        </w:tc>
        <w:tc>
          <w:tcPr>
            <w:tcW w:w="28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6,720</w:t>
            </w:r>
          </w:p>
        </w:tc>
        <w:tc>
          <w:tcPr>
            <w:tcW w:w="28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6,772</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6,780</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6,780</w:t>
            </w:r>
          </w:p>
        </w:tc>
      </w:tr>
      <w:tr>
        <w:trPr>
          <w:trHeight w:val="209"/>
        </w:trPr>
        <w:tc>
          <w:tcPr>
            <w:tcW w:w="1160" w:type="dxa"/>
            <w:vAlign w:val="bottom"/>
          </w:tcPr>
          <w:p>
            <w:pPr>
              <w:jc w:val="center"/>
              <w:spacing w:after="0"/>
              <w:rPr>
                <w:sz w:val="20"/>
                <w:szCs w:val="20"/>
                <w:color w:val="auto"/>
              </w:rPr>
            </w:pPr>
            <w:r>
              <w:rPr>
                <w:rFonts w:ascii="Arial" w:cs="Arial" w:eastAsia="Arial" w:hAnsi="Arial"/>
                <w:sz w:val="17"/>
                <w:szCs w:val="17"/>
                <w:color w:val="auto"/>
                <w:w w:val="89"/>
              </w:rPr>
              <w:t>2010</w:t>
            </w: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jc w:val="right"/>
              <w:ind w:right="19"/>
              <w:spacing w:after="0"/>
              <w:rPr>
                <w:sz w:val="20"/>
                <w:szCs w:val="20"/>
                <w:color w:val="auto"/>
              </w:rPr>
            </w:pPr>
            <w:r>
              <w:rPr>
                <w:rFonts w:ascii="Arial" w:cs="Arial" w:eastAsia="Arial" w:hAnsi="Arial"/>
                <w:sz w:val="17"/>
                <w:szCs w:val="17"/>
                <w:color w:val="auto"/>
              </w:rPr>
              <w:t>3,740</w:t>
            </w:r>
          </w:p>
        </w:tc>
        <w:tc>
          <w:tcPr>
            <w:tcW w:w="280" w:type="dxa"/>
            <w:vAlign w:val="bottom"/>
          </w:tcPr>
          <w:p>
            <w:pPr>
              <w:spacing w:after="0"/>
              <w:rPr>
                <w:sz w:val="18"/>
                <w:szCs w:val="18"/>
                <w:color w:val="auto"/>
              </w:rPr>
            </w:pPr>
          </w:p>
        </w:tc>
        <w:tc>
          <w:tcPr>
            <w:tcW w:w="760" w:type="dxa"/>
            <w:vAlign w:val="bottom"/>
          </w:tcPr>
          <w:p>
            <w:pPr>
              <w:jc w:val="right"/>
              <w:ind w:right="19"/>
              <w:spacing w:after="0"/>
              <w:rPr>
                <w:sz w:val="20"/>
                <w:szCs w:val="20"/>
                <w:color w:val="auto"/>
              </w:rPr>
            </w:pPr>
            <w:r>
              <w:rPr>
                <w:rFonts w:ascii="Arial" w:cs="Arial" w:eastAsia="Arial" w:hAnsi="Arial"/>
                <w:sz w:val="17"/>
                <w:szCs w:val="17"/>
                <w:color w:val="auto"/>
              </w:rPr>
              <w:t>5,117</w:t>
            </w:r>
          </w:p>
        </w:tc>
        <w:tc>
          <w:tcPr>
            <w:tcW w:w="280" w:type="dxa"/>
            <w:vAlign w:val="bottom"/>
          </w:tcPr>
          <w:p>
            <w:pPr>
              <w:spacing w:after="0"/>
              <w:rPr>
                <w:sz w:val="18"/>
                <w:szCs w:val="18"/>
                <w:color w:val="auto"/>
              </w:rPr>
            </w:pPr>
          </w:p>
        </w:tc>
        <w:tc>
          <w:tcPr>
            <w:tcW w:w="740" w:type="dxa"/>
            <w:vAlign w:val="bottom"/>
          </w:tcPr>
          <w:p>
            <w:pPr>
              <w:jc w:val="right"/>
              <w:ind w:right="20"/>
              <w:spacing w:after="0"/>
              <w:rPr>
                <w:sz w:val="20"/>
                <w:szCs w:val="20"/>
                <w:color w:val="auto"/>
              </w:rPr>
            </w:pPr>
            <w:r>
              <w:rPr>
                <w:rFonts w:ascii="Arial" w:cs="Arial" w:eastAsia="Arial" w:hAnsi="Arial"/>
                <w:sz w:val="17"/>
                <w:szCs w:val="17"/>
                <w:color w:val="auto"/>
              </w:rPr>
              <w:t>6,228</w:t>
            </w:r>
          </w:p>
        </w:tc>
        <w:tc>
          <w:tcPr>
            <w:tcW w:w="280" w:type="dxa"/>
            <w:vAlign w:val="bottom"/>
          </w:tcPr>
          <w:p>
            <w:pPr>
              <w:spacing w:after="0"/>
              <w:rPr>
                <w:sz w:val="18"/>
                <w:szCs w:val="18"/>
                <w:color w:val="auto"/>
              </w:rPr>
            </w:pPr>
          </w:p>
        </w:tc>
        <w:tc>
          <w:tcPr>
            <w:tcW w:w="800" w:type="dxa"/>
            <w:vAlign w:val="bottom"/>
          </w:tcPr>
          <w:p>
            <w:pPr>
              <w:jc w:val="right"/>
              <w:ind w:right="57"/>
              <w:spacing w:after="0"/>
              <w:rPr>
                <w:sz w:val="20"/>
                <w:szCs w:val="20"/>
                <w:color w:val="auto"/>
              </w:rPr>
            </w:pPr>
            <w:r>
              <w:rPr>
                <w:rFonts w:ascii="Arial" w:cs="Arial" w:eastAsia="Arial" w:hAnsi="Arial"/>
                <w:sz w:val="17"/>
                <w:szCs w:val="17"/>
                <w:color w:val="auto"/>
              </w:rPr>
              <w:t>7,170</w:t>
            </w:r>
          </w:p>
        </w:tc>
        <w:tc>
          <w:tcPr>
            <w:tcW w:w="240" w:type="dxa"/>
            <w:vAlign w:val="bottom"/>
          </w:tcPr>
          <w:p>
            <w:pPr>
              <w:spacing w:after="0"/>
              <w:rPr>
                <w:sz w:val="18"/>
                <w:szCs w:val="18"/>
                <w:color w:val="auto"/>
              </w:rPr>
            </w:pPr>
          </w:p>
        </w:tc>
        <w:tc>
          <w:tcPr>
            <w:tcW w:w="740" w:type="dxa"/>
            <w:vAlign w:val="bottom"/>
          </w:tcPr>
          <w:p>
            <w:pPr>
              <w:jc w:val="right"/>
              <w:ind w:right="17"/>
              <w:spacing w:after="0"/>
              <w:rPr>
                <w:sz w:val="20"/>
                <w:szCs w:val="20"/>
                <w:color w:val="auto"/>
              </w:rPr>
            </w:pPr>
            <w:r>
              <w:rPr>
                <w:rFonts w:ascii="Arial" w:cs="Arial" w:eastAsia="Arial" w:hAnsi="Arial"/>
                <w:sz w:val="17"/>
                <w:szCs w:val="17"/>
                <w:color w:val="auto"/>
              </w:rPr>
              <w:t>8,139</w:t>
            </w:r>
          </w:p>
        </w:tc>
        <w:tc>
          <w:tcPr>
            <w:tcW w:w="280" w:type="dxa"/>
            <w:vAlign w:val="bottom"/>
          </w:tcPr>
          <w:p>
            <w:pPr>
              <w:spacing w:after="0"/>
              <w:rPr>
                <w:sz w:val="18"/>
                <w:szCs w:val="18"/>
                <w:color w:val="auto"/>
              </w:rPr>
            </w:pPr>
          </w:p>
        </w:tc>
        <w:tc>
          <w:tcPr>
            <w:tcW w:w="740" w:type="dxa"/>
            <w:vAlign w:val="bottom"/>
          </w:tcPr>
          <w:p>
            <w:pPr>
              <w:jc w:val="right"/>
              <w:ind w:right="17"/>
              <w:spacing w:after="0"/>
              <w:rPr>
                <w:sz w:val="20"/>
                <w:szCs w:val="20"/>
                <w:color w:val="auto"/>
              </w:rPr>
            </w:pPr>
            <w:r>
              <w:rPr>
                <w:rFonts w:ascii="Arial" w:cs="Arial" w:eastAsia="Arial" w:hAnsi="Arial"/>
                <w:sz w:val="17"/>
                <w:szCs w:val="17"/>
                <w:color w:val="auto"/>
              </w:rPr>
              <w:t>8,540</w:t>
            </w:r>
          </w:p>
        </w:tc>
        <w:tc>
          <w:tcPr>
            <w:tcW w:w="280" w:type="dxa"/>
            <w:vAlign w:val="bottom"/>
          </w:tcPr>
          <w:p>
            <w:pPr>
              <w:spacing w:after="0"/>
              <w:rPr>
                <w:sz w:val="18"/>
                <w:szCs w:val="18"/>
                <w:color w:val="auto"/>
              </w:rPr>
            </w:pPr>
          </w:p>
        </w:tc>
        <w:tc>
          <w:tcPr>
            <w:tcW w:w="740" w:type="dxa"/>
            <w:vAlign w:val="bottom"/>
          </w:tcPr>
          <w:p>
            <w:pPr>
              <w:jc w:val="right"/>
              <w:ind w:right="16"/>
              <w:spacing w:after="0"/>
              <w:rPr>
                <w:sz w:val="20"/>
                <w:szCs w:val="20"/>
                <w:color w:val="auto"/>
              </w:rPr>
            </w:pPr>
            <w:r>
              <w:rPr>
                <w:rFonts w:ascii="Arial" w:cs="Arial" w:eastAsia="Arial" w:hAnsi="Arial"/>
                <w:sz w:val="17"/>
                <w:szCs w:val="17"/>
                <w:color w:val="auto"/>
              </w:rPr>
              <w:t>8,702</w:t>
            </w:r>
          </w:p>
        </w:tc>
        <w:tc>
          <w:tcPr>
            <w:tcW w:w="280" w:type="dxa"/>
            <w:vAlign w:val="bottom"/>
          </w:tcPr>
          <w:p>
            <w:pPr>
              <w:spacing w:after="0"/>
              <w:rPr>
                <w:sz w:val="18"/>
                <w:szCs w:val="18"/>
                <w:color w:val="auto"/>
              </w:rPr>
            </w:pPr>
          </w:p>
        </w:tc>
        <w:tc>
          <w:tcPr>
            <w:tcW w:w="740" w:type="dxa"/>
            <w:vAlign w:val="bottom"/>
          </w:tcPr>
          <w:p>
            <w:pPr>
              <w:jc w:val="right"/>
              <w:ind w:right="16"/>
              <w:spacing w:after="0"/>
              <w:rPr>
                <w:sz w:val="20"/>
                <w:szCs w:val="20"/>
                <w:color w:val="auto"/>
              </w:rPr>
            </w:pPr>
            <w:r>
              <w:rPr>
                <w:rFonts w:ascii="Arial" w:cs="Arial" w:eastAsia="Arial" w:hAnsi="Arial"/>
                <w:sz w:val="17"/>
                <w:szCs w:val="17"/>
                <w:color w:val="auto"/>
              </w:rPr>
              <w:t>8,727</w:t>
            </w:r>
          </w:p>
        </w:tc>
        <w:tc>
          <w:tcPr>
            <w:tcW w:w="200" w:type="dxa"/>
            <w:vAlign w:val="bottom"/>
          </w:tcPr>
          <w:p>
            <w:pPr>
              <w:spacing w:after="0"/>
              <w:rPr>
                <w:sz w:val="18"/>
                <w:szCs w:val="18"/>
                <w:color w:val="auto"/>
              </w:rPr>
            </w:pPr>
          </w:p>
        </w:tc>
        <w:tc>
          <w:tcPr>
            <w:tcW w:w="820" w:type="dxa"/>
            <w:vAlign w:val="bottom"/>
          </w:tcPr>
          <w:p>
            <w:pPr>
              <w:jc w:val="right"/>
              <w:ind w:right="18"/>
              <w:spacing w:after="0"/>
              <w:rPr>
                <w:sz w:val="20"/>
                <w:szCs w:val="20"/>
                <w:color w:val="auto"/>
              </w:rPr>
            </w:pPr>
            <w:r>
              <w:rPr>
                <w:rFonts w:ascii="Arial" w:cs="Arial" w:eastAsia="Arial" w:hAnsi="Arial"/>
                <w:sz w:val="17"/>
                <w:szCs w:val="17"/>
                <w:color w:val="auto"/>
              </w:rPr>
              <w:t>8,733</w:t>
            </w:r>
          </w:p>
        </w:tc>
      </w:tr>
      <w:tr>
        <w:trPr>
          <w:trHeight w:val="209"/>
        </w:trPr>
        <w:tc>
          <w:tcPr>
            <w:tcW w:w="11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2011</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7"/>
                <w:szCs w:val="17"/>
                <w:color w:val="auto"/>
              </w:rPr>
              <w:t>3,950</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20"/>
              <w:spacing w:after="0"/>
              <w:rPr>
                <w:sz w:val="20"/>
                <w:szCs w:val="20"/>
                <w:color w:val="auto"/>
              </w:rPr>
            </w:pPr>
            <w:r>
              <w:rPr>
                <w:rFonts w:ascii="Arial" w:cs="Arial" w:eastAsia="Arial" w:hAnsi="Arial"/>
                <w:sz w:val="17"/>
                <w:szCs w:val="17"/>
                <w:color w:val="auto"/>
              </w:rPr>
              <w:t>5,770</w:t>
            </w: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7,127</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8,196</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9,187</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10,236</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10,323</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10,412</w:t>
            </w:r>
          </w:p>
        </w:tc>
      </w:tr>
      <w:tr>
        <w:trPr>
          <w:trHeight w:val="209"/>
        </w:trPr>
        <w:tc>
          <w:tcPr>
            <w:tcW w:w="1160" w:type="dxa"/>
            <w:vAlign w:val="bottom"/>
          </w:tcPr>
          <w:p>
            <w:pPr>
              <w:jc w:val="center"/>
              <w:spacing w:after="0"/>
              <w:rPr>
                <w:sz w:val="20"/>
                <w:szCs w:val="20"/>
                <w:color w:val="auto"/>
              </w:rPr>
            </w:pPr>
            <w:r>
              <w:rPr>
                <w:rFonts w:ascii="Arial" w:cs="Arial" w:eastAsia="Arial" w:hAnsi="Arial"/>
                <w:sz w:val="17"/>
                <w:szCs w:val="17"/>
                <w:color w:val="auto"/>
                <w:w w:val="89"/>
              </w:rPr>
              <w:t>2012</w:t>
            </w: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ind w:right="20"/>
              <w:spacing w:after="0"/>
              <w:rPr>
                <w:sz w:val="20"/>
                <w:szCs w:val="20"/>
                <w:color w:val="auto"/>
              </w:rPr>
            </w:pPr>
            <w:r>
              <w:rPr>
                <w:rFonts w:ascii="Arial" w:cs="Arial" w:eastAsia="Arial" w:hAnsi="Arial"/>
                <w:sz w:val="17"/>
                <w:szCs w:val="17"/>
                <w:color w:val="auto"/>
              </w:rPr>
              <w:t>3,405</w:t>
            </w:r>
          </w:p>
        </w:tc>
        <w:tc>
          <w:tcPr>
            <w:tcW w:w="280" w:type="dxa"/>
            <w:vAlign w:val="bottom"/>
          </w:tcPr>
          <w:p>
            <w:pPr>
              <w:spacing w:after="0"/>
              <w:rPr>
                <w:sz w:val="18"/>
                <w:szCs w:val="18"/>
                <w:color w:val="auto"/>
              </w:rPr>
            </w:pPr>
          </w:p>
        </w:tc>
        <w:tc>
          <w:tcPr>
            <w:tcW w:w="800" w:type="dxa"/>
            <w:vAlign w:val="bottom"/>
          </w:tcPr>
          <w:p>
            <w:pPr>
              <w:jc w:val="right"/>
              <w:ind w:right="57"/>
              <w:spacing w:after="0"/>
              <w:rPr>
                <w:sz w:val="20"/>
                <w:szCs w:val="20"/>
                <w:color w:val="auto"/>
              </w:rPr>
            </w:pPr>
            <w:r>
              <w:rPr>
                <w:rFonts w:ascii="Arial" w:cs="Arial" w:eastAsia="Arial" w:hAnsi="Arial"/>
                <w:sz w:val="17"/>
                <w:szCs w:val="17"/>
                <w:color w:val="auto"/>
              </w:rPr>
              <w:t>5,303</w:t>
            </w:r>
          </w:p>
        </w:tc>
        <w:tc>
          <w:tcPr>
            <w:tcW w:w="240" w:type="dxa"/>
            <w:vAlign w:val="bottom"/>
          </w:tcPr>
          <w:p>
            <w:pPr>
              <w:spacing w:after="0"/>
              <w:rPr>
                <w:sz w:val="18"/>
                <w:szCs w:val="18"/>
                <w:color w:val="auto"/>
              </w:rPr>
            </w:pPr>
          </w:p>
        </w:tc>
        <w:tc>
          <w:tcPr>
            <w:tcW w:w="740" w:type="dxa"/>
            <w:vAlign w:val="bottom"/>
          </w:tcPr>
          <w:p>
            <w:pPr>
              <w:jc w:val="right"/>
              <w:ind w:right="17"/>
              <w:spacing w:after="0"/>
              <w:rPr>
                <w:sz w:val="20"/>
                <w:szCs w:val="20"/>
                <w:color w:val="auto"/>
              </w:rPr>
            </w:pPr>
            <w:r>
              <w:rPr>
                <w:rFonts w:ascii="Arial" w:cs="Arial" w:eastAsia="Arial" w:hAnsi="Arial"/>
                <w:sz w:val="17"/>
                <w:szCs w:val="17"/>
                <w:color w:val="auto"/>
              </w:rPr>
              <w:t>6,633</w:t>
            </w:r>
          </w:p>
        </w:tc>
        <w:tc>
          <w:tcPr>
            <w:tcW w:w="280" w:type="dxa"/>
            <w:vAlign w:val="bottom"/>
          </w:tcPr>
          <w:p>
            <w:pPr>
              <w:spacing w:after="0"/>
              <w:rPr>
                <w:sz w:val="18"/>
                <w:szCs w:val="18"/>
                <w:color w:val="auto"/>
              </w:rPr>
            </w:pPr>
          </w:p>
        </w:tc>
        <w:tc>
          <w:tcPr>
            <w:tcW w:w="740" w:type="dxa"/>
            <w:vAlign w:val="bottom"/>
          </w:tcPr>
          <w:p>
            <w:pPr>
              <w:jc w:val="right"/>
              <w:ind w:right="17"/>
              <w:spacing w:after="0"/>
              <w:rPr>
                <w:sz w:val="20"/>
                <w:szCs w:val="20"/>
                <w:color w:val="auto"/>
              </w:rPr>
            </w:pPr>
            <w:r>
              <w:rPr>
                <w:rFonts w:ascii="Arial" w:cs="Arial" w:eastAsia="Arial" w:hAnsi="Arial"/>
                <w:sz w:val="17"/>
                <w:szCs w:val="17"/>
                <w:color w:val="auto"/>
              </w:rPr>
              <w:t>7,591</w:t>
            </w:r>
          </w:p>
        </w:tc>
        <w:tc>
          <w:tcPr>
            <w:tcW w:w="280" w:type="dxa"/>
            <w:vAlign w:val="bottom"/>
          </w:tcPr>
          <w:p>
            <w:pPr>
              <w:spacing w:after="0"/>
              <w:rPr>
                <w:sz w:val="18"/>
                <w:szCs w:val="18"/>
                <w:color w:val="auto"/>
              </w:rPr>
            </w:pPr>
          </w:p>
        </w:tc>
        <w:tc>
          <w:tcPr>
            <w:tcW w:w="740" w:type="dxa"/>
            <w:vAlign w:val="bottom"/>
          </w:tcPr>
          <w:p>
            <w:pPr>
              <w:jc w:val="right"/>
              <w:ind w:right="16"/>
              <w:spacing w:after="0"/>
              <w:rPr>
                <w:sz w:val="20"/>
                <w:szCs w:val="20"/>
                <w:color w:val="auto"/>
              </w:rPr>
            </w:pPr>
            <w:r>
              <w:rPr>
                <w:rFonts w:ascii="Arial" w:cs="Arial" w:eastAsia="Arial" w:hAnsi="Arial"/>
                <w:sz w:val="17"/>
                <w:szCs w:val="17"/>
                <w:color w:val="auto"/>
              </w:rPr>
              <w:t>8,407</w:t>
            </w:r>
          </w:p>
        </w:tc>
        <w:tc>
          <w:tcPr>
            <w:tcW w:w="280" w:type="dxa"/>
            <w:vAlign w:val="bottom"/>
          </w:tcPr>
          <w:p>
            <w:pPr>
              <w:spacing w:after="0"/>
              <w:rPr>
                <w:sz w:val="18"/>
                <w:szCs w:val="18"/>
                <w:color w:val="auto"/>
              </w:rPr>
            </w:pPr>
          </w:p>
        </w:tc>
        <w:tc>
          <w:tcPr>
            <w:tcW w:w="740" w:type="dxa"/>
            <w:vAlign w:val="bottom"/>
          </w:tcPr>
          <w:p>
            <w:pPr>
              <w:jc w:val="right"/>
              <w:ind w:right="16"/>
              <w:spacing w:after="0"/>
              <w:rPr>
                <w:sz w:val="20"/>
                <w:szCs w:val="20"/>
                <w:color w:val="auto"/>
              </w:rPr>
            </w:pPr>
            <w:r>
              <w:rPr>
                <w:rFonts w:ascii="Arial" w:cs="Arial" w:eastAsia="Arial" w:hAnsi="Arial"/>
                <w:sz w:val="17"/>
                <w:szCs w:val="17"/>
                <w:color w:val="auto"/>
              </w:rPr>
              <w:t>9,056</w:t>
            </w:r>
          </w:p>
        </w:tc>
        <w:tc>
          <w:tcPr>
            <w:tcW w:w="200" w:type="dxa"/>
            <w:vAlign w:val="bottom"/>
          </w:tcPr>
          <w:p>
            <w:pPr>
              <w:spacing w:after="0"/>
              <w:rPr>
                <w:sz w:val="18"/>
                <w:szCs w:val="18"/>
                <w:color w:val="auto"/>
              </w:rPr>
            </w:pPr>
          </w:p>
        </w:tc>
        <w:tc>
          <w:tcPr>
            <w:tcW w:w="820" w:type="dxa"/>
            <w:vAlign w:val="bottom"/>
          </w:tcPr>
          <w:p>
            <w:pPr>
              <w:jc w:val="right"/>
              <w:ind w:right="18"/>
              <w:spacing w:after="0"/>
              <w:rPr>
                <w:sz w:val="20"/>
                <w:szCs w:val="20"/>
                <w:color w:val="auto"/>
              </w:rPr>
            </w:pPr>
            <w:r>
              <w:rPr>
                <w:rFonts w:ascii="Arial" w:cs="Arial" w:eastAsia="Arial" w:hAnsi="Arial"/>
                <w:sz w:val="17"/>
                <w:szCs w:val="17"/>
                <w:color w:val="auto"/>
              </w:rPr>
              <w:t>9,155</w:t>
            </w:r>
          </w:p>
        </w:tc>
      </w:tr>
      <w:tr>
        <w:trPr>
          <w:trHeight w:val="209"/>
        </w:trPr>
        <w:tc>
          <w:tcPr>
            <w:tcW w:w="11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2013</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5,710</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9,429</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10,738</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11,770</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13,819</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13,860</w:t>
            </w:r>
          </w:p>
        </w:tc>
      </w:tr>
      <w:tr>
        <w:trPr>
          <w:trHeight w:val="209"/>
        </w:trPr>
        <w:tc>
          <w:tcPr>
            <w:tcW w:w="1160" w:type="dxa"/>
            <w:vAlign w:val="bottom"/>
          </w:tcPr>
          <w:p>
            <w:pPr>
              <w:jc w:val="center"/>
              <w:spacing w:after="0"/>
              <w:rPr>
                <w:sz w:val="20"/>
                <w:szCs w:val="20"/>
                <w:color w:val="auto"/>
              </w:rPr>
            </w:pPr>
            <w:r>
              <w:rPr>
                <w:rFonts w:ascii="Arial" w:cs="Arial" w:eastAsia="Arial" w:hAnsi="Arial"/>
                <w:sz w:val="17"/>
                <w:szCs w:val="17"/>
                <w:color w:val="auto"/>
                <w:w w:val="89"/>
              </w:rPr>
              <w:t>2014</w:t>
            </w: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ind w:right="17"/>
              <w:spacing w:after="0"/>
              <w:rPr>
                <w:sz w:val="20"/>
                <w:szCs w:val="20"/>
                <w:color w:val="auto"/>
              </w:rPr>
            </w:pPr>
            <w:r>
              <w:rPr>
                <w:rFonts w:ascii="Arial" w:cs="Arial" w:eastAsia="Arial" w:hAnsi="Arial"/>
                <w:sz w:val="17"/>
                <w:szCs w:val="17"/>
                <w:color w:val="auto"/>
              </w:rPr>
              <w:t>12,295</w:t>
            </w:r>
          </w:p>
        </w:tc>
        <w:tc>
          <w:tcPr>
            <w:tcW w:w="280" w:type="dxa"/>
            <w:vAlign w:val="bottom"/>
          </w:tcPr>
          <w:p>
            <w:pPr>
              <w:spacing w:after="0"/>
              <w:rPr>
                <w:sz w:val="18"/>
                <w:szCs w:val="18"/>
                <w:color w:val="auto"/>
              </w:rPr>
            </w:pPr>
          </w:p>
        </w:tc>
        <w:tc>
          <w:tcPr>
            <w:tcW w:w="740" w:type="dxa"/>
            <w:vAlign w:val="bottom"/>
          </w:tcPr>
          <w:p>
            <w:pPr>
              <w:jc w:val="right"/>
              <w:ind w:right="17"/>
              <w:spacing w:after="0"/>
              <w:rPr>
                <w:sz w:val="20"/>
                <w:szCs w:val="20"/>
                <w:color w:val="auto"/>
              </w:rPr>
            </w:pPr>
            <w:r>
              <w:rPr>
                <w:rFonts w:ascii="Arial" w:cs="Arial" w:eastAsia="Arial" w:hAnsi="Arial"/>
                <w:sz w:val="17"/>
                <w:szCs w:val="17"/>
                <w:color w:val="auto"/>
              </w:rPr>
              <w:t>16,181</w:t>
            </w:r>
          </w:p>
        </w:tc>
        <w:tc>
          <w:tcPr>
            <w:tcW w:w="280" w:type="dxa"/>
            <w:vAlign w:val="bottom"/>
          </w:tcPr>
          <w:p>
            <w:pPr>
              <w:spacing w:after="0"/>
              <w:rPr>
                <w:sz w:val="18"/>
                <w:szCs w:val="18"/>
                <w:color w:val="auto"/>
              </w:rPr>
            </w:pPr>
          </w:p>
        </w:tc>
        <w:tc>
          <w:tcPr>
            <w:tcW w:w="740" w:type="dxa"/>
            <w:vAlign w:val="bottom"/>
          </w:tcPr>
          <w:p>
            <w:pPr>
              <w:jc w:val="right"/>
              <w:ind w:right="16"/>
              <w:spacing w:after="0"/>
              <w:rPr>
                <w:sz w:val="20"/>
                <w:szCs w:val="20"/>
                <w:color w:val="auto"/>
              </w:rPr>
            </w:pPr>
            <w:r>
              <w:rPr>
                <w:rFonts w:ascii="Arial" w:cs="Arial" w:eastAsia="Arial" w:hAnsi="Arial"/>
                <w:sz w:val="17"/>
                <w:szCs w:val="17"/>
                <w:color w:val="auto"/>
              </w:rPr>
              <w:t>18,266</w:t>
            </w:r>
          </w:p>
        </w:tc>
        <w:tc>
          <w:tcPr>
            <w:tcW w:w="280" w:type="dxa"/>
            <w:vAlign w:val="bottom"/>
          </w:tcPr>
          <w:p>
            <w:pPr>
              <w:spacing w:after="0"/>
              <w:rPr>
                <w:sz w:val="18"/>
                <w:szCs w:val="18"/>
                <w:color w:val="auto"/>
              </w:rPr>
            </w:pPr>
          </w:p>
        </w:tc>
        <w:tc>
          <w:tcPr>
            <w:tcW w:w="740" w:type="dxa"/>
            <w:vAlign w:val="bottom"/>
          </w:tcPr>
          <w:p>
            <w:pPr>
              <w:jc w:val="right"/>
              <w:ind w:right="16"/>
              <w:spacing w:after="0"/>
              <w:rPr>
                <w:sz w:val="20"/>
                <w:szCs w:val="20"/>
                <w:color w:val="auto"/>
              </w:rPr>
            </w:pPr>
            <w:r>
              <w:rPr>
                <w:rFonts w:ascii="Arial" w:cs="Arial" w:eastAsia="Arial" w:hAnsi="Arial"/>
                <w:sz w:val="17"/>
                <w:szCs w:val="17"/>
                <w:color w:val="auto"/>
              </w:rPr>
              <w:t>19,984</w:t>
            </w:r>
          </w:p>
        </w:tc>
        <w:tc>
          <w:tcPr>
            <w:tcW w:w="200" w:type="dxa"/>
            <w:vAlign w:val="bottom"/>
          </w:tcPr>
          <w:p>
            <w:pPr>
              <w:spacing w:after="0"/>
              <w:rPr>
                <w:sz w:val="18"/>
                <w:szCs w:val="18"/>
                <w:color w:val="auto"/>
              </w:rPr>
            </w:pPr>
          </w:p>
        </w:tc>
        <w:tc>
          <w:tcPr>
            <w:tcW w:w="820" w:type="dxa"/>
            <w:vAlign w:val="bottom"/>
          </w:tcPr>
          <w:p>
            <w:pPr>
              <w:jc w:val="right"/>
              <w:ind w:right="18"/>
              <w:spacing w:after="0"/>
              <w:rPr>
                <w:sz w:val="20"/>
                <w:szCs w:val="20"/>
                <w:color w:val="auto"/>
              </w:rPr>
            </w:pPr>
            <w:r>
              <w:rPr>
                <w:rFonts w:ascii="Arial" w:cs="Arial" w:eastAsia="Arial" w:hAnsi="Arial"/>
                <w:sz w:val="17"/>
                <w:szCs w:val="17"/>
                <w:color w:val="auto"/>
              </w:rPr>
              <w:t>20,193</w:t>
            </w:r>
          </w:p>
        </w:tc>
      </w:tr>
      <w:tr>
        <w:trPr>
          <w:trHeight w:val="209"/>
        </w:trPr>
        <w:tc>
          <w:tcPr>
            <w:tcW w:w="11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2015</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15,364</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19,001</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21,106</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21,306</w:t>
            </w:r>
          </w:p>
        </w:tc>
      </w:tr>
      <w:tr>
        <w:trPr>
          <w:trHeight w:val="209"/>
        </w:trPr>
        <w:tc>
          <w:tcPr>
            <w:tcW w:w="1160" w:type="dxa"/>
            <w:vAlign w:val="bottom"/>
          </w:tcPr>
          <w:p>
            <w:pPr>
              <w:jc w:val="center"/>
              <w:spacing w:after="0"/>
              <w:rPr>
                <w:sz w:val="20"/>
                <w:szCs w:val="20"/>
                <w:color w:val="auto"/>
              </w:rPr>
            </w:pPr>
            <w:r>
              <w:rPr>
                <w:rFonts w:ascii="Arial" w:cs="Arial" w:eastAsia="Arial" w:hAnsi="Arial"/>
                <w:sz w:val="17"/>
                <w:szCs w:val="17"/>
                <w:color w:val="auto"/>
                <w:w w:val="89"/>
              </w:rPr>
              <w:t>2016</w:t>
            </w: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ind w:right="16"/>
              <w:spacing w:after="0"/>
              <w:rPr>
                <w:sz w:val="20"/>
                <w:szCs w:val="20"/>
                <w:color w:val="auto"/>
              </w:rPr>
            </w:pPr>
            <w:r>
              <w:rPr>
                <w:rFonts w:ascii="Arial" w:cs="Arial" w:eastAsia="Arial" w:hAnsi="Arial"/>
                <w:sz w:val="17"/>
                <w:szCs w:val="17"/>
                <w:color w:val="auto"/>
              </w:rPr>
              <w:t>16,704</w:t>
            </w:r>
          </w:p>
        </w:tc>
        <w:tc>
          <w:tcPr>
            <w:tcW w:w="280" w:type="dxa"/>
            <w:vAlign w:val="bottom"/>
          </w:tcPr>
          <w:p>
            <w:pPr>
              <w:spacing w:after="0"/>
              <w:rPr>
                <w:sz w:val="18"/>
                <w:szCs w:val="18"/>
                <w:color w:val="auto"/>
              </w:rPr>
            </w:pPr>
          </w:p>
        </w:tc>
        <w:tc>
          <w:tcPr>
            <w:tcW w:w="740" w:type="dxa"/>
            <w:vAlign w:val="bottom"/>
          </w:tcPr>
          <w:p>
            <w:pPr>
              <w:jc w:val="right"/>
              <w:ind w:right="16"/>
              <w:spacing w:after="0"/>
              <w:rPr>
                <w:sz w:val="20"/>
                <w:szCs w:val="20"/>
                <w:color w:val="auto"/>
              </w:rPr>
            </w:pPr>
            <w:r>
              <w:rPr>
                <w:rFonts w:ascii="Arial" w:cs="Arial" w:eastAsia="Arial" w:hAnsi="Arial"/>
                <w:sz w:val="17"/>
                <w:szCs w:val="17"/>
                <w:color w:val="auto"/>
              </w:rPr>
              <w:t>24,820</w:t>
            </w:r>
          </w:p>
        </w:tc>
        <w:tc>
          <w:tcPr>
            <w:tcW w:w="200" w:type="dxa"/>
            <w:vAlign w:val="bottom"/>
          </w:tcPr>
          <w:p>
            <w:pPr>
              <w:spacing w:after="0"/>
              <w:rPr>
                <w:sz w:val="18"/>
                <w:szCs w:val="18"/>
                <w:color w:val="auto"/>
              </w:rPr>
            </w:pPr>
          </w:p>
        </w:tc>
        <w:tc>
          <w:tcPr>
            <w:tcW w:w="820" w:type="dxa"/>
            <w:vAlign w:val="bottom"/>
          </w:tcPr>
          <w:p>
            <w:pPr>
              <w:jc w:val="right"/>
              <w:ind w:right="18"/>
              <w:spacing w:after="0"/>
              <w:rPr>
                <w:sz w:val="20"/>
                <w:szCs w:val="20"/>
                <w:color w:val="auto"/>
              </w:rPr>
            </w:pPr>
            <w:r>
              <w:rPr>
                <w:rFonts w:ascii="Arial" w:cs="Arial" w:eastAsia="Arial" w:hAnsi="Arial"/>
                <w:sz w:val="17"/>
                <w:szCs w:val="17"/>
                <w:color w:val="auto"/>
              </w:rPr>
              <w:t>25,426</w:t>
            </w:r>
          </w:p>
        </w:tc>
      </w:tr>
      <w:tr>
        <w:trPr>
          <w:trHeight w:val="209"/>
        </w:trPr>
        <w:tc>
          <w:tcPr>
            <w:tcW w:w="11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2017</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32,383</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39,136</w:t>
            </w:r>
          </w:p>
        </w:tc>
      </w:tr>
      <w:tr>
        <w:trPr>
          <w:trHeight w:val="215"/>
        </w:trPr>
        <w:tc>
          <w:tcPr>
            <w:tcW w:w="1160" w:type="dxa"/>
            <w:vAlign w:val="bottom"/>
          </w:tcPr>
          <w:p>
            <w:pPr>
              <w:jc w:val="center"/>
              <w:spacing w:after="0"/>
              <w:rPr>
                <w:sz w:val="20"/>
                <w:szCs w:val="20"/>
                <w:color w:val="auto"/>
              </w:rPr>
            </w:pPr>
            <w:r>
              <w:rPr>
                <w:rFonts w:ascii="Arial" w:cs="Arial" w:eastAsia="Arial" w:hAnsi="Arial"/>
                <w:sz w:val="17"/>
                <w:szCs w:val="17"/>
                <w:color w:val="auto"/>
                <w:w w:val="89"/>
              </w:rPr>
              <w:t>2018</w:t>
            </w: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8"/>
              <w:spacing w:after="0"/>
              <w:rPr>
                <w:sz w:val="20"/>
                <w:szCs w:val="20"/>
                <w:color w:val="auto"/>
              </w:rPr>
            </w:pPr>
            <w:r>
              <w:rPr>
                <w:rFonts w:ascii="Arial" w:cs="Arial" w:eastAsia="Arial" w:hAnsi="Arial"/>
                <w:sz w:val="17"/>
                <w:szCs w:val="17"/>
                <w:color w:val="auto"/>
              </w:rPr>
              <w:t>7,320</w:t>
            </w:r>
          </w:p>
        </w:tc>
      </w:tr>
      <w:tr>
        <w:trPr>
          <w:trHeight w:val="242"/>
        </w:trPr>
        <w:tc>
          <w:tcPr>
            <w:tcW w:w="11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Total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7"/>
                <w:szCs w:val="17"/>
                <w:color w:val="auto"/>
              </w:rPr>
              <w:t>162,321</w:t>
            </w:r>
          </w:p>
        </w:tc>
      </w:tr>
      <w:tr>
        <w:trPr>
          <w:trHeight w:val="209"/>
        </w:trPr>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900" w:type="dxa"/>
            <w:vAlign w:val="bottom"/>
            <w:gridSpan w:val="13"/>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35"/>
        </w:trPr>
        <w:tc>
          <w:tcPr>
            <w:tcW w:w="11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900" w:type="dxa"/>
            <w:vAlign w:val="bottom"/>
            <w:gridSpan w:val="13"/>
            <w:shd w:val="clear" w:color="auto" w:fill="CCEEFF"/>
          </w:tcPr>
          <w:p>
            <w:pPr>
              <w:jc w:val="right"/>
              <w:spacing w:after="0"/>
              <w:rPr>
                <w:sz w:val="20"/>
                <w:szCs w:val="20"/>
                <w:color w:val="auto"/>
              </w:rPr>
            </w:pPr>
            <w:r>
              <w:rPr>
                <w:rFonts w:ascii="Arial" w:cs="Arial" w:eastAsia="Arial" w:hAnsi="Arial"/>
                <w:sz w:val="17"/>
                <w:szCs w:val="17"/>
                <w:color w:val="auto"/>
                <w:w w:val="91"/>
              </w:rPr>
              <w:t>Net liability for unpaid loss and allocated loss adjustment expenses for the accident years presented</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51,268</w:t>
            </w:r>
          </w:p>
        </w:tc>
      </w:tr>
      <w:tr>
        <w:trPr>
          <w:trHeight w:val="234"/>
        </w:trPr>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40" w:type="dxa"/>
            <w:vAlign w:val="bottom"/>
            <w:gridSpan w:val="8"/>
          </w:tcPr>
          <w:p>
            <w:pPr>
              <w:jc w:val="right"/>
              <w:spacing w:after="0"/>
              <w:rPr>
                <w:sz w:val="20"/>
                <w:szCs w:val="20"/>
                <w:color w:val="auto"/>
              </w:rPr>
            </w:pPr>
            <w:r>
              <w:rPr>
                <w:rFonts w:ascii="Arial" w:cs="Arial" w:eastAsia="Arial" w:hAnsi="Arial"/>
                <w:sz w:val="17"/>
                <w:szCs w:val="17"/>
                <w:color w:val="auto"/>
                <w:w w:val="94"/>
              </w:rPr>
              <w:t>All outstanding liabilities before 2009, net of reinsurance</w:t>
            </w:r>
          </w:p>
        </w:tc>
        <w:tc>
          <w:tcPr>
            <w:tcW w:w="200" w:type="dxa"/>
            <w:vAlign w:val="bottom"/>
          </w:tcPr>
          <w:p>
            <w:pPr>
              <w:spacing w:after="0"/>
              <w:rPr>
                <w:sz w:val="20"/>
                <w:szCs w:val="20"/>
                <w:color w:val="auto"/>
              </w:rPr>
            </w:pPr>
          </w:p>
        </w:tc>
        <w:tc>
          <w:tcPr>
            <w:tcW w:w="820" w:type="dxa"/>
            <w:vAlign w:val="bottom"/>
          </w:tcPr>
          <w:p>
            <w:pPr>
              <w:jc w:val="right"/>
              <w:ind w:right="18"/>
              <w:spacing w:after="0"/>
              <w:rPr>
                <w:sz w:val="20"/>
                <w:szCs w:val="20"/>
                <w:color w:val="auto"/>
              </w:rPr>
            </w:pPr>
            <w:r>
              <w:rPr>
                <w:rFonts w:ascii="Arial" w:cs="Arial" w:eastAsia="Arial" w:hAnsi="Arial"/>
                <w:sz w:val="17"/>
                <w:szCs w:val="17"/>
                <w:color w:val="auto"/>
              </w:rPr>
              <w:t>108</w:t>
            </w:r>
          </w:p>
        </w:tc>
      </w:tr>
      <w:tr>
        <w:trPr>
          <w:trHeight w:val="276"/>
        </w:trPr>
        <w:tc>
          <w:tcPr>
            <w:tcW w:w="116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5860" w:type="dxa"/>
            <w:vAlign w:val="bottom"/>
            <w:tcBorders>
              <w:bottom w:val="single" w:sz="8" w:color="CCEEFF"/>
            </w:tcBorders>
            <w:gridSpan w:val="11"/>
            <w:shd w:val="clear" w:color="auto" w:fill="CCEEFF"/>
          </w:tcPr>
          <w:p>
            <w:pPr>
              <w:jc w:val="right"/>
              <w:spacing w:after="0"/>
              <w:rPr>
                <w:sz w:val="20"/>
                <w:szCs w:val="20"/>
                <w:color w:val="auto"/>
              </w:rPr>
            </w:pPr>
            <w:r>
              <w:rPr>
                <w:rFonts w:ascii="Arial" w:cs="Arial" w:eastAsia="Arial" w:hAnsi="Arial"/>
                <w:sz w:val="17"/>
                <w:szCs w:val="17"/>
                <w:color w:val="auto"/>
                <w:w w:val="99"/>
              </w:rPr>
              <w:t>Liabilities for loss and allocated loss adjustment expenses, net of reinsurance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7"/>
                <w:szCs w:val="17"/>
                <w:color w:val="auto"/>
              </w:rPr>
              <w:t>51,376</w:t>
            </w:r>
          </w:p>
        </w:tc>
      </w:tr>
      <w:tr>
        <w:trPr>
          <w:trHeight w:val="646"/>
        </w:trPr>
        <w:tc>
          <w:tcPr>
            <w:tcW w:w="11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477"/>
              <w:spacing w:after="0"/>
              <w:rPr>
                <w:sz w:val="20"/>
                <w:szCs w:val="20"/>
                <w:color w:val="auto"/>
              </w:rPr>
            </w:pPr>
            <w:r>
              <w:rPr>
                <w:rFonts w:ascii="Arial" w:cs="Arial" w:eastAsia="Arial" w:hAnsi="Arial"/>
                <w:sz w:val="17"/>
                <w:szCs w:val="17"/>
                <w:color w:val="auto"/>
              </w:rPr>
              <w:t>26</w:t>
            </w:r>
          </w:p>
        </w:tc>
        <w:tc>
          <w:tcPr>
            <w:tcW w:w="2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r>
    </w:tbl>
    <w:p>
      <w:pPr>
        <w:sectPr>
          <w:pgSz w:w="11900" w:h="16838" w:orient="portrait"/>
          <w:cols w:equalWidth="0" w:num="1">
            <w:col w:w="11520"/>
          </w:cols>
          <w:pgMar w:left="240" w:top="493" w:right="139" w:bottom="1440" w:gutter="0" w:footer="0" w:header="0"/>
        </w:sectPr>
      </w:pPr>
    </w:p>
    <w:bookmarkStart w:id="26" w:name="page27"/>
    <w:bookmarkEnd w:id="26"/>
    <w:p>
      <w:pPr>
        <w:jc w:val="both"/>
        <w:spacing w:after="0" w:line="314" w:lineRule="auto"/>
        <w:rPr>
          <w:sz w:val="20"/>
          <w:szCs w:val="20"/>
          <w:color w:val="auto"/>
        </w:rPr>
      </w:pPr>
      <w:r>
        <w:rPr>
          <w:rFonts w:ascii="Arial" w:cs="Arial" w:eastAsia="Arial" w:hAnsi="Arial"/>
          <w:sz w:val="16"/>
          <w:szCs w:val="16"/>
          <w:color w:val="auto"/>
        </w:rPr>
        <w:t>Reported claim counts are measured on an occurrence or per event basis. A single claim occurrence could result in more than one loss type or claimant; however, the Company counts claims at the occurrence level as a single claim regardless of the number of claimants or claim features involved.</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color w:val="auto"/>
        </w:rPr>
        <w:t>The reconciliation of the net incurred and paid loss development tables to the loss and LAE reserves in the consolidated balance sheet is as follows: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center"/>
              <w:ind w:right="141"/>
              <w:spacing w:after="0"/>
              <w:rPr>
                <w:sz w:val="20"/>
                <w:szCs w:val="20"/>
                <w:color w:val="auto"/>
              </w:rPr>
            </w:pPr>
            <w:r>
              <w:rPr>
                <w:rFonts w:ascii="Arial" w:cs="Arial" w:eastAsia="Arial" w:hAnsi="Arial"/>
                <w:sz w:val="14"/>
                <w:szCs w:val="14"/>
                <w:b w:val="1"/>
                <w:bCs w:val="1"/>
                <w:color w:val="auto"/>
                <w:w w:val="91"/>
              </w:rPr>
              <w:t>As of</w:t>
            </w:r>
          </w:p>
        </w:tc>
        <w:tc>
          <w:tcPr>
            <w:tcW w:w="0" w:type="dxa"/>
            <w:vAlign w:val="bottom"/>
          </w:tcPr>
          <w:p>
            <w:pPr>
              <w:spacing w:after="0"/>
              <w:rPr>
                <w:sz w:val="1"/>
                <w:szCs w:val="1"/>
                <w:color w:val="auto"/>
              </w:rPr>
            </w:pPr>
          </w:p>
        </w:tc>
      </w:tr>
      <w:tr>
        <w:trPr>
          <w:trHeight w:val="157"/>
        </w:trPr>
        <w:tc>
          <w:tcPr>
            <w:tcW w:w="10280" w:type="dxa"/>
            <w:vAlign w:val="bottom"/>
            <w:gridSpan w:val="2"/>
            <w:vMerge w:val="restart"/>
          </w:tcPr>
          <w:p>
            <w:pPr>
              <w:spacing w:after="0"/>
              <w:rPr>
                <w:sz w:val="20"/>
                <w:szCs w:val="20"/>
                <w:color w:val="auto"/>
              </w:rPr>
            </w:pPr>
            <w:r>
              <w:rPr>
                <w:rFonts w:ascii="Arial" w:cs="Arial" w:eastAsia="Arial" w:hAnsi="Arial"/>
                <w:sz w:val="17"/>
                <w:szCs w:val="17"/>
                <w:b w:val="1"/>
                <w:bCs w:val="1"/>
                <w:i w:val="1"/>
                <w:iCs w:val="1"/>
                <w:color w:val="auto"/>
              </w:rPr>
              <w:t>(in thousands)</w:t>
            </w:r>
          </w:p>
        </w:tc>
        <w:tc>
          <w:tcPr>
            <w:tcW w:w="240" w:type="dxa"/>
            <w:vAlign w:val="bottom"/>
          </w:tcPr>
          <w:p>
            <w:pPr>
              <w:spacing w:after="0"/>
              <w:rPr>
                <w:sz w:val="13"/>
                <w:szCs w:val="13"/>
                <w:color w:val="auto"/>
              </w:rPr>
            </w:pPr>
          </w:p>
        </w:tc>
        <w:tc>
          <w:tcPr>
            <w:tcW w:w="900" w:type="dxa"/>
            <w:vAlign w:val="bottom"/>
          </w:tcPr>
          <w:p>
            <w:pPr>
              <w:jc w:val="center"/>
              <w:ind w:right="161"/>
              <w:spacing w:after="0" w:line="157" w:lineRule="exact"/>
              <w:rPr>
                <w:sz w:val="20"/>
                <w:szCs w:val="20"/>
                <w:color w:val="auto"/>
              </w:rPr>
            </w:pPr>
            <w:r>
              <w:rPr>
                <w:rFonts w:ascii="Arial" w:cs="Arial" w:eastAsia="Arial" w:hAnsi="Arial"/>
                <w:sz w:val="14"/>
                <w:szCs w:val="14"/>
                <w:b w:val="1"/>
                <w:bCs w:val="1"/>
                <w:color w:val="auto"/>
                <w:w w:val="95"/>
              </w:rPr>
              <w:t>March 31,</w:t>
            </w:r>
          </w:p>
        </w:tc>
        <w:tc>
          <w:tcPr>
            <w:tcW w:w="0" w:type="dxa"/>
            <w:vAlign w:val="bottom"/>
          </w:tcPr>
          <w:p>
            <w:pPr>
              <w:spacing w:after="0"/>
              <w:rPr>
                <w:sz w:val="1"/>
                <w:szCs w:val="1"/>
                <w:color w:val="auto"/>
              </w:rPr>
            </w:pPr>
          </w:p>
        </w:tc>
      </w:tr>
      <w:tr>
        <w:trPr>
          <w:trHeight w:val="177"/>
        </w:trPr>
        <w:tc>
          <w:tcPr>
            <w:tcW w:w="10280" w:type="dxa"/>
            <w:vAlign w:val="bottom"/>
            <w:gridSpan w:val="2"/>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141"/>
              <w:spacing w:after="0"/>
              <w:rPr>
                <w:sz w:val="20"/>
                <w:szCs w:val="20"/>
                <w:color w:val="auto"/>
              </w:rPr>
            </w:pPr>
            <w:r>
              <w:rPr>
                <w:rFonts w:ascii="Arial" w:cs="Arial" w:eastAsia="Arial" w:hAnsi="Arial"/>
                <w:sz w:val="14"/>
                <w:szCs w:val="14"/>
                <w:b w:val="1"/>
                <w:bCs w:val="1"/>
                <w:color w:val="auto"/>
                <w:w w:val="89"/>
              </w:rPr>
              <w:t>2019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0260" w:type="dxa"/>
            <w:vAlign w:val="bottom"/>
            <w:shd w:val="clear" w:color="auto" w:fill="CCEEFF"/>
          </w:tcPr>
          <w:p>
            <w:pPr>
              <w:spacing w:after="0"/>
              <w:rPr>
                <w:sz w:val="20"/>
                <w:szCs w:val="20"/>
                <w:color w:val="auto"/>
              </w:rPr>
            </w:pPr>
            <w:r>
              <w:rPr>
                <w:rFonts w:ascii="Arial" w:cs="Arial" w:eastAsia="Arial" w:hAnsi="Arial"/>
                <w:sz w:val="17"/>
                <w:szCs w:val="17"/>
                <w:color w:val="auto"/>
              </w:rPr>
              <w:t>Liabilities for loss and loss adjustment expenses, net of reinsurance</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ind w:right="41"/>
              <w:spacing w:after="0"/>
              <w:rPr>
                <w:sz w:val="20"/>
                <w:szCs w:val="20"/>
                <w:color w:val="auto"/>
              </w:rPr>
            </w:pPr>
            <w:r>
              <w:rPr>
                <w:rFonts w:ascii="Arial" w:cs="Arial" w:eastAsia="Arial" w:hAnsi="Arial"/>
                <w:sz w:val="17"/>
                <w:szCs w:val="17"/>
                <w:color w:val="auto"/>
              </w:rPr>
              <w:t>51,376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7"/>
                <w:szCs w:val="17"/>
                <w:color w:val="auto"/>
              </w:rPr>
              <w:t>Total reinsurance recoverable on unpaid losses</w:t>
            </w:r>
          </w:p>
        </w:tc>
        <w:tc>
          <w:tcPr>
            <w:tcW w:w="240" w:type="dxa"/>
            <w:vAlign w:val="bottom"/>
          </w:tcPr>
          <w:p>
            <w:pPr>
              <w:spacing w:after="0"/>
              <w:rPr>
                <w:sz w:val="18"/>
                <w:szCs w:val="18"/>
                <w:color w:val="auto"/>
              </w:rPr>
            </w:pPr>
          </w:p>
        </w:tc>
        <w:tc>
          <w:tcPr>
            <w:tcW w:w="900" w:type="dxa"/>
            <w:vAlign w:val="bottom"/>
          </w:tcPr>
          <w:p>
            <w:pPr>
              <w:jc w:val="right"/>
              <w:ind w:right="41"/>
              <w:spacing w:after="0"/>
              <w:rPr>
                <w:sz w:val="20"/>
                <w:szCs w:val="20"/>
                <w:color w:val="auto"/>
              </w:rPr>
            </w:pPr>
            <w:r>
              <w:rPr>
                <w:rFonts w:ascii="Arial" w:cs="Arial" w:eastAsia="Arial" w:hAnsi="Arial"/>
                <w:sz w:val="17"/>
                <w:szCs w:val="17"/>
                <w:color w:val="auto"/>
              </w:rPr>
              <w:t>15,587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0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Unallocated loss adjustment expenses</w:t>
            </w: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7"/>
                <w:szCs w:val="17"/>
                <w:color w:val="auto"/>
              </w:rPr>
              <w:t>2,147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7"/>
                <w:szCs w:val="17"/>
                <w:color w:val="auto"/>
              </w:rPr>
              <w:t>Total gross liability for loss and LAE reserves</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tcPr>
          <w:p>
            <w:pPr>
              <w:jc w:val="right"/>
              <w:ind w:right="41"/>
              <w:spacing w:after="0"/>
              <w:rPr>
                <w:sz w:val="20"/>
                <w:szCs w:val="20"/>
                <w:color w:val="auto"/>
              </w:rPr>
            </w:pPr>
            <w:r>
              <w:rPr>
                <w:rFonts w:ascii="Arial" w:cs="Arial" w:eastAsia="Arial" w:hAnsi="Arial"/>
                <w:sz w:val="17"/>
                <w:szCs w:val="17"/>
                <w:color w:val="auto"/>
              </w:rPr>
              <w:t>69,110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Reinsurance</w:t>
      </w:r>
    </w:p>
    <w:p>
      <w:pPr>
        <w:spacing w:after="0" w:line="158" w:lineRule="exact"/>
        <w:rPr>
          <w:sz w:val="20"/>
          <w:szCs w:val="20"/>
          <w:color w:val="auto"/>
        </w:rPr>
      </w:pPr>
    </w:p>
    <w:p>
      <w:pPr>
        <w:jc w:val="both"/>
        <w:spacing w:after="0" w:line="281" w:lineRule="auto"/>
        <w:rPr>
          <w:sz w:val="20"/>
          <w:szCs w:val="20"/>
          <w:color w:val="auto"/>
        </w:rPr>
      </w:pPr>
      <w:r>
        <w:rPr>
          <w:rFonts w:ascii="Arial" w:cs="Arial" w:eastAsia="Arial" w:hAnsi="Arial"/>
          <w:sz w:val="17"/>
          <w:szCs w:val="17"/>
          <w:color w:val="auto"/>
        </w:rPr>
        <w:t>The Company’s quota share reinsurance treaties are on a July 1 through June 30 fiscal year basis; therefore, for year to date fiscal periods after June 30, two separate treaties will be included in such periods.</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Company’s quota share reinsurance treaties in effect for the three months ended March 31, 2019 and 2018 for its personal lines business, which primarily consists of homeowners’ policies, were covered under a treaty covering a two-year period from July 1, 2017 through June 30, 2019 (“2017-2019 Treaty”). The treaty in effect for the three months ended March 31, 2019 is covered under the July 1, 2018 through June 30, 2019 treaty year (“2018/2019 Treaty Year”) and the treaty in effect for the three months ended March 31, 2018 was covered under the July 1, 2017 through June 30, 2018 treaty year (“2017/2018 Treaty Year”).</w:t>
      </w:r>
    </w:p>
    <w:p>
      <w:pPr>
        <w:spacing w:after="0" w:line="169" w:lineRule="exact"/>
        <w:rPr>
          <w:sz w:val="20"/>
          <w:szCs w:val="20"/>
          <w:color w:val="auto"/>
        </w:rPr>
      </w:pPr>
    </w:p>
    <w:p>
      <w:pPr>
        <w:jc w:val="both"/>
        <w:spacing w:after="0" w:line="314" w:lineRule="auto"/>
        <w:rPr>
          <w:sz w:val="20"/>
          <w:szCs w:val="20"/>
          <w:color w:val="auto"/>
        </w:rPr>
      </w:pPr>
      <w:r>
        <w:rPr>
          <w:rFonts w:ascii="Arial" w:cs="Arial" w:eastAsia="Arial" w:hAnsi="Arial"/>
          <w:sz w:val="16"/>
          <w:szCs w:val="16"/>
          <w:color w:val="auto"/>
        </w:rPr>
        <w:t>In August 2018, the Company terminated its contract with one of the reinsurers that was a party to the 2017/2019 Treaty. This termination was retroactive to July 1, 2018 and had the effect of reducing the quota share ceding rate to 10% under the 2018/2019 Treaty Year from 20% under the 2017/2018 Treaty Year.</w:t>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25106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27" w:name="page28"/>
    <w:bookmarkEnd w:id="27"/>
    <w:p>
      <w:pPr>
        <w:spacing w:after="0" w:line="281" w:lineRule="auto"/>
        <w:rPr>
          <w:sz w:val="20"/>
          <w:szCs w:val="20"/>
          <w:color w:val="auto"/>
        </w:rPr>
      </w:pPr>
      <w:r>
        <w:rPr>
          <w:rFonts w:ascii="Arial" w:cs="Arial" w:eastAsia="Arial" w:hAnsi="Arial"/>
          <w:sz w:val="17"/>
          <w:szCs w:val="17"/>
          <w:color w:val="auto"/>
        </w:rPr>
        <w:t>The Company entered into new excess of loss and catastrophe reinsurance treaties effective July 1, 2018. Material terms for reinsurance treaties in effect for the treaty years shown below are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9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w w:val="99"/>
              </w:rPr>
              <w:t>Treaty Year</w:t>
            </w:r>
          </w:p>
        </w:tc>
        <w:tc>
          <w:tcPr>
            <w:tcW w:w="2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tcPr>
          <w:p>
            <w:pPr>
              <w:jc w:val="center"/>
              <w:ind w:right="296"/>
              <w:spacing w:after="0" w:line="144" w:lineRule="exact"/>
              <w:rPr>
                <w:sz w:val="20"/>
                <w:szCs w:val="20"/>
                <w:color w:val="auto"/>
              </w:rPr>
            </w:pPr>
            <w:r>
              <w:rPr>
                <w:rFonts w:ascii="Arial" w:cs="Arial" w:eastAsia="Arial" w:hAnsi="Arial"/>
                <w:sz w:val="14"/>
                <w:szCs w:val="14"/>
                <w:b w:val="1"/>
                <w:bCs w:val="1"/>
                <w:color w:val="auto"/>
                <w:w w:val="94"/>
              </w:rPr>
              <w:t>July 1, 2018</w:t>
            </w:r>
          </w:p>
        </w:tc>
        <w:tc>
          <w:tcPr>
            <w:tcW w:w="220" w:type="dxa"/>
            <w:vAlign w:val="bottom"/>
          </w:tcPr>
          <w:p>
            <w:pPr>
              <w:spacing w:after="0"/>
              <w:rPr>
                <w:sz w:val="12"/>
                <w:szCs w:val="12"/>
                <w:color w:val="auto"/>
              </w:rPr>
            </w:pPr>
          </w:p>
        </w:tc>
        <w:tc>
          <w:tcPr>
            <w:tcW w:w="1380" w:type="dxa"/>
            <w:vAlign w:val="bottom"/>
          </w:tcPr>
          <w:p>
            <w:pPr>
              <w:jc w:val="center"/>
              <w:ind w:right="276"/>
              <w:spacing w:after="0" w:line="144" w:lineRule="exact"/>
              <w:rPr>
                <w:sz w:val="20"/>
                <w:szCs w:val="20"/>
                <w:color w:val="auto"/>
              </w:rPr>
            </w:pPr>
            <w:r>
              <w:rPr>
                <w:rFonts w:ascii="Arial" w:cs="Arial" w:eastAsia="Arial" w:hAnsi="Arial"/>
                <w:sz w:val="14"/>
                <w:szCs w:val="14"/>
                <w:b w:val="1"/>
                <w:bCs w:val="1"/>
                <w:color w:val="auto"/>
                <w:w w:val="94"/>
              </w:rPr>
              <w:t>July 1, 2017</w:t>
            </w:r>
          </w:p>
        </w:tc>
        <w:tc>
          <w:tcPr>
            <w:tcW w:w="240" w:type="dxa"/>
            <w:vAlign w:val="bottom"/>
          </w:tcPr>
          <w:p>
            <w:pPr>
              <w:spacing w:after="0"/>
              <w:rPr>
                <w:sz w:val="12"/>
                <w:szCs w:val="12"/>
                <w:color w:val="auto"/>
              </w:rPr>
            </w:pPr>
          </w:p>
        </w:tc>
        <w:tc>
          <w:tcPr>
            <w:tcW w:w="1280" w:type="dxa"/>
            <w:vAlign w:val="bottom"/>
          </w:tcPr>
          <w:p>
            <w:pPr>
              <w:jc w:val="center"/>
              <w:ind w:right="216"/>
              <w:spacing w:after="0" w:line="144" w:lineRule="exact"/>
              <w:rPr>
                <w:sz w:val="20"/>
                <w:szCs w:val="20"/>
                <w:color w:val="auto"/>
              </w:rPr>
            </w:pPr>
            <w:r>
              <w:rPr>
                <w:rFonts w:ascii="Arial" w:cs="Arial" w:eastAsia="Arial" w:hAnsi="Arial"/>
                <w:sz w:val="14"/>
                <w:szCs w:val="14"/>
                <w:b w:val="1"/>
                <w:bCs w:val="1"/>
                <w:color w:val="auto"/>
                <w:w w:val="94"/>
              </w:rPr>
              <w:t>July 1, 2016</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9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60" w:type="dxa"/>
            <w:vAlign w:val="bottom"/>
          </w:tcPr>
          <w:p>
            <w:pPr>
              <w:jc w:val="center"/>
              <w:ind w:right="276"/>
              <w:spacing w:after="0" w:line="157" w:lineRule="exact"/>
              <w:rPr>
                <w:sz w:val="20"/>
                <w:szCs w:val="20"/>
                <w:color w:val="auto"/>
              </w:rPr>
            </w:pPr>
            <w:r>
              <w:rPr>
                <w:rFonts w:ascii="Arial" w:cs="Arial" w:eastAsia="Arial" w:hAnsi="Arial"/>
                <w:sz w:val="14"/>
                <w:szCs w:val="14"/>
                <w:b w:val="1"/>
                <w:bCs w:val="1"/>
                <w:color w:val="auto"/>
                <w:w w:val="90"/>
              </w:rPr>
              <w:t>to</w:t>
            </w:r>
          </w:p>
        </w:tc>
        <w:tc>
          <w:tcPr>
            <w:tcW w:w="220" w:type="dxa"/>
            <w:vAlign w:val="bottom"/>
          </w:tcPr>
          <w:p>
            <w:pPr>
              <w:spacing w:after="0"/>
              <w:rPr>
                <w:sz w:val="13"/>
                <w:szCs w:val="13"/>
                <w:color w:val="auto"/>
              </w:rPr>
            </w:pPr>
          </w:p>
        </w:tc>
        <w:tc>
          <w:tcPr>
            <w:tcW w:w="1380" w:type="dxa"/>
            <w:vAlign w:val="bottom"/>
          </w:tcPr>
          <w:p>
            <w:pPr>
              <w:jc w:val="center"/>
              <w:ind w:right="296"/>
              <w:spacing w:after="0" w:line="157" w:lineRule="exact"/>
              <w:rPr>
                <w:sz w:val="20"/>
                <w:szCs w:val="20"/>
                <w:color w:val="auto"/>
              </w:rPr>
            </w:pPr>
            <w:r>
              <w:rPr>
                <w:rFonts w:ascii="Arial" w:cs="Arial" w:eastAsia="Arial" w:hAnsi="Arial"/>
                <w:sz w:val="14"/>
                <w:szCs w:val="14"/>
                <w:b w:val="1"/>
                <w:bCs w:val="1"/>
                <w:color w:val="auto"/>
                <w:w w:val="90"/>
              </w:rPr>
              <w:t>to</w:t>
            </w:r>
          </w:p>
        </w:tc>
        <w:tc>
          <w:tcPr>
            <w:tcW w:w="240" w:type="dxa"/>
            <w:vAlign w:val="bottom"/>
          </w:tcPr>
          <w:p>
            <w:pPr>
              <w:spacing w:after="0"/>
              <w:rPr>
                <w:sz w:val="13"/>
                <w:szCs w:val="13"/>
                <w:color w:val="auto"/>
              </w:rPr>
            </w:pPr>
          </w:p>
        </w:tc>
        <w:tc>
          <w:tcPr>
            <w:tcW w:w="1280" w:type="dxa"/>
            <w:vAlign w:val="bottom"/>
          </w:tcPr>
          <w:p>
            <w:pPr>
              <w:jc w:val="center"/>
              <w:ind w:right="236"/>
              <w:spacing w:after="0" w:line="157" w:lineRule="exact"/>
              <w:rPr>
                <w:sz w:val="20"/>
                <w:szCs w:val="20"/>
                <w:color w:val="auto"/>
              </w:rPr>
            </w:pPr>
            <w:r>
              <w:rPr>
                <w:rFonts w:ascii="Arial" w:cs="Arial" w:eastAsia="Arial" w:hAnsi="Arial"/>
                <w:sz w:val="14"/>
                <w:szCs w:val="14"/>
                <w:b w:val="1"/>
                <w:bCs w:val="1"/>
                <w:color w:val="auto"/>
                <w:w w:val="90"/>
              </w:rPr>
              <w:t>to</w:t>
            </w:r>
          </w:p>
        </w:tc>
        <w:tc>
          <w:tcPr>
            <w:tcW w:w="0" w:type="dxa"/>
            <w:vAlign w:val="bottom"/>
          </w:tcPr>
          <w:p>
            <w:pPr>
              <w:spacing w:after="0"/>
              <w:rPr>
                <w:sz w:val="1"/>
                <w:szCs w:val="1"/>
                <w:color w:val="auto"/>
              </w:rPr>
            </w:pPr>
          </w:p>
        </w:tc>
      </w:tr>
      <w:tr>
        <w:trPr>
          <w:trHeight w:val="177"/>
        </w:trPr>
        <w:tc>
          <w:tcPr>
            <w:tcW w:w="664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rPr>
              <w:t>Line of Busines</w:t>
            </w:r>
          </w:p>
        </w:tc>
        <w:tc>
          <w:tcPr>
            <w:tcW w:w="3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center"/>
              <w:ind w:right="276"/>
              <w:spacing w:after="0"/>
              <w:rPr>
                <w:sz w:val="20"/>
                <w:szCs w:val="20"/>
                <w:color w:val="auto"/>
              </w:rPr>
            </w:pPr>
            <w:r>
              <w:rPr>
                <w:rFonts w:ascii="Arial" w:cs="Arial" w:eastAsia="Arial" w:hAnsi="Arial"/>
                <w:sz w:val="14"/>
                <w:szCs w:val="14"/>
                <w:b w:val="1"/>
                <w:bCs w:val="1"/>
                <w:color w:val="auto"/>
                <w:w w:val="92"/>
              </w:rPr>
              <w:t>June 30, 2019</w:t>
            </w:r>
          </w:p>
        </w:tc>
        <w:tc>
          <w:tcPr>
            <w:tcW w:w="2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center"/>
              <w:ind w:right="276"/>
              <w:spacing w:after="0"/>
              <w:rPr>
                <w:sz w:val="20"/>
                <w:szCs w:val="20"/>
                <w:color w:val="auto"/>
              </w:rPr>
            </w:pPr>
            <w:r>
              <w:rPr>
                <w:rFonts w:ascii="Arial" w:cs="Arial" w:eastAsia="Arial" w:hAnsi="Arial"/>
                <w:sz w:val="14"/>
                <w:szCs w:val="14"/>
                <w:b w:val="1"/>
                <w:bCs w:val="1"/>
                <w:color w:val="auto"/>
                <w:w w:val="90"/>
              </w:rPr>
              <w:t>June 30, 2018</w:t>
            </w:r>
          </w:p>
        </w:tc>
        <w:tc>
          <w:tcPr>
            <w:tcW w:w="2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right="236"/>
              <w:spacing w:after="0"/>
              <w:rPr>
                <w:sz w:val="20"/>
                <w:szCs w:val="20"/>
                <w:color w:val="auto"/>
              </w:rPr>
            </w:pPr>
            <w:r>
              <w:rPr>
                <w:rFonts w:ascii="Arial" w:cs="Arial" w:eastAsia="Arial" w:hAnsi="Arial"/>
                <w:sz w:val="14"/>
                <w:szCs w:val="14"/>
                <w:b w:val="1"/>
                <w:bCs w:val="1"/>
                <w:color w:val="auto"/>
                <w:w w:val="92"/>
              </w:rPr>
              <w:t>June 30, 2017</w:t>
            </w:r>
          </w:p>
        </w:tc>
        <w:tc>
          <w:tcPr>
            <w:tcW w:w="0" w:type="dxa"/>
            <w:vAlign w:val="bottom"/>
          </w:tcPr>
          <w:p>
            <w:pPr>
              <w:spacing w:after="0"/>
              <w:rPr>
                <w:sz w:val="1"/>
                <w:szCs w:val="1"/>
                <w:color w:val="auto"/>
              </w:rPr>
            </w:pPr>
          </w:p>
        </w:tc>
      </w:tr>
      <w:tr>
        <w:trPr>
          <w:trHeight w:val="432"/>
        </w:trPr>
        <w:tc>
          <w:tcPr>
            <w:tcW w:w="6640" w:type="dxa"/>
            <w:vAlign w:val="bottom"/>
            <w:gridSpan w:val="5"/>
          </w:tcPr>
          <w:p>
            <w:pPr>
              <w:spacing w:after="0"/>
              <w:rPr>
                <w:sz w:val="20"/>
                <w:szCs w:val="20"/>
                <w:color w:val="auto"/>
              </w:rPr>
            </w:pPr>
            <w:r>
              <w:rPr>
                <w:rFonts w:ascii="Arial" w:cs="Arial" w:eastAsia="Arial" w:hAnsi="Arial"/>
                <w:sz w:val="17"/>
                <w:szCs w:val="17"/>
                <w:color w:val="auto"/>
              </w:rPr>
              <w:t>Personal Lines:</w:t>
            </w: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20" w:type="dxa"/>
            <w:vAlign w:val="bottom"/>
            <w:gridSpan w:val="2"/>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2"/>
        </w:trPr>
        <w:tc>
          <w:tcPr>
            <w:tcW w:w="6640" w:type="dxa"/>
            <w:vAlign w:val="bottom"/>
            <w:gridSpan w:val="5"/>
          </w:tcPr>
          <w:p>
            <w:pPr>
              <w:spacing w:after="0"/>
              <w:rPr>
                <w:sz w:val="20"/>
                <w:szCs w:val="20"/>
                <w:color w:val="auto"/>
              </w:rPr>
            </w:pPr>
            <w:r>
              <w:rPr>
                <w:rFonts w:ascii="Arial" w:cs="Arial" w:eastAsia="Arial" w:hAnsi="Arial"/>
                <w:sz w:val="17"/>
                <w:szCs w:val="17"/>
                <w:color w:val="auto"/>
              </w:rPr>
              <w:t>Homeowners, dwelling fire and canine legal liability</w:t>
            </w:r>
          </w:p>
        </w:tc>
        <w:tc>
          <w:tcPr>
            <w:tcW w:w="3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620" w:type="dxa"/>
            <w:vAlign w:val="bottom"/>
            <w:gridSpan w:val="4"/>
          </w:tcPr>
          <w:p>
            <w:pPr>
              <w:ind w:left="140"/>
              <w:spacing w:after="0"/>
              <w:rPr>
                <w:sz w:val="20"/>
                <w:szCs w:val="20"/>
                <w:color w:val="auto"/>
              </w:rPr>
            </w:pPr>
            <w:r>
              <w:rPr>
                <w:rFonts w:ascii="Arial" w:cs="Arial" w:eastAsia="Arial" w:hAnsi="Arial"/>
                <w:sz w:val="17"/>
                <w:szCs w:val="17"/>
                <w:color w:val="auto"/>
              </w:rPr>
              <w:t>Quota share treaty:</w:t>
            </w:r>
          </w:p>
        </w:tc>
        <w:tc>
          <w:tcPr>
            <w:tcW w:w="3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gridSpan w:val="4"/>
            <w:shd w:val="clear" w:color="auto" w:fill="CCEEFF"/>
          </w:tcPr>
          <w:p>
            <w:pPr>
              <w:ind w:left="300"/>
              <w:spacing w:after="0"/>
              <w:rPr>
                <w:sz w:val="20"/>
                <w:szCs w:val="20"/>
                <w:color w:val="auto"/>
              </w:rPr>
            </w:pPr>
            <w:r>
              <w:rPr>
                <w:rFonts w:ascii="Arial" w:cs="Arial" w:eastAsia="Arial" w:hAnsi="Arial"/>
                <w:sz w:val="17"/>
                <w:szCs w:val="17"/>
                <w:color w:val="auto"/>
              </w:rPr>
              <w:t>Percent ceded</w:t>
            </w: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20%</w:t>
            </w: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20" w:type="dxa"/>
            <w:vAlign w:val="bottom"/>
            <w:gridSpan w:val="4"/>
          </w:tcPr>
          <w:p>
            <w:pPr>
              <w:ind w:left="300"/>
              <w:spacing w:after="0"/>
              <w:rPr>
                <w:sz w:val="20"/>
                <w:szCs w:val="20"/>
                <w:color w:val="auto"/>
              </w:rPr>
            </w:pPr>
            <w:r>
              <w:rPr>
                <w:rFonts w:ascii="Arial" w:cs="Arial" w:eastAsia="Arial" w:hAnsi="Arial"/>
                <w:sz w:val="17"/>
                <w:szCs w:val="17"/>
                <w:color w:val="auto"/>
              </w:rPr>
              <w:t>Risk retained</w:t>
            </w:r>
          </w:p>
        </w:tc>
        <w:tc>
          <w:tcPr>
            <w:tcW w:w="300" w:type="dxa"/>
            <w:vAlign w:val="bottom"/>
          </w:tcPr>
          <w:p>
            <w:pPr>
              <w:jc w:val="right"/>
              <w:spacing w:after="0"/>
              <w:rPr>
                <w:sz w:val="20"/>
                <w:szCs w:val="20"/>
                <w:color w:val="auto"/>
              </w:rPr>
            </w:pPr>
            <w:r>
              <w:rPr>
                <w:rFonts w:ascii="Arial" w:cs="Arial" w:eastAsia="Arial" w:hAnsi="Arial"/>
                <w:sz w:val="17"/>
                <w:szCs w:val="17"/>
                <w:color w:val="auto"/>
              </w:rPr>
              <w:t>$</w:t>
            </w:r>
          </w:p>
        </w:tc>
        <w:tc>
          <w:tcPr>
            <w:tcW w:w="1360" w:type="dxa"/>
            <w:vAlign w:val="bottom"/>
          </w:tcPr>
          <w:p>
            <w:pPr>
              <w:jc w:val="right"/>
              <w:ind w:right="136"/>
              <w:spacing w:after="0"/>
              <w:rPr>
                <w:sz w:val="20"/>
                <w:szCs w:val="20"/>
                <w:color w:val="auto"/>
              </w:rPr>
            </w:pPr>
            <w:r>
              <w:rPr>
                <w:rFonts w:ascii="Arial" w:cs="Arial" w:eastAsia="Arial" w:hAnsi="Arial"/>
                <w:sz w:val="17"/>
                <w:szCs w:val="17"/>
                <w:color w:val="auto"/>
              </w:rPr>
              <w:t>900,000</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1380" w:type="dxa"/>
            <w:vAlign w:val="bottom"/>
          </w:tcPr>
          <w:p>
            <w:pPr>
              <w:jc w:val="right"/>
              <w:ind w:right="156"/>
              <w:spacing w:after="0"/>
              <w:rPr>
                <w:sz w:val="20"/>
                <w:szCs w:val="20"/>
                <w:color w:val="auto"/>
              </w:rPr>
            </w:pPr>
            <w:r>
              <w:rPr>
                <w:rFonts w:ascii="Arial" w:cs="Arial" w:eastAsia="Arial" w:hAnsi="Arial"/>
                <w:sz w:val="17"/>
                <w:szCs w:val="17"/>
                <w:color w:val="auto"/>
              </w:rPr>
              <w:t>800,000</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1280" w:type="dxa"/>
            <w:vAlign w:val="bottom"/>
          </w:tcPr>
          <w:p>
            <w:pPr>
              <w:jc w:val="right"/>
              <w:ind w:right="76"/>
              <w:spacing w:after="0"/>
              <w:rPr>
                <w:sz w:val="20"/>
                <w:szCs w:val="20"/>
                <w:color w:val="auto"/>
              </w:rPr>
            </w:pPr>
            <w:r>
              <w:rPr>
                <w:rFonts w:ascii="Arial" w:cs="Arial" w:eastAsia="Arial" w:hAnsi="Arial"/>
                <w:sz w:val="17"/>
                <w:szCs w:val="17"/>
                <w:color w:val="auto"/>
              </w:rPr>
              <w:t>500,000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20" w:type="dxa"/>
            <w:vAlign w:val="bottom"/>
            <w:gridSpan w:val="4"/>
            <w:shd w:val="clear" w:color="auto" w:fill="CCEEFF"/>
          </w:tcPr>
          <w:p>
            <w:pPr>
              <w:ind w:left="300"/>
              <w:spacing w:after="0"/>
              <w:rPr>
                <w:sz w:val="20"/>
                <w:szCs w:val="20"/>
                <w:color w:val="auto"/>
              </w:rPr>
            </w:pPr>
            <w:r>
              <w:rPr>
                <w:rFonts w:ascii="Arial" w:cs="Arial" w:eastAsia="Arial" w:hAnsi="Arial"/>
                <w:sz w:val="17"/>
                <w:szCs w:val="17"/>
                <w:color w:val="auto"/>
              </w:rPr>
              <w:t>Losses per occurrence subject to quota share reinsurance coverage</w:t>
            </w: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1,000,000</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80" w:type="dxa"/>
            <w:vAlign w:val="bottom"/>
            <w:shd w:val="clear" w:color="auto" w:fill="CCEEFF"/>
          </w:tcPr>
          <w:p>
            <w:pPr>
              <w:jc w:val="right"/>
              <w:ind w:right="156"/>
              <w:spacing w:after="0"/>
              <w:rPr>
                <w:sz w:val="20"/>
                <w:szCs w:val="20"/>
                <w:color w:val="auto"/>
              </w:rPr>
            </w:pPr>
            <w:r>
              <w:rPr>
                <w:rFonts w:ascii="Arial" w:cs="Arial" w:eastAsia="Arial" w:hAnsi="Arial"/>
                <w:sz w:val="17"/>
                <w:szCs w:val="17"/>
                <w:color w:val="auto"/>
              </w:rPr>
              <w:t>1,000,000</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833,333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20" w:type="dxa"/>
            <w:vAlign w:val="bottom"/>
            <w:gridSpan w:val="4"/>
          </w:tcPr>
          <w:p>
            <w:pPr>
              <w:spacing w:after="0"/>
              <w:rPr>
                <w:sz w:val="20"/>
                <w:szCs w:val="20"/>
                <w:color w:val="auto"/>
              </w:rPr>
            </w:pPr>
            <w:r>
              <w:rPr>
                <w:rFonts w:ascii="Arial" w:cs="Arial" w:eastAsia="Arial" w:hAnsi="Arial"/>
                <w:sz w:val="17"/>
                <w:szCs w:val="17"/>
                <w:color w:val="auto"/>
              </w:rPr>
              <w:t>Excess of loss coverage and facultative facility above quota share coverage (1)</w:t>
            </w:r>
          </w:p>
        </w:tc>
        <w:tc>
          <w:tcPr>
            <w:tcW w:w="300" w:type="dxa"/>
            <w:vAlign w:val="bottom"/>
          </w:tcPr>
          <w:p>
            <w:pPr>
              <w:jc w:val="right"/>
              <w:spacing w:after="0"/>
              <w:rPr>
                <w:sz w:val="20"/>
                <w:szCs w:val="20"/>
                <w:color w:val="auto"/>
              </w:rPr>
            </w:pPr>
            <w:r>
              <w:rPr>
                <w:rFonts w:ascii="Arial" w:cs="Arial" w:eastAsia="Arial" w:hAnsi="Arial"/>
                <w:sz w:val="17"/>
                <w:szCs w:val="17"/>
                <w:color w:val="auto"/>
              </w:rPr>
              <w:t>$</w:t>
            </w:r>
          </w:p>
        </w:tc>
        <w:tc>
          <w:tcPr>
            <w:tcW w:w="1360" w:type="dxa"/>
            <w:vAlign w:val="bottom"/>
          </w:tcPr>
          <w:p>
            <w:pPr>
              <w:jc w:val="right"/>
              <w:ind w:right="136"/>
              <w:spacing w:after="0"/>
              <w:rPr>
                <w:sz w:val="20"/>
                <w:szCs w:val="20"/>
                <w:color w:val="auto"/>
              </w:rPr>
            </w:pPr>
            <w:r>
              <w:rPr>
                <w:rFonts w:ascii="Arial" w:cs="Arial" w:eastAsia="Arial" w:hAnsi="Arial"/>
                <w:sz w:val="17"/>
                <w:szCs w:val="17"/>
                <w:color w:val="auto"/>
              </w:rPr>
              <w:t>9,000,000</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1380" w:type="dxa"/>
            <w:vAlign w:val="bottom"/>
          </w:tcPr>
          <w:p>
            <w:pPr>
              <w:jc w:val="right"/>
              <w:ind w:right="156"/>
              <w:spacing w:after="0"/>
              <w:rPr>
                <w:sz w:val="20"/>
                <w:szCs w:val="20"/>
                <w:color w:val="auto"/>
              </w:rPr>
            </w:pPr>
            <w:r>
              <w:rPr>
                <w:rFonts w:ascii="Arial" w:cs="Arial" w:eastAsia="Arial" w:hAnsi="Arial"/>
                <w:sz w:val="17"/>
                <w:szCs w:val="17"/>
                <w:color w:val="auto"/>
              </w:rPr>
              <w:t>9,000,000</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1280" w:type="dxa"/>
            <w:vAlign w:val="bottom"/>
          </w:tcPr>
          <w:p>
            <w:pPr>
              <w:jc w:val="right"/>
              <w:ind w:right="76"/>
              <w:spacing w:after="0"/>
              <w:rPr>
                <w:sz w:val="20"/>
                <w:szCs w:val="20"/>
                <w:color w:val="auto"/>
              </w:rPr>
            </w:pPr>
            <w:r>
              <w:rPr>
                <w:rFonts w:ascii="Arial" w:cs="Arial" w:eastAsia="Arial" w:hAnsi="Arial"/>
                <w:sz w:val="17"/>
                <w:szCs w:val="17"/>
                <w:color w:val="auto"/>
              </w:rPr>
              <w:t>3,666,667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9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in excess of</w:t>
            </w: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56"/>
              <w:spacing w:after="0"/>
              <w:rPr>
                <w:sz w:val="20"/>
                <w:szCs w:val="20"/>
                <w:color w:val="auto"/>
              </w:rPr>
            </w:pPr>
            <w:r>
              <w:rPr>
                <w:rFonts w:ascii="Arial" w:cs="Arial" w:eastAsia="Arial" w:hAnsi="Arial"/>
                <w:sz w:val="17"/>
                <w:szCs w:val="17"/>
                <w:color w:val="auto"/>
              </w:rPr>
              <w:t>in excess of</w:t>
            </w: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in excess of</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7"/>
                <w:szCs w:val="17"/>
                <w:color w:val="auto"/>
              </w:rPr>
              <w:t>$</w:t>
            </w:r>
          </w:p>
        </w:tc>
        <w:tc>
          <w:tcPr>
            <w:tcW w:w="1360" w:type="dxa"/>
            <w:vAlign w:val="bottom"/>
          </w:tcPr>
          <w:p>
            <w:pPr>
              <w:jc w:val="right"/>
              <w:ind w:right="136"/>
              <w:spacing w:after="0"/>
              <w:rPr>
                <w:sz w:val="20"/>
                <w:szCs w:val="20"/>
                <w:color w:val="auto"/>
              </w:rPr>
            </w:pPr>
            <w:r>
              <w:rPr>
                <w:rFonts w:ascii="Arial" w:cs="Arial" w:eastAsia="Arial" w:hAnsi="Arial"/>
                <w:sz w:val="17"/>
                <w:szCs w:val="17"/>
                <w:color w:val="auto"/>
              </w:rPr>
              <w:t>1,000,000</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1380" w:type="dxa"/>
            <w:vAlign w:val="bottom"/>
          </w:tcPr>
          <w:p>
            <w:pPr>
              <w:jc w:val="right"/>
              <w:ind w:right="156"/>
              <w:spacing w:after="0"/>
              <w:rPr>
                <w:sz w:val="20"/>
                <w:szCs w:val="20"/>
                <w:color w:val="auto"/>
              </w:rPr>
            </w:pPr>
            <w:r>
              <w:rPr>
                <w:rFonts w:ascii="Arial" w:cs="Arial" w:eastAsia="Arial" w:hAnsi="Arial"/>
                <w:sz w:val="17"/>
                <w:szCs w:val="17"/>
                <w:color w:val="auto"/>
              </w:rPr>
              <w:t>1,000,000</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1280" w:type="dxa"/>
            <w:vAlign w:val="bottom"/>
          </w:tcPr>
          <w:p>
            <w:pPr>
              <w:jc w:val="right"/>
              <w:ind w:right="76"/>
              <w:spacing w:after="0"/>
              <w:rPr>
                <w:sz w:val="20"/>
                <w:szCs w:val="20"/>
                <w:color w:val="auto"/>
              </w:rPr>
            </w:pPr>
            <w:r>
              <w:rPr>
                <w:rFonts w:ascii="Arial" w:cs="Arial" w:eastAsia="Arial" w:hAnsi="Arial"/>
                <w:sz w:val="17"/>
                <w:szCs w:val="17"/>
                <w:color w:val="auto"/>
              </w:rPr>
              <w:t>833,333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2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Total reinsurance coverage per occurrence</w:t>
            </w: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9,100,000</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80" w:type="dxa"/>
            <w:vAlign w:val="bottom"/>
            <w:shd w:val="clear" w:color="auto" w:fill="CCEEFF"/>
          </w:tcPr>
          <w:p>
            <w:pPr>
              <w:jc w:val="right"/>
              <w:ind w:right="156"/>
              <w:spacing w:after="0"/>
              <w:rPr>
                <w:sz w:val="20"/>
                <w:szCs w:val="20"/>
                <w:color w:val="auto"/>
              </w:rPr>
            </w:pPr>
            <w:r>
              <w:rPr>
                <w:rFonts w:ascii="Arial" w:cs="Arial" w:eastAsia="Arial" w:hAnsi="Arial"/>
                <w:sz w:val="17"/>
                <w:szCs w:val="17"/>
                <w:color w:val="auto"/>
              </w:rPr>
              <w:t>9,200,000</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4,000,000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20" w:type="dxa"/>
            <w:vAlign w:val="bottom"/>
            <w:gridSpan w:val="4"/>
          </w:tcPr>
          <w:p>
            <w:pPr>
              <w:spacing w:after="0"/>
              <w:rPr>
                <w:sz w:val="20"/>
                <w:szCs w:val="20"/>
                <w:color w:val="auto"/>
              </w:rPr>
            </w:pPr>
            <w:r>
              <w:rPr>
                <w:rFonts w:ascii="Arial" w:cs="Arial" w:eastAsia="Arial" w:hAnsi="Arial"/>
                <w:sz w:val="17"/>
                <w:szCs w:val="17"/>
                <w:color w:val="auto"/>
              </w:rPr>
              <w:t>Losses per occurrence subject to reinsurance coverage</w:t>
            </w:r>
          </w:p>
        </w:tc>
        <w:tc>
          <w:tcPr>
            <w:tcW w:w="300" w:type="dxa"/>
            <w:vAlign w:val="bottom"/>
          </w:tcPr>
          <w:p>
            <w:pPr>
              <w:jc w:val="right"/>
              <w:spacing w:after="0"/>
              <w:rPr>
                <w:sz w:val="20"/>
                <w:szCs w:val="20"/>
                <w:color w:val="auto"/>
              </w:rPr>
            </w:pPr>
            <w:r>
              <w:rPr>
                <w:rFonts w:ascii="Arial" w:cs="Arial" w:eastAsia="Arial" w:hAnsi="Arial"/>
                <w:sz w:val="17"/>
                <w:szCs w:val="17"/>
                <w:color w:val="auto"/>
              </w:rPr>
              <w:t>$</w:t>
            </w:r>
          </w:p>
        </w:tc>
        <w:tc>
          <w:tcPr>
            <w:tcW w:w="1360" w:type="dxa"/>
            <w:vAlign w:val="bottom"/>
          </w:tcPr>
          <w:p>
            <w:pPr>
              <w:jc w:val="right"/>
              <w:ind w:right="136"/>
              <w:spacing w:after="0"/>
              <w:rPr>
                <w:sz w:val="20"/>
                <w:szCs w:val="20"/>
                <w:color w:val="auto"/>
              </w:rPr>
            </w:pPr>
            <w:r>
              <w:rPr>
                <w:rFonts w:ascii="Arial" w:cs="Arial" w:eastAsia="Arial" w:hAnsi="Arial"/>
                <w:sz w:val="17"/>
                <w:szCs w:val="17"/>
                <w:color w:val="auto"/>
              </w:rPr>
              <w:t>10,000,000</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1380" w:type="dxa"/>
            <w:vAlign w:val="bottom"/>
          </w:tcPr>
          <w:p>
            <w:pPr>
              <w:jc w:val="right"/>
              <w:ind w:right="156"/>
              <w:spacing w:after="0"/>
              <w:rPr>
                <w:sz w:val="20"/>
                <w:szCs w:val="20"/>
                <w:color w:val="auto"/>
              </w:rPr>
            </w:pPr>
            <w:r>
              <w:rPr>
                <w:rFonts w:ascii="Arial" w:cs="Arial" w:eastAsia="Arial" w:hAnsi="Arial"/>
                <w:sz w:val="17"/>
                <w:szCs w:val="17"/>
                <w:color w:val="auto"/>
              </w:rPr>
              <w:t>10,000,000</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1280" w:type="dxa"/>
            <w:vAlign w:val="bottom"/>
          </w:tcPr>
          <w:p>
            <w:pPr>
              <w:jc w:val="right"/>
              <w:ind w:right="76"/>
              <w:spacing w:after="0"/>
              <w:rPr>
                <w:sz w:val="20"/>
                <w:szCs w:val="20"/>
                <w:color w:val="auto"/>
              </w:rPr>
            </w:pPr>
            <w:r>
              <w:rPr>
                <w:rFonts w:ascii="Arial" w:cs="Arial" w:eastAsia="Arial" w:hAnsi="Arial"/>
                <w:sz w:val="17"/>
                <w:szCs w:val="17"/>
                <w:color w:val="auto"/>
              </w:rPr>
              <w:t>4,500,000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2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Expiration date</w:t>
            </w: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June 30, 2019</w:t>
            </w: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56"/>
              <w:spacing w:after="0"/>
              <w:rPr>
                <w:sz w:val="20"/>
                <w:szCs w:val="20"/>
                <w:color w:val="auto"/>
              </w:rPr>
            </w:pPr>
            <w:r>
              <w:rPr>
                <w:rFonts w:ascii="Arial" w:cs="Arial" w:eastAsia="Arial" w:hAnsi="Arial"/>
                <w:sz w:val="17"/>
                <w:szCs w:val="17"/>
                <w:color w:val="auto"/>
              </w:rPr>
              <w:t>June 30, 2019</w:t>
            </w: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June 30, 2017</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662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Personal Umbrella</w:t>
            </w: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20" w:type="dxa"/>
            <w:vAlign w:val="bottom"/>
            <w:gridSpan w:val="4"/>
          </w:tcPr>
          <w:p>
            <w:pPr>
              <w:ind w:left="140"/>
              <w:spacing w:after="0"/>
              <w:rPr>
                <w:sz w:val="20"/>
                <w:szCs w:val="20"/>
                <w:color w:val="auto"/>
              </w:rPr>
            </w:pPr>
            <w:r>
              <w:rPr>
                <w:rFonts w:ascii="Arial" w:cs="Arial" w:eastAsia="Arial" w:hAnsi="Arial"/>
                <w:sz w:val="17"/>
                <w:szCs w:val="17"/>
                <w:color w:val="auto"/>
              </w:rPr>
              <w:t>Quota share treaty:</w:t>
            </w: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20" w:type="dxa"/>
            <w:vAlign w:val="bottom"/>
            <w:gridSpan w:val="4"/>
            <w:shd w:val="clear" w:color="auto" w:fill="CCEEFF"/>
          </w:tcPr>
          <w:p>
            <w:pPr>
              <w:ind w:left="300"/>
              <w:spacing w:after="0"/>
              <w:rPr>
                <w:sz w:val="20"/>
                <w:szCs w:val="20"/>
                <w:color w:val="auto"/>
              </w:rPr>
            </w:pPr>
            <w:r>
              <w:rPr>
                <w:rFonts w:ascii="Arial" w:cs="Arial" w:eastAsia="Arial" w:hAnsi="Arial"/>
                <w:sz w:val="17"/>
                <w:szCs w:val="17"/>
                <w:color w:val="auto"/>
              </w:rPr>
              <w:t>Percent ceded - first $1,000,000 of coverage</w:t>
            </w: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w:t>
            </w: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90%</w:t>
            </w: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20" w:type="dxa"/>
            <w:vAlign w:val="bottom"/>
            <w:gridSpan w:val="4"/>
          </w:tcPr>
          <w:p>
            <w:pPr>
              <w:ind w:left="300"/>
              <w:spacing w:after="0"/>
              <w:rPr>
                <w:sz w:val="20"/>
                <w:szCs w:val="20"/>
                <w:color w:val="auto"/>
              </w:rPr>
            </w:pPr>
            <w:r>
              <w:rPr>
                <w:rFonts w:ascii="Arial" w:cs="Arial" w:eastAsia="Arial" w:hAnsi="Arial"/>
                <w:sz w:val="17"/>
                <w:szCs w:val="17"/>
                <w:color w:val="auto"/>
              </w:rPr>
              <w:t>Percent ceded - excess of $1,000,000 dollars of coverage</w:t>
            </w: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100%</w:t>
            </w:r>
          </w:p>
        </w:tc>
        <w:tc>
          <w:tcPr>
            <w:tcW w:w="220" w:type="dxa"/>
            <w:vAlign w:val="bottom"/>
          </w:tcPr>
          <w:p>
            <w:pPr>
              <w:spacing w:after="0"/>
              <w:rPr>
                <w:sz w:val="18"/>
                <w:szCs w:val="18"/>
                <w:color w:val="auto"/>
              </w:rPr>
            </w:pPr>
          </w:p>
        </w:tc>
        <w:tc>
          <w:tcPr>
            <w:tcW w:w="1380" w:type="dxa"/>
            <w:vAlign w:val="bottom"/>
          </w:tcPr>
          <w:p>
            <w:pPr>
              <w:jc w:val="right"/>
              <w:ind w:right="16"/>
              <w:spacing w:after="0"/>
              <w:rPr>
                <w:sz w:val="20"/>
                <w:szCs w:val="20"/>
                <w:color w:val="auto"/>
              </w:rPr>
            </w:pPr>
            <w:r>
              <w:rPr>
                <w:rFonts w:ascii="Arial" w:cs="Arial" w:eastAsia="Arial" w:hAnsi="Arial"/>
                <w:sz w:val="17"/>
                <w:szCs w:val="17"/>
                <w:color w:val="auto"/>
              </w:rPr>
              <w:t>100%</w:t>
            </w: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20" w:type="dxa"/>
            <w:vAlign w:val="bottom"/>
            <w:gridSpan w:val="4"/>
            <w:shd w:val="clear" w:color="auto" w:fill="CCEEFF"/>
          </w:tcPr>
          <w:p>
            <w:pPr>
              <w:ind w:left="300"/>
              <w:spacing w:after="0"/>
              <w:rPr>
                <w:sz w:val="20"/>
                <w:szCs w:val="20"/>
                <w:color w:val="auto"/>
              </w:rPr>
            </w:pPr>
            <w:r>
              <w:rPr>
                <w:rFonts w:ascii="Arial" w:cs="Arial" w:eastAsia="Arial" w:hAnsi="Arial"/>
                <w:sz w:val="17"/>
                <w:szCs w:val="17"/>
                <w:color w:val="auto"/>
              </w:rPr>
              <w:t>Risk retained</w:t>
            </w: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100,000</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80" w:type="dxa"/>
            <w:vAlign w:val="bottom"/>
            <w:shd w:val="clear" w:color="auto" w:fill="CCEEFF"/>
          </w:tcPr>
          <w:p>
            <w:pPr>
              <w:jc w:val="right"/>
              <w:ind w:right="156"/>
              <w:spacing w:after="0"/>
              <w:rPr>
                <w:sz w:val="20"/>
                <w:szCs w:val="20"/>
                <w:color w:val="auto"/>
              </w:rPr>
            </w:pPr>
            <w:r>
              <w:rPr>
                <w:rFonts w:ascii="Arial" w:cs="Arial" w:eastAsia="Arial" w:hAnsi="Arial"/>
                <w:sz w:val="17"/>
                <w:szCs w:val="17"/>
                <w:color w:val="auto"/>
              </w:rPr>
              <w:t>100,000</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100,000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20" w:type="dxa"/>
            <w:vAlign w:val="bottom"/>
            <w:gridSpan w:val="4"/>
          </w:tcPr>
          <w:p>
            <w:pPr>
              <w:ind w:left="300"/>
              <w:spacing w:after="0"/>
              <w:rPr>
                <w:sz w:val="20"/>
                <w:szCs w:val="20"/>
                <w:color w:val="auto"/>
              </w:rPr>
            </w:pPr>
            <w:r>
              <w:rPr>
                <w:rFonts w:ascii="Arial" w:cs="Arial" w:eastAsia="Arial" w:hAnsi="Arial"/>
                <w:sz w:val="17"/>
                <w:szCs w:val="17"/>
                <w:color w:val="auto"/>
              </w:rPr>
              <w:t>Total reinsurance coverage per occurrence</w:t>
            </w:r>
          </w:p>
        </w:tc>
        <w:tc>
          <w:tcPr>
            <w:tcW w:w="300" w:type="dxa"/>
            <w:vAlign w:val="bottom"/>
          </w:tcPr>
          <w:p>
            <w:pPr>
              <w:jc w:val="right"/>
              <w:spacing w:after="0"/>
              <w:rPr>
                <w:sz w:val="20"/>
                <w:szCs w:val="20"/>
                <w:color w:val="auto"/>
              </w:rPr>
            </w:pPr>
            <w:r>
              <w:rPr>
                <w:rFonts w:ascii="Arial" w:cs="Arial" w:eastAsia="Arial" w:hAnsi="Arial"/>
                <w:sz w:val="17"/>
                <w:szCs w:val="17"/>
                <w:color w:val="auto"/>
              </w:rPr>
              <w:t>$</w:t>
            </w:r>
          </w:p>
        </w:tc>
        <w:tc>
          <w:tcPr>
            <w:tcW w:w="1360" w:type="dxa"/>
            <w:vAlign w:val="bottom"/>
          </w:tcPr>
          <w:p>
            <w:pPr>
              <w:jc w:val="right"/>
              <w:ind w:right="136"/>
              <w:spacing w:after="0"/>
              <w:rPr>
                <w:sz w:val="20"/>
                <w:szCs w:val="20"/>
                <w:color w:val="auto"/>
              </w:rPr>
            </w:pPr>
            <w:r>
              <w:rPr>
                <w:rFonts w:ascii="Arial" w:cs="Arial" w:eastAsia="Arial" w:hAnsi="Arial"/>
                <w:sz w:val="17"/>
                <w:szCs w:val="17"/>
                <w:color w:val="auto"/>
              </w:rPr>
              <w:t>4,900,000</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1380" w:type="dxa"/>
            <w:vAlign w:val="bottom"/>
          </w:tcPr>
          <w:p>
            <w:pPr>
              <w:jc w:val="right"/>
              <w:ind w:right="156"/>
              <w:spacing w:after="0"/>
              <w:rPr>
                <w:sz w:val="20"/>
                <w:szCs w:val="20"/>
                <w:color w:val="auto"/>
              </w:rPr>
            </w:pPr>
            <w:r>
              <w:rPr>
                <w:rFonts w:ascii="Arial" w:cs="Arial" w:eastAsia="Arial" w:hAnsi="Arial"/>
                <w:sz w:val="17"/>
                <w:szCs w:val="17"/>
                <w:color w:val="auto"/>
              </w:rPr>
              <w:t>4,900,000</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1280" w:type="dxa"/>
            <w:vAlign w:val="bottom"/>
          </w:tcPr>
          <w:p>
            <w:pPr>
              <w:jc w:val="right"/>
              <w:ind w:right="76"/>
              <w:spacing w:after="0"/>
              <w:rPr>
                <w:sz w:val="20"/>
                <w:szCs w:val="20"/>
                <w:color w:val="auto"/>
              </w:rPr>
            </w:pPr>
            <w:r>
              <w:rPr>
                <w:rFonts w:ascii="Arial" w:cs="Arial" w:eastAsia="Arial" w:hAnsi="Arial"/>
                <w:sz w:val="17"/>
                <w:szCs w:val="17"/>
                <w:color w:val="auto"/>
              </w:rPr>
              <w:t>4,900,000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20" w:type="dxa"/>
            <w:vAlign w:val="bottom"/>
            <w:gridSpan w:val="4"/>
            <w:shd w:val="clear" w:color="auto" w:fill="CCEEFF"/>
          </w:tcPr>
          <w:p>
            <w:pPr>
              <w:ind w:left="300"/>
              <w:spacing w:after="0"/>
              <w:rPr>
                <w:sz w:val="20"/>
                <w:szCs w:val="20"/>
                <w:color w:val="auto"/>
              </w:rPr>
            </w:pPr>
            <w:r>
              <w:rPr>
                <w:rFonts w:ascii="Arial" w:cs="Arial" w:eastAsia="Arial" w:hAnsi="Arial"/>
                <w:sz w:val="17"/>
                <w:szCs w:val="17"/>
                <w:color w:val="auto"/>
              </w:rPr>
              <w:t>Losses per occurrence subject to quota share reinsurance coverage</w:t>
            </w: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5,000,000</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80" w:type="dxa"/>
            <w:vAlign w:val="bottom"/>
            <w:shd w:val="clear" w:color="auto" w:fill="CCEEFF"/>
          </w:tcPr>
          <w:p>
            <w:pPr>
              <w:jc w:val="right"/>
              <w:ind w:right="156"/>
              <w:spacing w:after="0"/>
              <w:rPr>
                <w:sz w:val="20"/>
                <w:szCs w:val="20"/>
                <w:color w:val="auto"/>
              </w:rPr>
            </w:pPr>
            <w:r>
              <w:rPr>
                <w:rFonts w:ascii="Arial" w:cs="Arial" w:eastAsia="Arial" w:hAnsi="Arial"/>
                <w:sz w:val="17"/>
                <w:szCs w:val="17"/>
                <w:color w:val="auto"/>
              </w:rPr>
              <w:t>5,000,000</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5,000,000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20" w:type="dxa"/>
            <w:vAlign w:val="bottom"/>
            <w:gridSpan w:val="4"/>
          </w:tcPr>
          <w:p>
            <w:pPr>
              <w:spacing w:after="0"/>
              <w:rPr>
                <w:sz w:val="20"/>
                <w:szCs w:val="20"/>
                <w:color w:val="auto"/>
              </w:rPr>
            </w:pPr>
            <w:r>
              <w:rPr>
                <w:rFonts w:ascii="Arial" w:cs="Arial" w:eastAsia="Arial" w:hAnsi="Arial"/>
                <w:sz w:val="17"/>
                <w:szCs w:val="17"/>
                <w:color w:val="auto"/>
              </w:rPr>
              <w:t>Expiration date</w:t>
            </w:r>
          </w:p>
        </w:tc>
        <w:tc>
          <w:tcPr>
            <w:tcW w:w="300" w:type="dxa"/>
            <w:vAlign w:val="bottom"/>
          </w:tcPr>
          <w:p>
            <w:pPr>
              <w:spacing w:after="0"/>
              <w:rPr>
                <w:sz w:val="18"/>
                <w:szCs w:val="18"/>
                <w:color w:val="auto"/>
              </w:rPr>
            </w:pPr>
          </w:p>
        </w:tc>
        <w:tc>
          <w:tcPr>
            <w:tcW w:w="1360" w:type="dxa"/>
            <w:vAlign w:val="bottom"/>
          </w:tcPr>
          <w:p>
            <w:pPr>
              <w:jc w:val="right"/>
              <w:ind w:right="136"/>
              <w:spacing w:after="0"/>
              <w:rPr>
                <w:sz w:val="20"/>
                <w:szCs w:val="20"/>
                <w:color w:val="auto"/>
              </w:rPr>
            </w:pPr>
            <w:r>
              <w:rPr>
                <w:rFonts w:ascii="Arial" w:cs="Arial" w:eastAsia="Arial" w:hAnsi="Arial"/>
                <w:sz w:val="17"/>
                <w:szCs w:val="17"/>
                <w:color w:val="auto"/>
              </w:rPr>
              <w:t>June 30, 2019</w:t>
            </w:r>
          </w:p>
        </w:tc>
        <w:tc>
          <w:tcPr>
            <w:tcW w:w="220" w:type="dxa"/>
            <w:vAlign w:val="bottom"/>
          </w:tcPr>
          <w:p>
            <w:pPr>
              <w:spacing w:after="0"/>
              <w:rPr>
                <w:sz w:val="18"/>
                <w:szCs w:val="18"/>
                <w:color w:val="auto"/>
              </w:rPr>
            </w:pPr>
          </w:p>
        </w:tc>
        <w:tc>
          <w:tcPr>
            <w:tcW w:w="1380" w:type="dxa"/>
            <w:vAlign w:val="bottom"/>
          </w:tcPr>
          <w:p>
            <w:pPr>
              <w:jc w:val="right"/>
              <w:ind w:right="156"/>
              <w:spacing w:after="0"/>
              <w:rPr>
                <w:sz w:val="20"/>
                <w:szCs w:val="20"/>
                <w:color w:val="auto"/>
              </w:rPr>
            </w:pPr>
            <w:r>
              <w:rPr>
                <w:rFonts w:ascii="Arial" w:cs="Arial" w:eastAsia="Arial" w:hAnsi="Arial"/>
                <w:sz w:val="17"/>
                <w:szCs w:val="17"/>
                <w:color w:val="auto"/>
              </w:rPr>
              <w:t>June 30, 2018</w:t>
            </w:r>
          </w:p>
        </w:tc>
        <w:tc>
          <w:tcPr>
            <w:tcW w:w="240" w:type="dxa"/>
            <w:vAlign w:val="bottom"/>
          </w:tcPr>
          <w:p>
            <w:pPr>
              <w:spacing w:after="0"/>
              <w:rPr>
                <w:sz w:val="18"/>
                <w:szCs w:val="18"/>
                <w:color w:val="auto"/>
              </w:rPr>
            </w:pPr>
          </w:p>
        </w:tc>
        <w:tc>
          <w:tcPr>
            <w:tcW w:w="1280" w:type="dxa"/>
            <w:vAlign w:val="bottom"/>
          </w:tcPr>
          <w:p>
            <w:pPr>
              <w:jc w:val="right"/>
              <w:ind w:right="76"/>
              <w:spacing w:after="0"/>
              <w:rPr>
                <w:sz w:val="20"/>
                <w:szCs w:val="20"/>
                <w:color w:val="auto"/>
              </w:rPr>
            </w:pPr>
            <w:r>
              <w:rPr>
                <w:rFonts w:ascii="Arial" w:cs="Arial" w:eastAsia="Arial" w:hAnsi="Arial"/>
                <w:sz w:val="17"/>
                <w:szCs w:val="17"/>
                <w:color w:val="auto"/>
              </w:rPr>
              <w:t>June 30, 2017</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9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6620" w:type="dxa"/>
            <w:vAlign w:val="bottom"/>
            <w:gridSpan w:val="4"/>
          </w:tcPr>
          <w:p>
            <w:pPr>
              <w:spacing w:after="0" w:line="170" w:lineRule="exact"/>
              <w:rPr>
                <w:sz w:val="20"/>
                <w:szCs w:val="20"/>
                <w:color w:val="auto"/>
              </w:rPr>
            </w:pPr>
            <w:r>
              <w:rPr>
                <w:rFonts w:ascii="Arial" w:cs="Arial" w:eastAsia="Arial" w:hAnsi="Arial"/>
                <w:sz w:val="17"/>
                <w:szCs w:val="17"/>
                <w:color w:val="auto"/>
              </w:rPr>
              <w:t>Commercial Lines:</w:t>
            </w:r>
          </w:p>
        </w:tc>
        <w:tc>
          <w:tcPr>
            <w:tcW w:w="3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662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General liability commercial policies</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20" w:type="dxa"/>
            <w:vAlign w:val="bottom"/>
            <w:gridSpan w:val="4"/>
          </w:tcPr>
          <w:p>
            <w:pPr>
              <w:ind w:left="140"/>
              <w:spacing w:after="0"/>
              <w:rPr>
                <w:sz w:val="20"/>
                <w:szCs w:val="20"/>
                <w:color w:val="auto"/>
              </w:rPr>
            </w:pPr>
            <w:r>
              <w:rPr>
                <w:rFonts w:ascii="Arial" w:cs="Arial" w:eastAsia="Arial" w:hAnsi="Arial"/>
                <w:sz w:val="17"/>
                <w:szCs w:val="17"/>
                <w:color w:val="auto"/>
              </w:rPr>
              <w:t>Quota share treaty</w:t>
            </w:r>
          </w:p>
        </w:tc>
        <w:tc>
          <w:tcPr>
            <w:tcW w:w="300" w:type="dxa"/>
            <w:vAlign w:val="bottom"/>
          </w:tcPr>
          <w:p>
            <w:pPr>
              <w:spacing w:after="0"/>
              <w:rPr>
                <w:sz w:val="18"/>
                <w:szCs w:val="18"/>
                <w:color w:val="auto"/>
              </w:rPr>
            </w:pPr>
          </w:p>
        </w:tc>
        <w:tc>
          <w:tcPr>
            <w:tcW w:w="1360" w:type="dxa"/>
            <w:vAlign w:val="bottom"/>
          </w:tcPr>
          <w:p>
            <w:pPr>
              <w:jc w:val="right"/>
              <w:ind w:right="136"/>
              <w:spacing w:after="0"/>
              <w:rPr>
                <w:sz w:val="20"/>
                <w:szCs w:val="20"/>
                <w:color w:val="auto"/>
              </w:rPr>
            </w:pPr>
            <w:r>
              <w:rPr>
                <w:rFonts w:ascii="Arial" w:cs="Arial" w:eastAsia="Arial" w:hAnsi="Arial"/>
                <w:sz w:val="17"/>
                <w:szCs w:val="17"/>
                <w:color w:val="auto"/>
              </w:rPr>
              <w:t>None</w:t>
            </w:r>
          </w:p>
        </w:tc>
        <w:tc>
          <w:tcPr>
            <w:tcW w:w="220" w:type="dxa"/>
            <w:vAlign w:val="bottom"/>
          </w:tcPr>
          <w:p>
            <w:pPr>
              <w:spacing w:after="0"/>
              <w:rPr>
                <w:sz w:val="18"/>
                <w:szCs w:val="18"/>
                <w:color w:val="auto"/>
              </w:rPr>
            </w:pPr>
          </w:p>
        </w:tc>
        <w:tc>
          <w:tcPr>
            <w:tcW w:w="1380" w:type="dxa"/>
            <w:vAlign w:val="bottom"/>
          </w:tcPr>
          <w:p>
            <w:pPr>
              <w:jc w:val="right"/>
              <w:ind w:right="156"/>
              <w:spacing w:after="0"/>
              <w:rPr>
                <w:sz w:val="20"/>
                <w:szCs w:val="20"/>
                <w:color w:val="auto"/>
              </w:rPr>
            </w:pPr>
            <w:r>
              <w:rPr>
                <w:rFonts w:ascii="Arial" w:cs="Arial" w:eastAsia="Arial" w:hAnsi="Arial"/>
                <w:sz w:val="17"/>
                <w:szCs w:val="17"/>
                <w:color w:val="auto"/>
              </w:rPr>
              <w:t>None</w:t>
            </w:r>
          </w:p>
        </w:tc>
        <w:tc>
          <w:tcPr>
            <w:tcW w:w="240" w:type="dxa"/>
            <w:vAlign w:val="bottom"/>
          </w:tcPr>
          <w:p>
            <w:pPr>
              <w:spacing w:after="0"/>
              <w:rPr>
                <w:sz w:val="18"/>
                <w:szCs w:val="18"/>
                <w:color w:val="auto"/>
              </w:rPr>
            </w:pPr>
          </w:p>
        </w:tc>
        <w:tc>
          <w:tcPr>
            <w:tcW w:w="1280" w:type="dxa"/>
            <w:vAlign w:val="bottom"/>
          </w:tcPr>
          <w:p>
            <w:pPr>
              <w:jc w:val="right"/>
              <w:ind w:right="76"/>
              <w:spacing w:after="0"/>
              <w:rPr>
                <w:sz w:val="20"/>
                <w:szCs w:val="20"/>
                <w:color w:val="auto"/>
              </w:rPr>
            </w:pPr>
            <w:r>
              <w:rPr>
                <w:rFonts w:ascii="Arial" w:cs="Arial" w:eastAsia="Arial" w:hAnsi="Arial"/>
                <w:sz w:val="17"/>
                <w:szCs w:val="17"/>
                <w:color w:val="auto"/>
              </w:rPr>
              <w:t>None</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20" w:type="dxa"/>
            <w:vAlign w:val="bottom"/>
            <w:gridSpan w:val="4"/>
            <w:shd w:val="clear" w:color="auto" w:fill="CCEEFF"/>
          </w:tcPr>
          <w:p>
            <w:pPr>
              <w:ind w:left="140"/>
              <w:spacing w:after="0"/>
              <w:rPr>
                <w:sz w:val="20"/>
                <w:szCs w:val="20"/>
                <w:color w:val="auto"/>
              </w:rPr>
            </w:pPr>
            <w:r>
              <w:rPr>
                <w:rFonts w:ascii="Arial" w:cs="Arial" w:eastAsia="Arial" w:hAnsi="Arial"/>
                <w:sz w:val="17"/>
                <w:szCs w:val="17"/>
                <w:color w:val="auto"/>
              </w:rPr>
              <w:t>Risk retained</w:t>
            </w: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750,000</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80" w:type="dxa"/>
            <w:vAlign w:val="bottom"/>
            <w:shd w:val="clear" w:color="auto" w:fill="CCEEFF"/>
          </w:tcPr>
          <w:p>
            <w:pPr>
              <w:jc w:val="right"/>
              <w:ind w:right="156"/>
              <w:spacing w:after="0"/>
              <w:rPr>
                <w:sz w:val="20"/>
                <w:szCs w:val="20"/>
                <w:color w:val="auto"/>
              </w:rPr>
            </w:pPr>
            <w:r>
              <w:rPr>
                <w:rFonts w:ascii="Arial" w:cs="Arial" w:eastAsia="Arial" w:hAnsi="Arial"/>
                <w:sz w:val="17"/>
                <w:szCs w:val="17"/>
                <w:color w:val="auto"/>
              </w:rPr>
              <w:t>750,000</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500,000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20" w:type="dxa"/>
            <w:vAlign w:val="bottom"/>
            <w:gridSpan w:val="4"/>
          </w:tcPr>
          <w:p>
            <w:pPr>
              <w:ind w:left="140"/>
              <w:spacing w:after="0"/>
              <w:rPr>
                <w:sz w:val="20"/>
                <w:szCs w:val="20"/>
                <w:color w:val="auto"/>
              </w:rPr>
            </w:pPr>
            <w:r>
              <w:rPr>
                <w:rFonts w:ascii="Arial" w:cs="Arial" w:eastAsia="Arial" w:hAnsi="Arial"/>
                <w:sz w:val="17"/>
                <w:szCs w:val="17"/>
                <w:color w:val="auto"/>
              </w:rPr>
              <w:t>Excess of loss coverage above risk retained</w:t>
            </w:r>
          </w:p>
        </w:tc>
        <w:tc>
          <w:tcPr>
            <w:tcW w:w="300" w:type="dxa"/>
            <w:vAlign w:val="bottom"/>
          </w:tcPr>
          <w:p>
            <w:pPr>
              <w:jc w:val="right"/>
              <w:spacing w:after="0"/>
              <w:rPr>
                <w:sz w:val="20"/>
                <w:szCs w:val="20"/>
                <w:color w:val="auto"/>
              </w:rPr>
            </w:pPr>
            <w:r>
              <w:rPr>
                <w:rFonts w:ascii="Arial" w:cs="Arial" w:eastAsia="Arial" w:hAnsi="Arial"/>
                <w:sz w:val="17"/>
                <w:szCs w:val="17"/>
                <w:color w:val="auto"/>
              </w:rPr>
              <w:t>$</w:t>
            </w:r>
          </w:p>
        </w:tc>
        <w:tc>
          <w:tcPr>
            <w:tcW w:w="1360" w:type="dxa"/>
            <w:vAlign w:val="bottom"/>
          </w:tcPr>
          <w:p>
            <w:pPr>
              <w:jc w:val="right"/>
              <w:ind w:right="136"/>
              <w:spacing w:after="0"/>
              <w:rPr>
                <w:sz w:val="20"/>
                <w:szCs w:val="20"/>
                <w:color w:val="auto"/>
              </w:rPr>
            </w:pPr>
            <w:r>
              <w:rPr>
                <w:rFonts w:ascii="Arial" w:cs="Arial" w:eastAsia="Arial" w:hAnsi="Arial"/>
                <w:sz w:val="17"/>
                <w:szCs w:val="17"/>
                <w:color w:val="auto"/>
              </w:rPr>
              <w:t>3,750,000</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1380" w:type="dxa"/>
            <w:vAlign w:val="bottom"/>
          </w:tcPr>
          <w:p>
            <w:pPr>
              <w:jc w:val="right"/>
              <w:ind w:right="156"/>
              <w:spacing w:after="0"/>
              <w:rPr>
                <w:sz w:val="20"/>
                <w:szCs w:val="20"/>
                <w:color w:val="auto"/>
              </w:rPr>
            </w:pPr>
            <w:r>
              <w:rPr>
                <w:rFonts w:ascii="Arial" w:cs="Arial" w:eastAsia="Arial" w:hAnsi="Arial"/>
                <w:sz w:val="17"/>
                <w:szCs w:val="17"/>
                <w:color w:val="auto"/>
              </w:rPr>
              <w:t>3,750,000</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1280" w:type="dxa"/>
            <w:vAlign w:val="bottom"/>
          </w:tcPr>
          <w:p>
            <w:pPr>
              <w:jc w:val="right"/>
              <w:ind w:right="76"/>
              <w:spacing w:after="0"/>
              <w:rPr>
                <w:sz w:val="20"/>
                <w:szCs w:val="20"/>
                <w:color w:val="auto"/>
              </w:rPr>
            </w:pPr>
            <w:r>
              <w:rPr>
                <w:rFonts w:ascii="Arial" w:cs="Arial" w:eastAsia="Arial" w:hAnsi="Arial"/>
                <w:sz w:val="17"/>
                <w:szCs w:val="17"/>
                <w:color w:val="auto"/>
              </w:rPr>
              <w:t>4,000,000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9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in excess of</w:t>
            </w: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56"/>
              <w:spacing w:after="0"/>
              <w:rPr>
                <w:sz w:val="20"/>
                <w:szCs w:val="20"/>
                <w:color w:val="auto"/>
              </w:rPr>
            </w:pPr>
            <w:r>
              <w:rPr>
                <w:rFonts w:ascii="Arial" w:cs="Arial" w:eastAsia="Arial" w:hAnsi="Arial"/>
                <w:sz w:val="17"/>
                <w:szCs w:val="17"/>
                <w:color w:val="auto"/>
              </w:rPr>
              <w:t>in excess of</w:t>
            </w: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in excess of</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7"/>
                <w:szCs w:val="17"/>
                <w:color w:val="auto"/>
              </w:rPr>
              <w:t>$</w:t>
            </w:r>
          </w:p>
        </w:tc>
        <w:tc>
          <w:tcPr>
            <w:tcW w:w="1360" w:type="dxa"/>
            <w:vAlign w:val="bottom"/>
          </w:tcPr>
          <w:p>
            <w:pPr>
              <w:jc w:val="right"/>
              <w:ind w:right="136"/>
              <w:spacing w:after="0"/>
              <w:rPr>
                <w:sz w:val="20"/>
                <w:szCs w:val="20"/>
                <w:color w:val="auto"/>
              </w:rPr>
            </w:pPr>
            <w:r>
              <w:rPr>
                <w:rFonts w:ascii="Arial" w:cs="Arial" w:eastAsia="Arial" w:hAnsi="Arial"/>
                <w:sz w:val="17"/>
                <w:szCs w:val="17"/>
                <w:color w:val="auto"/>
              </w:rPr>
              <w:t>750,000</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1380" w:type="dxa"/>
            <w:vAlign w:val="bottom"/>
          </w:tcPr>
          <w:p>
            <w:pPr>
              <w:jc w:val="right"/>
              <w:ind w:right="156"/>
              <w:spacing w:after="0"/>
              <w:rPr>
                <w:sz w:val="20"/>
                <w:szCs w:val="20"/>
                <w:color w:val="auto"/>
              </w:rPr>
            </w:pPr>
            <w:r>
              <w:rPr>
                <w:rFonts w:ascii="Arial" w:cs="Arial" w:eastAsia="Arial" w:hAnsi="Arial"/>
                <w:sz w:val="17"/>
                <w:szCs w:val="17"/>
                <w:color w:val="auto"/>
              </w:rPr>
              <w:t>750,000</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1280" w:type="dxa"/>
            <w:vAlign w:val="bottom"/>
          </w:tcPr>
          <w:p>
            <w:pPr>
              <w:jc w:val="right"/>
              <w:ind w:right="76"/>
              <w:spacing w:after="0"/>
              <w:rPr>
                <w:sz w:val="20"/>
                <w:szCs w:val="20"/>
                <w:color w:val="auto"/>
              </w:rPr>
            </w:pPr>
            <w:r>
              <w:rPr>
                <w:rFonts w:ascii="Arial" w:cs="Arial" w:eastAsia="Arial" w:hAnsi="Arial"/>
                <w:sz w:val="17"/>
                <w:szCs w:val="17"/>
                <w:color w:val="auto"/>
              </w:rPr>
              <w:t>500,000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20" w:type="dxa"/>
            <w:vAlign w:val="bottom"/>
            <w:gridSpan w:val="4"/>
            <w:shd w:val="clear" w:color="auto" w:fill="CCEEFF"/>
          </w:tcPr>
          <w:p>
            <w:pPr>
              <w:ind w:left="140"/>
              <w:spacing w:after="0"/>
              <w:rPr>
                <w:sz w:val="20"/>
                <w:szCs w:val="20"/>
                <w:color w:val="auto"/>
              </w:rPr>
            </w:pPr>
            <w:r>
              <w:rPr>
                <w:rFonts w:ascii="Arial" w:cs="Arial" w:eastAsia="Arial" w:hAnsi="Arial"/>
                <w:sz w:val="17"/>
                <w:szCs w:val="17"/>
                <w:color w:val="auto"/>
              </w:rPr>
              <w:t>Total reinsurance coverage per occurrence</w:t>
            </w: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3,750,000</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80" w:type="dxa"/>
            <w:vAlign w:val="bottom"/>
            <w:shd w:val="clear" w:color="auto" w:fill="CCEEFF"/>
          </w:tcPr>
          <w:p>
            <w:pPr>
              <w:jc w:val="right"/>
              <w:ind w:right="156"/>
              <w:spacing w:after="0"/>
              <w:rPr>
                <w:sz w:val="20"/>
                <w:szCs w:val="20"/>
                <w:color w:val="auto"/>
              </w:rPr>
            </w:pPr>
            <w:r>
              <w:rPr>
                <w:rFonts w:ascii="Arial" w:cs="Arial" w:eastAsia="Arial" w:hAnsi="Arial"/>
                <w:sz w:val="17"/>
                <w:szCs w:val="17"/>
                <w:color w:val="auto"/>
              </w:rPr>
              <w:t>3,750,000</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4,000,000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20" w:type="dxa"/>
            <w:vAlign w:val="bottom"/>
            <w:gridSpan w:val="4"/>
          </w:tcPr>
          <w:p>
            <w:pPr>
              <w:ind w:left="140"/>
              <w:spacing w:after="0"/>
              <w:rPr>
                <w:sz w:val="20"/>
                <w:szCs w:val="20"/>
                <w:color w:val="auto"/>
              </w:rPr>
            </w:pPr>
            <w:r>
              <w:rPr>
                <w:rFonts w:ascii="Arial" w:cs="Arial" w:eastAsia="Arial" w:hAnsi="Arial"/>
                <w:sz w:val="17"/>
                <w:szCs w:val="17"/>
                <w:color w:val="auto"/>
              </w:rPr>
              <w:t>Losses per occurrence subject to reinsurance coverage</w:t>
            </w:r>
          </w:p>
        </w:tc>
        <w:tc>
          <w:tcPr>
            <w:tcW w:w="300" w:type="dxa"/>
            <w:vAlign w:val="bottom"/>
          </w:tcPr>
          <w:p>
            <w:pPr>
              <w:jc w:val="right"/>
              <w:spacing w:after="0"/>
              <w:rPr>
                <w:sz w:val="20"/>
                <w:szCs w:val="20"/>
                <w:color w:val="auto"/>
              </w:rPr>
            </w:pPr>
            <w:r>
              <w:rPr>
                <w:rFonts w:ascii="Arial" w:cs="Arial" w:eastAsia="Arial" w:hAnsi="Arial"/>
                <w:sz w:val="17"/>
                <w:szCs w:val="17"/>
                <w:color w:val="auto"/>
              </w:rPr>
              <w:t>$</w:t>
            </w:r>
          </w:p>
        </w:tc>
        <w:tc>
          <w:tcPr>
            <w:tcW w:w="1360" w:type="dxa"/>
            <w:vAlign w:val="bottom"/>
          </w:tcPr>
          <w:p>
            <w:pPr>
              <w:jc w:val="right"/>
              <w:ind w:right="136"/>
              <w:spacing w:after="0"/>
              <w:rPr>
                <w:sz w:val="20"/>
                <w:szCs w:val="20"/>
                <w:color w:val="auto"/>
              </w:rPr>
            </w:pPr>
            <w:r>
              <w:rPr>
                <w:rFonts w:ascii="Arial" w:cs="Arial" w:eastAsia="Arial" w:hAnsi="Arial"/>
                <w:sz w:val="17"/>
                <w:szCs w:val="17"/>
                <w:color w:val="auto"/>
              </w:rPr>
              <w:t>4,500,000</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1380" w:type="dxa"/>
            <w:vAlign w:val="bottom"/>
          </w:tcPr>
          <w:p>
            <w:pPr>
              <w:jc w:val="right"/>
              <w:ind w:right="156"/>
              <w:spacing w:after="0"/>
              <w:rPr>
                <w:sz w:val="20"/>
                <w:szCs w:val="20"/>
                <w:color w:val="auto"/>
              </w:rPr>
            </w:pPr>
            <w:r>
              <w:rPr>
                <w:rFonts w:ascii="Arial" w:cs="Arial" w:eastAsia="Arial" w:hAnsi="Arial"/>
                <w:sz w:val="17"/>
                <w:szCs w:val="17"/>
                <w:color w:val="auto"/>
              </w:rPr>
              <w:t>4,500,000</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1280" w:type="dxa"/>
            <w:vAlign w:val="bottom"/>
          </w:tcPr>
          <w:p>
            <w:pPr>
              <w:jc w:val="right"/>
              <w:ind w:right="76"/>
              <w:spacing w:after="0"/>
              <w:rPr>
                <w:sz w:val="20"/>
                <w:szCs w:val="20"/>
                <w:color w:val="auto"/>
              </w:rPr>
            </w:pPr>
            <w:r>
              <w:rPr>
                <w:rFonts w:ascii="Arial" w:cs="Arial" w:eastAsia="Arial" w:hAnsi="Arial"/>
                <w:sz w:val="17"/>
                <w:szCs w:val="17"/>
                <w:color w:val="auto"/>
              </w:rPr>
              <w:t>4,500,000</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9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6620" w:type="dxa"/>
            <w:vAlign w:val="bottom"/>
            <w:gridSpan w:val="4"/>
          </w:tcPr>
          <w:p>
            <w:pPr>
              <w:spacing w:after="0"/>
              <w:rPr>
                <w:sz w:val="20"/>
                <w:szCs w:val="20"/>
                <w:color w:val="auto"/>
              </w:rPr>
            </w:pPr>
            <w:r>
              <w:rPr>
                <w:rFonts w:ascii="Arial" w:cs="Arial" w:eastAsia="Arial" w:hAnsi="Arial"/>
                <w:sz w:val="17"/>
                <w:szCs w:val="17"/>
                <w:color w:val="auto"/>
              </w:rPr>
              <w:t>Commercial Umbrella</w:t>
            </w: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20" w:type="dxa"/>
            <w:vAlign w:val="bottom"/>
            <w:gridSpan w:val="4"/>
            <w:shd w:val="clear" w:color="auto" w:fill="CCEEFF"/>
          </w:tcPr>
          <w:p>
            <w:pPr>
              <w:ind w:left="140"/>
              <w:spacing w:after="0"/>
              <w:rPr>
                <w:sz w:val="20"/>
                <w:szCs w:val="20"/>
                <w:color w:val="auto"/>
              </w:rPr>
            </w:pPr>
            <w:r>
              <w:rPr>
                <w:rFonts w:ascii="Arial" w:cs="Arial" w:eastAsia="Arial" w:hAnsi="Arial"/>
                <w:sz w:val="17"/>
                <w:szCs w:val="17"/>
                <w:color w:val="auto"/>
              </w:rPr>
              <w:t>Quota share treaty:</w:t>
            </w: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20" w:type="dxa"/>
            <w:vAlign w:val="bottom"/>
            <w:gridSpan w:val="4"/>
          </w:tcPr>
          <w:p>
            <w:pPr>
              <w:ind w:left="300"/>
              <w:spacing w:after="0"/>
              <w:rPr>
                <w:sz w:val="20"/>
                <w:szCs w:val="20"/>
                <w:color w:val="auto"/>
              </w:rPr>
            </w:pPr>
            <w:r>
              <w:rPr>
                <w:rFonts w:ascii="Arial" w:cs="Arial" w:eastAsia="Arial" w:hAnsi="Arial"/>
                <w:sz w:val="17"/>
                <w:szCs w:val="17"/>
                <w:color w:val="auto"/>
              </w:rPr>
              <w:t>Percent ceded - first $1,000,000 of coverage</w:t>
            </w: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90%</w:t>
            </w:r>
          </w:p>
        </w:tc>
        <w:tc>
          <w:tcPr>
            <w:tcW w:w="220" w:type="dxa"/>
            <w:vAlign w:val="bottom"/>
          </w:tcPr>
          <w:p>
            <w:pPr>
              <w:spacing w:after="0"/>
              <w:rPr>
                <w:sz w:val="18"/>
                <w:szCs w:val="18"/>
                <w:color w:val="auto"/>
              </w:rPr>
            </w:pPr>
          </w:p>
        </w:tc>
        <w:tc>
          <w:tcPr>
            <w:tcW w:w="1380" w:type="dxa"/>
            <w:vAlign w:val="bottom"/>
          </w:tcPr>
          <w:p>
            <w:pPr>
              <w:jc w:val="right"/>
              <w:ind w:right="16"/>
              <w:spacing w:after="0"/>
              <w:rPr>
                <w:sz w:val="20"/>
                <w:szCs w:val="20"/>
                <w:color w:val="auto"/>
              </w:rPr>
            </w:pPr>
            <w:r>
              <w:rPr>
                <w:rFonts w:ascii="Arial" w:cs="Arial" w:eastAsia="Arial" w:hAnsi="Arial"/>
                <w:sz w:val="17"/>
                <w:szCs w:val="17"/>
                <w:color w:val="auto"/>
              </w:rPr>
              <w:t>90%</w:t>
            </w: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90%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20" w:type="dxa"/>
            <w:vAlign w:val="bottom"/>
            <w:gridSpan w:val="4"/>
            <w:shd w:val="clear" w:color="auto" w:fill="CCEEFF"/>
          </w:tcPr>
          <w:p>
            <w:pPr>
              <w:ind w:left="300"/>
              <w:spacing w:after="0"/>
              <w:rPr>
                <w:sz w:val="20"/>
                <w:szCs w:val="20"/>
                <w:color w:val="auto"/>
              </w:rPr>
            </w:pPr>
            <w:r>
              <w:rPr>
                <w:rFonts w:ascii="Arial" w:cs="Arial" w:eastAsia="Arial" w:hAnsi="Arial"/>
                <w:sz w:val="17"/>
                <w:szCs w:val="17"/>
                <w:color w:val="auto"/>
              </w:rPr>
              <w:t>Percent ceded - excess of $1,000,000 of coverage</w:t>
            </w: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100%</w:t>
            </w: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20" w:type="dxa"/>
            <w:vAlign w:val="bottom"/>
            <w:gridSpan w:val="4"/>
          </w:tcPr>
          <w:p>
            <w:pPr>
              <w:ind w:left="300"/>
              <w:spacing w:after="0"/>
              <w:rPr>
                <w:sz w:val="20"/>
                <w:szCs w:val="20"/>
                <w:color w:val="auto"/>
              </w:rPr>
            </w:pPr>
            <w:r>
              <w:rPr>
                <w:rFonts w:ascii="Arial" w:cs="Arial" w:eastAsia="Arial" w:hAnsi="Arial"/>
                <w:sz w:val="17"/>
                <w:szCs w:val="17"/>
                <w:color w:val="auto"/>
              </w:rPr>
              <w:t>Risk retained</w:t>
            </w:r>
          </w:p>
        </w:tc>
        <w:tc>
          <w:tcPr>
            <w:tcW w:w="300" w:type="dxa"/>
            <w:vAlign w:val="bottom"/>
          </w:tcPr>
          <w:p>
            <w:pPr>
              <w:jc w:val="right"/>
              <w:spacing w:after="0"/>
              <w:rPr>
                <w:sz w:val="20"/>
                <w:szCs w:val="20"/>
                <w:color w:val="auto"/>
              </w:rPr>
            </w:pPr>
            <w:r>
              <w:rPr>
                <w:rFonts w:ascii="Arial" w:cs="Arial" w:eastAsia="Arial" w:hAnsi="Arial"/>
                <w:sz w:val="17"/>
                <w:szCs w:val="17"/>
                <w:color w:val="auto"/>
              </w:rPr>
              <w:t>$</w:t>
            </w:r>
          </w:p>
        </w:tc>
        <w:tc>
          <w:tcPr>
            <w:tcW w:w="1360" w:type="dxa"/>
            <w:vAlign w:val="bottom"/>
          </w:tcPr>
          <w:p>
            <w:pPr>
              <w:jc w:val="right"/>
              <w:ind w:right="136"/>
              <w:spacing w:after="0"/>
              <w:rPr>
                <w:sz w:val="20"/>
                <w:szCs w:val="20"/>
                <w:color w:val="auto"/>
              </w:rPr>
            </w:pPr>
            <w:r>
              <w:rPr>
                <w:rFonts w:ascii="Arial" w:cs="Arial" w:eastAsia="Arial" w:hAnsi="Arial"/>
                <w:sz w:val="17"/>
                <w:szCs w:val="17"/>
                <w:color w:val="auto"/>
              </w:rPr>
              <w:t>100,000</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1380" w:type="dxa"/>
            <w:vAlign w:val="bottom"/>
          </w:tcPr>
          <w:p>
            <w:pPr>
              <w:jc w:val="right"/>
              <w:ind w:right="156"/>
              <w:spacing w:after="0"/>
              <w:rPr>
                <w:sz w:val="20"/>
                <w:szCs w:val="20"/>
                <w:color w:val="auto"/>
              </w:rPr>
            </w:pPr>
            <w:r>
              <w:rPr>
                <w:rFonts w:ascii="Arial" w:cs="Arial" w:eastAsia="Arial" w:hAnsi="Arial"/>
                <w:sz w:val="17"/>
                <w:szCs w:val="17"/>
                <w:color w:val="auto"/>
              </w:rPr>
              <w:t>100,000</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1280" w:type="dxa"/>
            <w:vAlign w:val="bottom"/>
          </w:tcPr>
          <w:p>
            <w:pPr>
              <w:jc w:val="right"/>
              <w:ind w:right="76"/>
              <w:spacing w:after="0"/>
              <w:rPr>
                <w:sz w:val="20"/>
                <w:szCs w:val="20"/>
                <w:color w:val="auto"/>
              </w:rPr>
            </w:pPr>
            <w:r>
              <w:rPr>
                <w:rFonts w:ascii="Arial" w:cs="Arial" w:eastAsia="Arial" w:hAnsi="Arial"/>
                <w:sz w:val="17"/>
                <w:szCs w:val="17"/>
                <w:color w:val="auto"/>
              </w:rPr>
              <w:t>100,000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20" w:type="dxa"/>
            <w:vAlign w:val="bottom"/>
            <w:gridSpan w:val="4"/>
            <w:shd w:val="clear" w:color="auto" w:fill="CCEEFF"/>
          </w:tcPr>
          <w:p>
            <w:pPr>
              <w:ind w:left="300"/>
              <w:spacing w:after="0"/>
              <w:rPr>
                <w:sz w:val="20"/>
                <w:szCs w:val="20"/>
                <w:color w:val="auto"/>
              </w:rPr>
            </w:pPr>
            <w:r>
              <w:rPr>
                <w:rFonts w:ascii="Arial" w:cs="Arial" w:eastAsia="Arial" w:hAnsi="Arial"/>
                <w:sz w:val="17"/>
                <w:szCs w:val="17"/>
                <w:color w:val="auto"/>
              </w:rPr>
              <w:t>Total reinsurance coverage per occurrence</w:t>
            </w: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4,900,000</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80" w:type="dxa"/>
            <w:vAlign w:val="bottom"/>
            <w:shd w:val="clear" w:color="auto" w:fill="CCEEFF"/>
          </w:tcPr>
          <w:p>
            <w:pPr>
              <w:jc w:val="right"/>
              <w:ind w:right="156"/>
              <w:spacing w:after="0"/>
              <w:rPr>
                <w:sz w:val="20"/>
                <w:szCs w:val="20"/>
                <w:color w:val="auto"/>
              </w:rPr>
            </w:pPr>
            <w:r>
              <w:rPr>
                <w:rFonts w:ascii="Arial" w:cs="Arial" w:eastAsia="Arial" w:hAnsi="Arial"/>
                <w:sz w:val="17"/>
                <w:szCs w:val="17"/>
                <w:color w:val="auto"/>
              </w:rPr>
              <w:t>4,900,000</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4,900,000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20" w:type="dxa"/>
            <w:vAlign w:val="bottom"/>
            <w:gridSpan w:val="4"/>
          </w:tcPr>
          <w:p>
            <w:pPr>
              <w:ind w:left="300"/>
              <w:spacing w:after="0"/>
              <w:rPr>
                <w:sz w:val="20"/>
                <w:szCs w:val="20"/>
                <w:color w:val="auto"/>
              </w:rPr>
            </w:pPr>
            <w:r>
              <w:rPr>
                <w:rFonts w:ascii="Arial" w:cs="Arial" w:eastAsia="Arial" w:hAnsi="Arial"/>
                <w:sz w:val="17"/>
                <w:szCs w:val="17"/>
                <w:color w:val="auto"/>
              </w:rPr>
              <w:t>Losses per occurrence subject to quota share reinsurance coverage</w:t>
            </w:r>
          </w:p>
        </w:tc>
        <w:tc>
          <w:tcPr>
            <w:tcW w:w="300" w:type="dxa"/>
            <w:vAlign w:val="bottom"/>
          </w:tcPr>
          <w:p>
            <w:pPr>
              <w:jc w:val="right"/>
              <w:spacing w:after="0"/>
              <w:rPr>
                <w:sz w:val="20"/>
                <w:szCs w:val="20"/>
                <w:color w:val="auto"/>
              </w:rPr>
            </w:pPr>
            <w:r>
              <w:rPr>
                <w:rFonts w:ascii="Arial" w:cs="Arial" w:eastAsia="Arial" w:hAnsi="Arial"/>
                <w:sz w:val="17"/>
                <w:szCs w:val="17"/>
                <w:color w:val="auto"/>
              </w:rPr>
              <w:t>$</w:t>
            </w:r>
          </w:p>
        </w:tc>
        <w:tc>
          <w:tcPr>
            <w:tcW w:w="1360" w:type="dxa"/>
            <w:vAlign w:val="bottom"/>
          </w:tcPr>
          <w:p>
            <w:pPr>
              <w:jc w:val="right"/>
              <w:ind w:right="136"/>
              <w:spacing w:after="0"/>
              <w:rPr>
                <w:sz w:val="20"/>
                <w:szCs w:val="20"/>
                <w:color w:val="auto"/>
              </w:rPr>
            </w:pPr>
            <w:r>
              <w:rPr>
                <w:rFonts w:ascii="Arial" w:cs="Arial" w:eastAsia="Arial" w:hAnsi="Arial"/>
                <w:sz w:val="17"/>
                <w:szCs w:val="17"/>
                <w:color w:val="auto"/>
              </w:rPr>
              <w:t>5,000,000</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1380" w:type="dxa"/>
            <w:vAlign w:val="bottom"/>
          </w:tcPr>
          <w:p>
            <w:pPr>
              <w:jc w:val="right"/>
              <w:ind w:right="156"/>
              <w:spacing w:after="0"/>
              <w:rPr>
                <w:sz w:val="20"/>
                <w:szCs w:val="20"/>
                <w:color w:val="auto"/>
              </w:rPr>
            </w:pPr>
            <w:r>
              <w:rPr>
                <w:rFonts w:ascii="Arial" w:cs="Arial" w:eastAsia="Arial" w:hAnsi="Arial"/>
                <w:sz w:val="17"/>
                <w:szCs w:val="17"/>
                <w:color w:val="auto"/>
              </w:rPr>
              <w:t>5,000,000</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1280" w:type="dxa"/>
            <w:vAlign w:val="bottom"/>
          </w:tcPr>
          <w:p>
            <w:pPr>
              <w:jc w:val="right"/>
              <w:ind w:right="76"/>
              <w:spacing w:after="0"/>
              <w:rPr>
                <w:sz w:val="20"/>
                <w:szCs w:val="20"/>
                <w:color w:val="auto"/>
              </w:rPr>
            </w:pPr>
            <w:r>
              <w:rPr>
                <w:rFonts w:ascii="Arial" w:cs="Arial" w:eastAsia="Arial" w:hAnsi="Arial"/>
                <w:sz w:val="17"/>
                <w:szCs w:val="17"/>
                <w:color w:val="auto"/>
              </w:rPr>
              <w:t>5,000,000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2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Expiration date</w:t>
            </w: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June 30, 2019</w:t>
            </w: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56"/>
              <w:spacing w:after="0"/>
              <w:rPr>
                <w:sz w:val="20"/>
                <w:szCs w:val="20"/>
                <w:color w:val="auto"/>
              </w:rPr>
            </w:pPr>
            <w:r>
              <w:rPr>
                <w:rFonts w:ascii="Arial" w:cs="Arial" w:eastAsia="Arial" w:hAnsi="Arial"/>
                <w:sz w:val="17"/>
                <w:szCs w:val="17"/>
                <w:color w:val="auto"/>
              </w:rPr>
              <w:t>June 30, 2018</w:t>
            </w: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June 30, 2017</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6620" w:type="dxa"/>
            <w:vAlign w:val="bottom"/>
            <w:gridSpan w:val="4"/>
            <w:shd w:val="clear" w:color="auto" w:fill="CCEEFF"/>
          </w:tcPr>
          <w:p>
            <w:pPr>
              <w:spacing w:after="0" w:line="170" w:lineRule="exact"/>
              <w:rPr>
                <w:sz w:val="20"/>
                <w:szCs w:val="20"/>
                <w:color w:val="auto"/>
              </w:rPr>
            </w:pPr>
            <w:r>
              <w:rPr>
                <w:rFonts w:ascii="Arial" w:cs="Arial" w:eastAsia="Arial" w:hAnsi="Arial"/>
                <w:sz w:val="17"/>
                <w:szCs w:val="17"/>
                <w:color w:val="auto"/>
              </w:rPr>
              <w:t>Catastrophe Reinsurance:</w:t>
            </w:r>
          </w:p>
        </w:tc>
        <w:tc>
          <w:tcPr>
            <w:tcW w:w="30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0" w:type="dxa"/>
            <w:vAlign w:val="bottom"/>
            <w:shd w:val="clear" w:color="auto" w:fill="000000"/>
          </w:tcPr>
          <w:p>
            <w:pPr>
              <w:spacing w:after="0"/>
              <w:rPr>
                <w:sz w:val="3"/>
                <w:szCs w:val="3"/>
                <w:color w:val="auto"/>
              </w:rPr>
            </w:pPr>
          </w:p>
        </w:tc>
        <w:tc>
          <w:tcPr>
            <w:tcW w:w="240" w:type="dxa"/>
            <w:vAlign w:val="bottom"/>
            <w:shd w:val="clear" w:color="auto" w:fill="000000"/>
          </w:tcPr>
          <w:p>
            <w:pPr>
              <w:spacing w:after="0"/>
              <w:rPr>
                <w:sz w:val="3"/>
                <w:szCs w:val="3"/>
                <w:color w:val="auto"/>
              </w:rPr>
            </w:pPr>
          </w:p>
        </w:tc>
        <w:tc>
          <w:tcPr>
            <w:tcW w:w="440" w:type="dxa"/>
            <w:vAlign w:val="bottom"/>
            <w:shd w:val="clear" w:color="auto" w:fill="000000"/>
          </w:tcPr>
          <w:p>
            <w:pPr>
              <w:spacing w:after="0"/>
              <w:rPr>
                <w:sz w:val="3"/>
                <w:szCs w:val="3"/>
                <w:color w:val="auto"/>
              </w:rPr>
            </w:pPr>
          </w:p>
        </w:tc>
        <w:tc>
          <w:tcPr>
            <w:tcW w:w="494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36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38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28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620" w:type="dxa"/>
            <w:vAlign w:val="bottom"/>
            <w:gridSpan w:val="4"/>
          </w:tcPr>
          <w:p>
            <w:pPr>
              <w:ind w:left="140"/>
              <w:spacing w:after="0"/>
              <w:rPr>
                <w:sz w:val="20"/>
                <w:szCs w:val="20"/>
                <w:color w:val="auto"/>
              </w:rPr>
            </w:pPr>
            <w:r>
              <w:rPr>
                <w:rFonts w:ascii="Arial" w:cs="Arial" w:eastAsia="Arial" w:hAnsi="Arial"/>
                <w:sz w:val="17"/>
                <w:szCs w:val="17"/>
                <w:color w:val="auto"/>
              </w:rPr>
              <w:t>Initial loss subject to personal lines quota share treaty</w:t>
            </w:r>
          </w:p>
        </w:tc>
        <w:tc>
          <w:tcPr>
            <w:tcW w:w="300" w:type="dxa"/>
            <w:vAlign w:val="bottom"/>
          </w:tcPr>
          <w:p>
            <w:pPr>
              <w:jc w:val="right"/>
              <w:spacing w:after="0"/>
              <w:rPr>
                <w:sz w:val="20"/>
                <w:szCs w:val="20"/>
                <w:color w:val="auto"/>
              </w:rPr>
            </w:pPr>
            <w:r>
              <w:rPr>
                <w:rFonts w:ascii="Arial" w:cs="Arial" w:eastAsia="Arial" w:hAnsi="Arial"/>
                <w:sz w:val="17"/>
                <w:szCs w:val="17"/>
                <w:color w:val="auto"/>
              </w:rPr>
              <w:t>$</w:t>
            </w:r>
          </w:p>
        </w:tc>
        <w:tc>
          <w:tcPr>
            <w:tcW w:w="1360" w:type="dxa"/>
            <w:vAlign w:val="bottom"/>
          </w:tcPr>
          <w:p>
            <w:pPr>
              <w:jc w:val="right"/>
              <w:ind w:right="136"/>
              <w:spacing w:after="0"/>
              <w:rPr>
                <w:sz w:val="20"/>
                <w:szCs w:val="20"/>
                <w:color w:val="auto"/>
              </w:rPr>
            </w:pPr>
            <w:r>
              <w:rPr>
                <w:rFonts w:ascii="Arial" w:cs="Arial" w:eastAsia="Arial" w:hAnsi="Arial"/>
                <w:sz w:val="17"/>
                <w:szCs w:val="17"/>
                <w:color w:val="auto"/>
              </w:rPr>
              <w:t>5,000,000</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1380" w:type="dxa"/>
            <w:vAlign w:val="bottom"/>
          </w:tcPr>
          <w:p>
            <w:pPr>
              <w:jc w:val="right"/>
              <w:ind w:right="156"/>
              <w:spacing w:after="0"/>
              <w:rPr>
                <w:sz w:val="20"/>
                <w:szCs w:val="20"/>
                <w:color w:val="auto"/>
              </w:rPr>
            </w:pPr>
            <w:r>
              <w:rPr>
                <w:rFonts w:ascii="Arial" w:cs="Arial" w:eastAsia="Arial" w:hAnsi="Arial"/>
                <w:sz w:val="17"/>
                <w:szCs w:val="17"/>
                <w:color w:val="auto"/>
              </w:rPr>
              <w:t>5,000,000</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1280" w:type="dxa"/>
            <w:vAlign w:val="bottom"/>
          </w:tcPr>
          <w:p>
            <w:pPr>
              <w:jc w:val="right"/>
              <w:ind w:right="76"/>
              <w:spacing w:after="0"/>
              <w:rPr>
                <w:sz w:val="20"/>
                <w:szCs w:val="20"/>
                <w:color w:val="auto"/>
              </w:rPr>
            </w:pPr>
            <w:r>
              <w:rPr>
                <w:rFonts w:ascii="Arial" w:cs="Arial" w:eastAsia="Arial" w:hAnsi="Arial"/>
                <w:sz w:val="17"/>
                <w:szCs w:val="17"/>
                <w:color w:val="auto"/>
              </w:rPr>
              <w:t>5,000,000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20" w:type="dxa"/>
            <w:vAlign w:val="bottom"/>
            <w:gridSpan w:val="4"/>
            <w:shd w:val="clear" w:color="auto" w:fill="CCEEFF"/>
          </w:tcPr>
          <w:p>
            <w:pPr>
              <w:ind w:left="300"/>
              <w:spacing w:after="0"/>
              <w:rPr>
                <w:sz w:val="20"/>
                <w:szCs w:val="20"/>
                <w:color w:val="auto"/>
              </w:rPr>
            </w:pPr>
            <w:r>
              <w:rPr>
                <w:rFonts w:ascii="Arial" w:cs="Arial" w:eastAsia="Arial" w:hAnsi="Arial"/>
                <w:sz w:val="17"/>
                <w:szCs w:val="17"/>
                <w:color w:val="auto"/>
              </w:rPr>
              <w:t>Risk retained per catastrophe occurrence (2)</w:t>
            </w: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4,500,000</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80" w:type="dxa"/>
            <w:vAlign w:val="bottom"/>
            <w:shd w:val="clear" w:color="auto" w:fill="CCEEFF"/>
          </w:tcPr>
          <w:p>
            <w:pPr>
              <w:jc w:val="right"/>
              <w:ind w:right="156"/>
              <w:spacing w:after="0"/>
              <w:rPr>
                <w:sz w:val="20"/>
                <w:szCs w:val="20"/>
                <w:color w:val="auto"/>
              </w:rPr>
            </w:pPr>
            <w:r>
              <w:rPr>
                <w:rFonts w:ascii="Arial" w:cs="Arial" w:eastAsia="Arial" w:hAnsi="Arial"/>
                <w:sz w:val="17"/>
                <w:szCs w:val="17"/>
                <w:color w:val="auto"/>
              </w:rPr>
              <w:t>4,000,000</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3,000,000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20" w:type="dxa"/>
            <w:vAlign w:val="bottom"/>
            <w:gridSpan w:val="4"/>
          </w:tcPr>
          <w:p>
            <w:pPr>
              <w:ind w:left="300"/>
              <w:spacing w:after="0"/>
              <w:rPr>
                <w:sz w:val="20"/>
                <w:szCs w:val="20"/>
                <w:color w:val="auto"/>
              </w:rPr>
            </w:pPr>
            <w:r>
              <w:rPr>
                <w:rFonts w:ascii="Arial" w:cs="Arial" w:eastAsia="Arial" w:hAnsi="Arial"/>
                <w:sz w:val="17"/>
                <w:szCs w:val="17"/>
                <w:color w:val="auto"/>
              </w:rPr>
              <w:t>Catastrophe loss coverage in excess of quota share coverage (3) (4)</w:t>
            </w:r>
          </w:p>
        </w:tc>
        <w:tc>
          <w:tcPr>
            <w:tcW w:w="300" w:type="dxa"/>
            <w:vAlign w:val="bottom"/>
          </w:tcPr>
          <w:p>
            <w:pPr>
              <w:jc w:val="right"/>
              <w:spacing w:after="0"/>
              <w:rPr>
                <w:sz w:val="20"/>
                <w:szCs w:val="20"/>
                <w:color w:val="auto"/>
              </w:rPr>
            </w:pPr>
            <w:r>
              <w:rPr>
                <w:rFonts w:ascii="Arial" w:cs="Arial" w:eastAsia="Arial" w:hAnsi="Arial"/>
                <w:sz w:val="17"/>
                <w:szCs w:val="17"/>
                <w:color w:val="auto"/>
              </w:rPr>
              <w:t>$</w:t>
            </w:r>
          </w:p>
        </w:tc>
        <w:tc>
          <w:tcPr>
            <w:tcW w:w="1360" w:type="dxa"/>
            <w:vAlign w:val="bottom"/>
          </w:tcPr>
          <w:p>
            <w:pPr>
              <w:jc w:val="right"/>
              <w:ind w:right="136"/>
              <w:spacing w:after="0"/>
              <w:rPr>
                <w:sz w:val="20"/>
                <w:szCs w:val="20"/>
                <w:color w:val="auto"/>
              </w:rPr>
            </w:pPr>
            <w:r>
              <w:rPr>
                <w:rFonts w:ascii="Arial" w:cs="Arial" w:eastAsia="Arial" w:hAnsi="Arial"/>
                <w:sz w:val="17"/>
                <w:szCs w:val="17"/>
                <w:color w:val="auto"/>
              </w:rPr>
              <w:t>445,000,000</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1380" w:type="dxa"/>
            <w:vAlign w:val="bottom"/>
          </w:tcPr>
          <w:p>
            <w:pPr>
              <w:jc w:val="right"/>
              <w:ind w:right="156"/>
              <w:spacing w:after="0"/>
              <w:rPr>
                <w:sz w:val="20"/>
                <w:szCs w:val="20"/>
                <w:color w:val="auto"/>
              </w:rPr>
            </w:pPr>
            <w:r>
              <w:rPr>
                <w:rFonts w:ascii="Arial" w:cs="Arial" w:eastAsia="Arial" w:hAnsi="Arial"/>
                <w:sz w:val="17"/>
                <w:szCs w:val="17"/>
                <w:color w:val="auto"/>
              </w:rPr>
              <w:t>315,000,000</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1280" w:type="dxa"/>
            <w:vAlign w:val="bottom"/>
          </w:tcPr>
          <w:p>
            <w:pPr>
              <w:jc w:val="right"/>
              <w:ind w:right="76"/>
              <w:spacing w:after="0"/>
              <w:rPr>
                <w:sz w:val="20"/>
                <w:szCs w:val="20"/>
                <w:color w:val="auto"/>
              </w:rPr>
            </w:pPr>
            <w:r>
              <w:rPr>
                <w:rFonts w:ascii="Arial" w:cs="Arial" w:eastAsia="Arial" w:hAnsi="Arial"/>
                <w:sz w:val="17"/>
                <w:szCs w:val="17"/>
                <w:color w:val="auto"/>
              </w:rPr>
              <w:t>247,000,000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20" w:type="dxa"/>
            <w:vAlign w:val="bottom"/>
            <w:gridSpan w:val="4"/>
            <w:shd w:val="clear" w:color="auto" w:fill="CCEEFF"/>
          </w:tcPr>
          <w:p>
            <w:pPr>
              <w:ind w:left="300"/>
              <w:spacing w:after="0"/>
              <w:rPr>
                <w:sz w:val="20"/>
                <w:szCs w:val="20"/>
                <w:color w:val="auto"/>
              </w:rPr>
            </w:pPr>
            <w:r>
              <w:rPr>
                <w:rFonts w:ascii="Arial" w:cs="Arial" w:eastAsia="Arial" w:hAnsi="Arial"/>
                <w:sz w:val="17"/>
                <w:szCs w:val="17"/>
                <w:color w:val="auto"/>
              </w:rPr>
              <w:t>Reinstatement premium protection (5)</w:t>
            </w: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Yes</w:t>
            </w: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56"/>
              <w:spacing w:after="0"/>
              <w:rPr>
                <w:sz w:val="20"/>
                <w:szCs w:val="20"/>
                <w:color w:val="auto"/>
              </w:rPr>
            </w:pPr>
            <w:r>
              <w:rPr>
                <w:rFonts w:ascii="Arial" w:cs="Arial" w:eastAsia="Arial" w:hAnsi="Arial"/>
                <w:sz w:val="17"/>
                <w:szCs w:val="17"/>
                <w:color w:val="auto"/>
              </w:rPr>
              <w:t>Yes</w:t>
            </w: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Yes</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320" w:hanging="315"/>
        <w:spacing w:after="0" w:line="260" w:lineRule="auto"/>
        <w:tabs>
          <w:tab w:leader="none" w:pos="320" w:val="left"/>
        </w:tabs>
        <w:numPr>
          <w:ilvl w:val="0"/>
          <w:numId w:val="8"/>
        </w:numPr>
        <w:rPr>
          <w:rFonts w:ascii="Arial" w:cs="Arial" w:eastAsia="Arial" w:hAnsi="Arial"/>
          <w:sz w:val="17"/>
          <w:szCs w:val="17"/>
          <w:color w:val="auto"/>
        </w:rPr>
      </w:pPr>
      <w:r>
        <w:rPr>
          <w:rFonts w:ascii="Arial" w:cs="Arial" w:eastAsia="Arial" w:hAnsi="Arial"/>
          <w:sz w:val="17"/>
          <w:szCs w:val="17"/>
          <w:color w:val="auto"/>
        </w:rPr>
        <w:t>For personal lines, the 2017/2019 Treaty includes the addition of an automatic facultative facility allowing KICO to obtain homeowners single risk coverage up to $10,000,000 in total insured value, which covers direct losses from $3,500,000 to $10,000,000.</w:t>
      </w:r>
    </w:p>
    <w:p>
      <w:pPr>
        <w:spacing w:after="0" w:line="1" w:lineRule="exact"/>
        <w:rPr>
          <w:rFonts w:ascii="Arial" w:cs="Arial" w:eastAsia="Arial" w:hAnsi="Arial"/>
          <w:sz w:val="17"/>
          <w:szCs w:val="17"/>
          <w:color w:val="auto"/>
        </w:rPr>
      </w:pPr>
    </w:p>
    <w:p>
      <w:pPr>
        <w:ind w:left="320" w:hanging="315"/>
        <w:spacing w:after="0"/>
        <w:tabs>
          <w:tab w:leader="none" w:pos="320" w:val="left"/>
        </w:tabs>
        <w:numPr>
          <w:ilvl w:val="0"/>
          <w:numId w:val="8"/>
        </w:numPr>
        <w:rPr>
          <w:rFonts w:ascii="Arial" w:cs="Arial" w:eastAsia="Arial" w:hAnsi="Arial"/>
          <w:sz w:val="17"/>
          <w:szCs w:val="17"/>
          <w:color w:val="auto"/>
        </w:rPr>
      </w:pPr>
      <w:r>
        <w:rPr>
          <w:rFonts w:ascii="Arial" w:cs="Arial" w:eastAsia="Arial" w:hAnsi="Arial"/>
          <w:sz w:val="17"/>
          <w:szCs w:val="17"/>
          <w:color w:val="auto"/>
        </w:rPr>
        <w:t>Plus losses in excess of catastrophe coverage.</w:t>
      </w:r>
    </w:p>
    <w:p>
      <w:pPr>
        <w:spacing w:after="0" w:line="13" w:lineRule="exact"/>
        <w:rPr>
          <w:rFonts w:ascii="Arial" w:cs="Arial" w:eastAsia="Arial" w:hAnsi="Arial"/>
          <w:sz w:val="17"/>
          <w:szCs w:val="17"/>
          <w:color w:val="auto"/>
        </w:rPr>
      </w:pPr>
    </w:p>
    <w:p>
      <w:pPr>
        <w:ind w:left="320" w:hanging="315"/>
        <w:spacing w:after="0" w:line="256" w:lineRule="auto"/>
        <w:tabs>
          <w:tab w:leader="none" w:pos="320" w:val="left"/>
        </w:tabs>
        <w:numPr>
          <w:ilvl w:val="0"/>
          <w:numId w:val="8"/>
        </w:numPr>
        <w:rPr>
          <w:rFonts w:ascii="Arial" w:cs="Arial" w:eastAsia="Arial" w:hAnsi="Arial"/>
          <w:sz w:val="17"/>
          <w:szCs w:val="17"/>
          <w:color w:val="auto"/>
        </w:rPr>
      </w:pPr>
      <w:r>
        <w:rPr>
          <w:rFonts w:ascii="Arial" w:cs="Arial" w:eastAsia="Arial" w:hAnsi="Arial"/>
          <w:sz w:val="17"/>
          <w:szCs w:val="17"/>
          <w:color w:val="auto"/>
        </w:rPr>
        <w:t>Catastrophe coverage is limited on an annual basis to two times the per occurrence amounts. Effective July 1, 2016, the duration of a catastrophe occurrence from windstorm, hail, tornado, hurricane and cyclone was extended to 168 consecutive hours from 120 consecutive hours.</w:t>
      </w:r>
    </w:p>
    <w:p>
      <w:pPr>
        <w:spacing w:after="0" w:line="1" w:lineRule="exact"/>
        <w:rPr>
          <w:rFonts w:ascii="Arial" w:cs="Arial" w:eastAsia="Arial" w:hAnsi="Arial"/>
          <w:sz w:val="17"/>
          <w:szCs w:val="17"/>
          <w:color w:val="auto"/>
        </w:rPr>
      </w:pPr>
    </w:p>
    <w:p>
      <w:pPr>
        <w:ind w:left="320" w:hanging="315"/>
        <w:spacing w:after="0"/>
        <w:tabs>
          <w:tab w:leader="none" w:pos="320" w:val="left"/>
        </w:tabs>
        <w:numPr>
          <w:ilvl w:val="0"/>
          <w:numId w:val="8"/>
        </w:numPr>
        <w:rPr>
          <w:rFonts w:ascii="Arial" w:cs="Arial" w:eastAsia="Arial" w:hAnsi="Arial"/>
          <w:sz w:val="17"/>
          <w:szCs w:val="17"/>
          <w:color w:val="auto"/>
        </w:rPr>
      </w:pPr>
      <w:r>
        <w:rPr>
          <w:rFonts w:ascii="Arial" w:cs="Arial" w:eastAsia="Arial" w:hAnsi="Arial"/>
          <w:sz w:val="17"/>
          <w:szCs w:val="17"/>
          <w:color w:val="auto"/>
        </w:rPr>
        <w:t>Effective July 1, 2018, the top $50,000,000 layer of catastrophe reinsurance coverage has a two-year term expiring on June 30, 2020.</w:t>
      </w:r>
    </w:p>
    <w:p>
      <w:pPr>
        <w:spacing w:after="0" w:line="13" w:lineRule="exact"/>
        <w:rPr>
          <w:rFonts w:ascii="Arial" w:cs="Arial" w:eastAsia="Arial" w:hAnsi="Arial"/>
          <w:sz w:val="17"/>
          <w:szCs w:val="17"/>
          <w:color w:val="auto"/>
        </w:rPr>
      </w:pPr>
    </w:p>
    <w:p>
      <w:pPr>
        <w:ind w:left="320" w:right="2640" w:hanging="315"/>
        <w:spacing w:after="0" w:line="316" w:lineRule="auto"/>
        <w:tabs>
          <w:tab w:leader="none" w:pos="320" w:val="left"/>
        </w:tabs>
        <w:numPr>
          <w:ilvl w:val="0"/>
          <w:numId w:val="8"/>
        </w:numPr>
        <w:rPr>
          <w:rFonts w:ascii="Arial" w:cs="Arial" w:eastAsia="Arial" w:hAnsi="Arial"/>
          <w:sz w:val="15"/>
          <w:szCs w:val="15"/>
          <w:color w:val="auto"/>
        </w:rPr>
      </w:pPr>
      <w:r>
        <w:rPr>
          <w:rFonts w:ascii="Arial" w:cs="Arial" w:eastAsia="Arial" w:hAnsi="Arial"/>
          <w:sz w:val="15"/>
          <w:szCs w:val="15"/>
          <w:color w:val="auto"/>
        </w:rPr>
        <w:t>Effective July 1, 2016, reinstatement premium protection for $20,000,000 of catastrophe coverage in excess of $5,000,000. Effective July 1, 2017, reinstatement premium protection for $145,000,000 of catastrophe coverage in excess of $5,000,000. Effective July 1, 2018, reinstatement premium protection for $210,000,000 of catastrophe coverage in excess of $5,000,000.</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25106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ectPr>
          <w:pgSz w:w="11900" w:h="16838" w:orient="portrait"/>
          <w:cols w:equalWidth="0" w:num="1">
            <w:col w:w="11420"/>
          </w:cols>
          <w:pgMar w:left="240" w:top="497" w:right="239" w:bottom="1440" w:gutter="0" w:footer="0" w:header="0"/>
        </w:sectPr>
      </w:pPr>
    </w:p>
    <w:bookmarkStart w:id="28" w:name="page29"/>
    <w:bookmarkEnd w:id="28"/>
    <w:p>
      <w:pPr>
        <w:spacing w:after="0"/>
        <w:rPr>
          <w:sz w:val="20"/>
          <w:szCs w:val="20"/>
          <w:color w:val="auto"/>
        </w:rPr>
      </w:pPr>
      <w:r>
        <w:rPr>
          <w:rFonts w:ascii="Arial" w:cs="Arial" w:eastAsia="Arial" w:hAnsi="Arial"/>
          <w:sz w:val="17"/>
          <w:szCs w:val="17"/>
          <w:color w:val="auto"/>
        </w:rPr>
        <w:t>The single maximum risks per occurrence to which the Company is subject under the treaties effective July 1, 2018 are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41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9"/>
              </w:rPr>
              <w:t>Treaty</w:t>
            </w:r>
          </w:p>
        </w:tc>
        <w:tc>
          <w:tcPr>
            <w:tcW w:w="160" w:type="dxa"/>
            <w:vAlign w:val="bottom"/>
            <w:vMerge w:val="restart"/>
          </w:tcPr>
          <w:p>
            <w:pPr>
              <w:spacing w:after="0"/>
              <w:rPr>
                <w:sz w:val="15"/>
                <w:szCs w:val="15"/>
                <w:color w:val="auto"/>
              </w:rPr>
            </w:pPr>
          </w:p>
        </w:tc>
        <w:tc>
          <w:tcPr>
            <w:tcW w:w="4780" w:type="dxa"/>
            <w:vAlign w:val="bottom"/>
            <w:tcBorders>
              <w:bottom w:val="single" w:sz="8" w:color="auto"/>
            </w:tcBorders>
            <w:gridSpan w:val="3"/>
          </w:tcPr>
          <w:p>
            <w:pPr>
              <w:ind w:left="2700"/>
              <w:spacing w:after="0"/>
              <w:rPr>
                <w:sz w:val="20"/>
                <w:szCs w:val="20"/>
                <w:color w:val="auto"/>
              </w:rPr>
            </w:pPr>
            <w:r>
              <w:rPr>
                <w:rFonts w:ascii="Arial" w:cs="Arial" w:eastAsia="Arial" w:hAnsi="Arial"/>
                <w:sz w:val="14"/>
                <w:szCs w:val="14"/>
                <w:b w:val="1"/>
                <w:bCs w:val="1"/>
                <w:color w:val="auto"/>
              </w:rPr>
              <w:t>July 1, 2018 - June 30, 2019</w:t>
            </w:r>
          </w:p>
        </w:tc>
        <w:tc>
          <w:tcPr>
            <w:tcW w:w="17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4180" w:type="dxa"/>
            <w:vAlign w:val="bottom"/>
            <w:tcBorders>
              <w:bottom w:val="single" w:sz="8" w:color="auto"/>
            </w:tcBorders>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4160" w:type="dxa"/>
            <w:vAlign w:val="bottom"/>
            <w:tcBorders>
              <w:bottom w:val="single" w:sz="8" w:color="auto"/>
            </w:tcBorders>
          </w:tcPr>
          <w:p>
            <w:pPr>
              <w:jc w:val="center"/>
              <w:spacing w:after="0" w:line="157" w:lineRule="exact"/>
              <w:rPr>
                <w:sz w:val="20"/>
                <w:szCs w:val="20"/>
                <w:color w:val="auto"/>
              </w:rPr>
            </w:pPr>
            <w:r>
              <w:rPr>
                <w:rFonts w:ascii="Arial" w:cs="Arial" w:eastAsia="Arial" w:hAnsi="Arial"/>
                <w:sz w:val="14"/>
                <w:szCs w:val="14"/>
                <w:b w:val="1"/>
                <w:bCs w:val="1"/>
                <w:color w:val="auto"/>
                <w:w w:val="91"/>
              </w:rPr>
              <w:t>Extent of Loss</w:t>
            </w:r>
          </w:p>
        </w:tc>
        <w:tc>
          <w:tcPr>
            <w:tcW w:w="16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tcPr>
          <w:p>
            <w:pPr>
              <w:ind w:left="500"/>
              <w:spacing w:after="0" w:line="157" w:lineRule="exact"/>
              <w:rPr>
                <w:sz w:val="20"/>
                <w:szCs w:val="20"/>
                <w:color w:val="auto"/>
              </w:rPr>
            </w:pPr>
            <w:r>
              <w:rPr>
                <w:rFonts w:ascii="Arial" w:cs="Arial" w:eastAsia="Arial" w:hAnsi="Arial"/>
                <w:sz w:val="14"/>
                <w:szCs w:val="14"/>
                <w:b w:val="1"/>
                <w:bCs w:val="1"/>
                <w:color w:val="auto"/>
              </w:rPr>
              <w:t>Risk Retained</w:t>
            </w:r>
          </w:p>
        </w:tc>
        <w:tc>
          <w:tcPr>
            <w:tcW w:w="5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340" w:type="dxa"/>
            <w:vAlign w:val="bottom"/>
            <w:gridSpan w:val="2"/>
            <w:shd w:val="clear" w:color="auto" w:fill="CCEEFF"/>
          </w:tcPr>
          <w:p>
            <w:pPr>
              <w:jc w:val="center"/>
              <w:ind w:right="160"/>
              <w:spacing w:after="0"/>
              <w:rPr>
                <w:sz w:val="20"/>
                <w:szCs w:val="20"/>
                <w:color w:val="auto"/>
              </w:rPr>
            </w:pPr>
            <w:r>
              <w:rPr>
                <w:rFonts w:ascii="Arial" w:cs="Arial" w:eastAsia="Arial" w:hAnsi="Arial"/>
                <w:sz w:val="17"/>
                <w:szCs w:val="17"/>
                <w:color w:val="auto"/>
                <w:w w:val="91"/>
              </w:rPr>
              <w:t>Personal Lines (1)</w:t>
            </w:r>
          </w:p>
        </w:tc>
        <w:tc>
          <w:tcPr>
            <w:tcW w:w="4780" w:type="dxa"/>
            <w:vAlign w:val="bottom"/>
            <w:gridSpan w:val="3"/>
            <w:shd w:val="clear" w:color="auto" w:fill="CCEEFF"/>
          </w:tcPr>
          <w:p>
            <w:pPr>
              <w:jc w:val="center"/>
              <w:ind w:right="580"/>
              <w:spacing w:after="0"/>
              <w:rPr>
                <w:sz w:val="20"/>
                <w:szCs w:val="20"/>
                <w:color w:val="auto"/>
              </w:rPr>
            </w:pPr>
            <w:r>
              <w:rPr>
                <w:rFonts w:ascii="Arial" w:cs="Arial" w:eastAsia="Arial" w:hAnsi="Arial"/>
                <w:sz w:val="17"/>
                <w:szCs w:val="17"/>
                <w:color w:val="auto"/>
                <w:w w:val="92"/>
              </w:rPr>
              <w:t>Initial $1,000,000</w:t>
            </w:r>
          </w:p>
        </w:tc>
        <w:tc>
          <w:tcPr>
            <w:tcW w:w="1720" w:type="dxa"/>
            <w:vAlign w:val="bottom"/>
            <w:shd w:val="clear" w:color="auto" w:fill="CCEEFF"/>
          </w:tcPr>
          <w:p>
            <w:pPr>
              <w:jc w:val="center"/>
              <w:ind w:right="76"/>
              <w:spacing w:after="0"/>
              <w:rPr>
                <w:sz w:val="20"/>
                <w:szCs w:val="20"/>
                <w:color w:val="auto"/>
              </w:rPr>
            </w:pPr>
            <w:r>
              <w:rPr>
                <w:rFonts w:ascii="Arial" w:cs="Arial" w:eastAsia="Arial" w:hAnsi="Arial"/>
                <w:sz w:val="17"/>
                <w:szCs w:val="17"/>
                <w:color w:val="auto"/>
                <w:w w:val="90"/>
              </w:rPr>
              <w:t>$900,000</w:t>
            </w: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160" w:type="dxa"/>
            <w:vAlign w:val="bottom"/>
          </w:tcPr>
          <w:p>
            <w:pPr>
              <w:jc w:val="center"/>
              <w:spacing w:after="0"/>
              <w:rPr>
                <w:sz w:val="20"/>
                <w:szCs w:val="20"/>
                <w:color w:val="auto"/>
              </w:rPr>
            </w:pPr>
            <w:r>
              <w:rPr>
                <w:rFonts w:ascii="Arial" w:cs="Arial" w:eastAsia="Arial" w:hAnsi="Arial"/>
                <w:sz w:val="17"/>
                <w:szCs w:val="17"/>
                <w:color w:val="auto"/>
                <w:w w:val="90"/>
              </w:rPr>
              <w:t>$1,000,000 - $10,000,000</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720" w:type="dxa"/>
            <w:vAlign w:val="bottom"/>
          </w:tcPr>
          <w:p>
            <w:pPr>
              <w:ind w:left="620"/>
              <w:spacing w:after="0"/>
              <w:rPr>
                <w:sz w:val="20"/>
                <w:szCs w:val="20"/>
                <w:color w:val="auto"/>
              </w:rPr>
            </w:pPr>
            <w:r>
              <w:rPr>
                <w:rFonts w:ascii="Arial" w:cs="Arial" w:eastAsia="Arial" w:hAnsi="Arial"/>
                <w:sz w:val="17"/>
                <w:szCs w:val="17"/>
                <w:color w:val="auto"/>
              </w:rPr>
              <w:t>None</w:t>
            </w:r>
          </w:p>
        </w:tc>
        <w:tc>
          <w:tcPr>
            <w:tcW w:w="580" w:type="dxa"/>
            <w:vAlign w:val="bottom"/>
          </w:tcPr>
          <w:p>
            <w:pPr>
              <w:jc w:val="right"/>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09"/>
        </w:trPr>
        <w:tc>
          <w:tcPr>
            <w:tcW w:w="4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780" w:type="dxa"/>
            <w:vAlign w:val="bottom"/>
            <w:gridSpan w:val="3"/>
            <w:shd w:val="clear" w:color="auto" w:fill="CCEEFF"/>
          </w:tcPr>
          <w:p>
            <w:pPr>
              <w:jc w:val="center"/>
              <w:ind w:right="580"/>
              <w:spacing w:after="0"/>
              <w:rPr>
                <w:sz w:val="20"/>
                <w:szCs w:val="20"/>
                <w:color w:val="auto"/>
              </w:rPr>
            </w:pPr>
            <w:r>
              <w:rPr>
                <w:rFonts w:ascii="Arial" w:cs="Arial" w:eastAsia="Arial" w:hAnsi="Arial"/>
                <w:sz w:val="17"/>
                <w:szCs w:val="17"/>
                <w:color w:val="auto"/>
                <w:w w:val="91"/>
              </w:rPr>
              <w:t>Over $10,000,000</w:t>
            </w:r>
          </w:p>
        </w:tc>
        <w:tc>
          <w:tcPr>
            <w:tcW w:w="1720" w:type="dxa"/>
            <w:vAlign w:val="bottom"/>
            <w:shd w:val="clear" w:color="auto" w:fill="CCEEFF"/>
          </w:tcPr>
          <w:p>
            <w:pPr>
              <w:jc w:val="center"/>
              <w:ind w:right="76"/>
              <w:spacing w:after="0"/>
              <w:rPr>
                <w:sz w:val="20"/>
                <w:szCs w:val="20"/>
                <w:color w:val="auto"/>
              </w:rPr>
            </w:pPr>
            <w:r>
              <w:rPr>
                <w:rFonts w:ascii="Arial" w:cs="Arial" w:eastAsia="Arial" w:hAnsi="Arial"/>
                <w:sz w:val="17"/>
                <w:szCs w:val="17"/>
                <w:color w:val="auto"/>
                <w:w w:val="91"/>
              </w:rPr>
              <w:t>100%</w:t>
            </w: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340" w:type="dxa"/>
            <w:vAlign w:val="bottom"/>
            <w:gridSpan w:val="2"/>
            <w:shd w:val="clear" w:color="auto" w:fill="CCEEFF"/>
          </w:tcPr>
          <w:p>
            <w:pPr>
              <w:jc w:val="center"/>
              <w:ind w:right="160"/>
              <w:spacing w:after="0"/>
              <w:rPr>
                <w:sz w:val="20"/>
                <w:szCs w:val="20"/>
                <w:color w:val="auto"/>
              </w:rPr>
            </w:pPr>
            <w:r>
              <w:rPr>
                <w:rFonts w:ascii="Arial" w:cs="Arial" w:eastAsia="Arial" w:hAnsi="Arial"/>
                <w:sz w:val="17"/>
                <w:szCs w:val="17"/>
                <w:color w:val="auto"/>
                <w:w w:val="90"/>
              </w:rPr>
              <w:t>Personal Umbrella</w:t>
            </w:r>
          </w:p>
        </w:tc>
        <w:tc>
          <w:tcPr>
            <w:tcW w:w="4780" w:type="dxa"/>
            <w:vAlign w:val="bottom"/>
            <w:gridSpan w:val="3"/>
            <w:shd w:val="clear" w:color="auto" w:fill="CCEEFF"/>
          </w:tcPr>
          <w:p>
            <w:pPr>
              <w:jc w:val="center"/>
              <w:ind w:right="580"/>
              <w:spacing w:after="0"/>
              <w:rPr>
                <w:sz w:val="20"/>
                <w:szCs w:val="20"/>
                <w:color w:val="auto"/>
              </w:rPr>
            </w:pPr>
            <w:r>
              <w:rPr>
                <w:rFonts w:ascii="Arial" w:cs="Arial" w:eastAsia="Arial" w:hAnsi="Arial"/>
                <w:sz w:val="17"/>
                <w:szCs w:val="17"/>
                <w:color w:val="auto"/>
                <w:w w:val="92"/>
              </w:rPr>
              <w:t>Initial $1,000,000</w:t>
            </w:r>
          </w:p>
        </w:tc>
        <w:tc>
          <w:tcPr>
            <w:tcW w:w="1720" w:type="dxa"/>
            <w:vAlign w:val="bottom"/>
            <w:shd w:val="clear" w:color="auto" w:fill="CCEEFF"/>
          </w:tcPr>
          <w:p>
            <w:pPr>
              <w:jc w:val="center"/>
              <w:ind w:right="76"/>
              <w:spacing w:after="0"/>
              <w:rPr>
                <w:sz w:val="20"/>
                <w:szCs w:val="20"/>
                <w:color w:val="auto"/>
              </w:rPr>
            </w:pPr>
            <w:r>
              <w:rPr>
                <w:rFonts w:ascii="Arial" w:cs="Arial" w:eastAsia="Arial" w:hAnsi="Arial"/>
                <w:sz w:val="17"/>
                <w:szCs w:val="17"/>
                <w:color w:val="auto"/>
                <w:w w:val="90"/>
              </w:rPr>
              <w:t>$100,000</w:t>
            </w: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160" w:type="dxa"/>
            <w:vAlign w:val="bottom"/>
          </w:tcPr>
          <w:p>
            <w:pPr>
              <w:jc w:val="center"/>
              <w:spacing w:after="0"/>
              <w:rPr>
                <w:sz w:val="20"/>
                <w:szCs w:val="20"/>
                <w:color w:val="auto"/>
              </w:rPr>
            </w:pPr>
            <w:r>
              <w:rPr>
                <w:rFonts w:ascii="Arial" w:cs="Arial" w:eastAsia="Arial" w:hAnsi="Arial"/>
                <w:sz w:val="17"/>
                <w:szCs w:val="17"/>
                <w:color w:val="auto"/>
                <w:w w:val="90"/>
              </w:rPr>
              <w:t>$1,000,000 - $5,000,000</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720" w:type="dxa"/>
            <w:vAlign w:val="bottom"/>
          </w:tcPr>
          <w:p>
            <w:pPr>
              <w:ind w:left="620"/>
              <w:spacing w:after="0"/>
              <w:rPr>
                <w:sz w:val="20"/>
                <w:szCs w:val="20"/>
                <w:color w:val="auto"/>
              </w:rPr>
            </w:pPr>
            <w:r>
              <w:rPr>
                <w:rFonts w:ascii="Arial" w:cs="Arial" w:eastAsia="Arial" w:hAnsi="Arial"/>
                <w:sz w:val="17"/>
                <w:szCs w:val="17"/>
                <w:color w:val="auto"/>
              </w:rPr>
              <w:t>None</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780" w:type="dxa"/>
            <w:vAlign w:val="bottom"/>
            <w:gridSpan w:val="3"/>
            <w:shd w:val="clear" w:color="auto" w:fill="CCEEFF"/>
          </w:tcPr>
          <w:p>
            <w:pPr>
              <w:jc w:val="center"/>
              <w:ind w:right="580"/>
              <w:spacing w:after="0"/>
              <w:rPr>
                <w:sz w:val="20"/>
                <w:szCs w:val="20"/>
                <w:color w:val="auto"/>
              </w:rPr>
            </w:pPr>
            <w:r>
              <w:rPr>
                <w:rFonts w:ascii="Arial" w:cs="Arial" w:eastAsia="Arial" w:hAnsi="Arial"/>
                <w:sz w:val="17"/>
                <w:szCs w:val="17"/>
                <w:color w:val="auto"/>
                <w:w w:val="91"/>
              </w:rPr>
              <w:t>Over $5,000,000</w:t>
            </w:r>
          </w:p>
        </w:tc>
        <w:tc>
          <w:tcPr>
            <w:tcW w:w="1720" w:type="dxa"/>
            <w:vAlign w:val="bottom"/>
            <w:shd w:val="clear" w:color="auto" w:fill="CCEEFF"/>
          </w:tcPr>
          <w:p>
            <w:pPr>
              <w:jc w:val="center"/>
              <w:ind w:right="76"/>
              <w:spacing w:after="0"/>
              <w:rPr>
                <w:sz w:val="20"/>
                <w:szCs w:val="20"/>
                <w:color w:val="auto"/>
              </w:rPr>
            </w:pPr>
            <w:r>
              <w:rPr>
                <w:rFonts w:ascii="Arial" w:cs="Arial" w:eastAsia="Arial" w:hAnsi="Arial"/>
                <w:sz w:val="17"/>
                <w:szCs w:val="17"/>
                <w:color w:val="auto"/>
                <w:w w:val="91"/>
              </w:rPr>
              <w:t>100%</w:t>
            </w: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340" w:type="dxa"/>
            <w:vAlign w:val="bottom"/>
            <w:gridSpan w:val="2"/>
            <w:shd w:val="clear" w:color="auto" w:fill="CCEEFF"/>
          </w:tcPr>
          <w:p>
            <w:pPr>
              <w:jc w:val="center"/>
              <w:ind w:right="160"/>
              <w:spacing w:after="0"/>
              <w:rPr>
                <w:sz w:val="20"/>
                <w:szCs w:val="20"/>
                <w:color w:val="auto"/>
              </w:rPr>
            </w:pPr>
            <w:r>
              <w:rPr>
                <w:rFonts w:ascii="Arial" w:cs="Arial" w:eastAsia="Arial" w:hAnsi="Arial"/>
                <w:sz w:val="17"/>
                <w:szCs w:val="17"/>
                <w:color w:val="auto"/>
                <w:w w:val="92"/>
              </w:rPr>
              <w:t>Commercial Lines</w:t>
            </w:r>
          </w:p>
        </w:tc>
        <w:tc>
          <w:tcPr>
            <w:tcW w:w="4780" w:type="dxa"/>
            <w:vAlign w:val="bottom"/>
            <w:gridSpan w:val="3"/>
            <w:shd w:val="clear" w:color="auto" w:fill="CCEEFF"/>
          </w:tcPr>
          <w:p>
            <w:pPr>
              <w:jc w:val="center"/>
              <w:ind w:right="580"/>
              <w:spacing w:after="0"/>
              <w:rPr>
                <w:sz w:val="20"/>
                <w:szCs w:val="20"/>
                <w:color w:val="auto"/>
              </w:rPr>
            </w:pPr>
            <w:r>
              <w:rPr>
                <w:rFonts w:ascii="Arial" w:cs="Arial" w:eastAsia="Arial" w:hAnsi="Arial"/>
                <w:sz w:val="17"/>
                <w:szCs w:val="17"/>
                <w:color w:val="auto"/>
                <w:w w:val="93"/>
              </w:rPr>
              <w:t>Initial $750,000</w:t>
            </w:r>
          </w:p>
        </w:tc>
        <w:tc>
          <w:tcPr>
            <w:tcW w:w="1720" w:type="dxa"/>
            <w:vAlign w:val="bottom"/>
            <w:shd w:val="clear" w:color="auto" w:fill="CCEEFF"/>
          </w:tcPr>
          <w:p>
            <w:pPr>
              <w:jc w:val="center"/>
              <w:ind w:right="76"/>
              <w:spacing w:after="0"/>
              <w:rPr>
                <w:sz w:val="20"/>
                <w:szCs w:val="20"/>
                <w:color w:val="auto"/>
              </w:rPr>
            </w:pPr>
            <w:r>
              <w:rPr>
                <w:rFonts w:ascii="Arial" w:cs="Arial" w:eastAsia="Arial" w:hAnsi="Arial"/>
                <w:sz w:val="17"/>
                <w:szCs w:val="17"/>
                <w:color w:val="auto"/>
                <w:w w:val="90"/>
              </w:rPr>
              <w:t>$750,000</w:t>
            </w: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160" w:type="dxa"/>
            <w:vAlign w:val="bottom"/>
          </w:tcPr>
          <w:p>
            <w:pPr>
              <w:jc w:val="center"/>
              <w:spacing w:after="0"/>
              <w:rPr>
                <w:sz w:val="20"/>
                <w:szCs w:val="20"/>
                <w:color w:val="auto"/>
              </w:rPr>
            </w:pPr>
            <w:r>
              <w:rPr>
                <w:rFonts w:ascii="Arial" w:cs="Arial" w:eastAsia="Arial" w:hAnsi="Arial"/>
                <w:sz w:val="17"/>
                <w:szCs w:val="17"/>
                <w:color w:val="auto"/>
                <w:w w:val="91"/>
              </w:rPr>
              <w:t>$750,000 - $4,500,000</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720" w:type="dxa"/>
            <w:vAlign w:val="bottom"/>
          </w:tcPr>
          <w:p>
            <w:pPr>
              <w:ind w:left="620"/>
              <w:spacing w:after="0"/>
              <w:rPr>
                <w:sz w:val="20"/>
                <w:szCs w:val="20"/>
                <w:color w:val="auto"/>
              </w:rPr>
            </w:pPr>
            <w:r>
              <w:rPr>
                <w:rFonts w:ascii="Arial" w:cs="Arial" w:eastAsia="Arial" w:hAnsi="Arial"/>
                <w:sz w:val="17"/>
                <w:szCs w:val="17"/>
                <w:color w:val="auto"/>
              </w:rPr>
              <w:t>None</w:t>
            </w:r>
          </w:p>
        </w:tc>
        <w:tc>
          <w:tcPr>
            <w:tcW w:w="580" w:type="dxa"/>
            <w:vAlign w:val="bottom"/>
          </w:tcPr>
          <w:p>
            <w:pPr>
              <w:jc w:val="right"/>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09"/>
        </w:trPr>
        <w:tc>
          <w:tcPr>
            <w:tcW w:w="4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780" w:type="dxa"/>
            <w:vAlign w:val="bottom"/>
            <w:gridSpan w:val="3"/>
            <w:shd w:val="clear" w:color="auto" w:fill="CCEEFF"/>
          </w:tcPr>
          <w:p>
            <w:pPr>
              <w:jc w:val="center"/>
              <w:ind w:right="580"/>
              <w:spacing w:after="0"/>
              <w:rPr>
                <w:sz w:val="20"/>
                <w:szCs w:val="20"/>
                <w:color w:val="auto"/>
              </w:rPr>
            </w:pPr>
            <w:r>
              <w:rPr>
                <w:rFonts w:ascii="Arial" w:cs="Arial" w:eastAsia="Arial" w:hAnsi="Arial"/>
                <w:sz w:val="17"/>
                <w:szCs w:val="17"/>
                <w:color w:val="auto"/>
                <w:w w:val="91"/>
              </w:rPr>
              <w:t>Over $4,500,000</w:t>
            </w:r>
          </w:p>
        </w:tc>
        <w:tc>
          <w:tcPr>
            <w:tcW w:w="1720" w:type="dxa"/>
            <w:vAlign w:val="bottom"/>
            <w:shd w:val="clear" w:color="auto" w:fill="CCEEFF"/>
          </w:tcPr>
          <w:p>
            <w:pPr>
              <w:jc w:val="center"/>
              <w:ind w:right="76"/>
              <w:spacing w:after="0"/>
              <w:rPr>
                <w:sz w:val="20"/>
                <w:szCs w:val="20"/>
                <w:color w:val="auto"/>
              </w:rPr>
            </w:pPr>
            <w:r>
              <w:rPr>
                <w:rFonts w:ascii="Arial" w:cs="Arial" w:eastAsia="Arial" w:hAnsi="Arial"/>
                <w:sz w:val="17"/>
                <w:szCs w:val="17"/>
                <w:color w:val="auto"/>
                <w:w w:val="91"/>
              </w:rPr>
              <w:t>100%</w:t>
            </w: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340" w:type="dxa"/>
            <w:vAlign w:val="bottom"/>
            <w:gridSpan w:val="2"/>
            <w:shd w:val="clear" w:color="auto" w:fill="CCEEFF"/>
          </w:tcPr>
          <w:p>
            <w:pPr>
              <w:jc w:val="center"/>
              <w:ind w:right="160"/>
              <w:spacing w:after="0"/>
              <w:rPr>
                <w:sz w:val="20"/>
                <w:szCs w:val="20"/>
                <w:color w:val="auto"/>
              </w:rPr>
            </w:pPr>
            <w:r>
              <w:rPr>
                <w:rFonts w:ascii="Arial" w:cs="Arial" w:eastAsia="Arial" w:hAnsi="Arial"/>
                <w:sz w:val="17"/>
                <w:szCs w:val="17"/>
                <w:color w:val="auto"/>
                <w:w w:val="94"/>
              </w:rPr>
              <w:t>Commercial Umbrella</w:t>
            </w:r>
          </w:p>
        </w:tc>
        <w:tc>
          <w:tcPr>
            <w:tcW w:w="4780" w:type="dxa"/>
            <w:vAlign w:val="bottom"/>
            <w:gridSpan w:val="3"/>
            <w:shd w:val="clear" w:color="auto" w:fill="CCEEFF"/>
          </w:tcPr>
          <w:p>
            <w:pPr>
              <w:jc w:val="center"/>
              <w:ind w:right="580"/>
              <w:spacing w:after="0"/>
              <w:rPr>
                <w:sz w:val="20"/>
                <w:szCs w:val="20"/>
                <w:color w:val="auto"/>
              </w:rPr>
            </w:pPr>
            <w:r>
              <w:rPr>
                <w:rFonts w:ascii="Arial" w:cs="Arial" w:eastAsia="Arial" w:hAnsi="Arial"/>
                <w:sz w:val="17"/>
                <w:szCs w:val="17"/>
                <w:color w:val="auto"/>
                <w:w w:val="92"/>
              </w:rPr>
              <w:t>Initial $1,000,000</w:t>
            </w:r>
          </w:p>
        </w:tc>
        <w:tc>
          <w:tcPr>
            <w:tcW w:w="1720" w:type="dxa"/>
            <w:vAlign w:val="bottom"/>
            <w:shd w:val="clear" w:color="auto" w:fill="CCEEFF"/>
          </w:tcPr>
          <w:p>
            <w:pPr>
              <w:jc w:val="center"/>
              <w:ind w:right="76"/>
              <w:spacing w:after="0"/>
              <w:rPr>
                <w:sz w:val="20"/>
                <w:szCs w:val="20"/>
                <w:color w:val="auto"/>
              </w:rPr>
            </w:pPr>
            <w:r>
              <w:rPr>
                <w:rFonts w:ascii="Arial" w:cs="Arial" w:eastAsia="Arial" w:hAnsi="Arial"/>
                <w:sz w:val="17"/>
                <w:szCs w:val="17"/>
                <w:color w:val="auto"/>
                <w:w w:val="90"/>
              </w:rPr>
              <w:t>$100,000</w:t>
            </w: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160" w:type="dxa"/>
            <w:vAlign w:val="bottom"/>
          </w:tcPr>
          <w:p>
            <w:pPr>
              <w:jc w:val="center"/>
              <w:spacing w:after="0"/>
              <w:rPr>
                <w:sz w:val="20"/>
                <w:szCs w:val="20"/>
                <w:color w:val="auto"/>
              </w:rPr>
            </w:pPr>
            <w:r>
              <w:rPr>
                <w:rFonts w:ascii="Arial" w:cs="Arial" w:eastAsia="Arial" w:hAnsi="Arial"/>
                <w:sz w:val="17"/>
                <w:szCs w:val="17"/>
                <w:color w:val="auto"/>
                <w:w w:val="90"/>
              </w:rPr>
              <w:t>$1,000,000 - $5,000,000</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720" w:type="dxa"/>
            <w:vAlign w:val="bottom"/>
          </w:tcPr>
          <w:p>
            <w:pPr>
              <w:ind w:left="620"/>
              <w:spacing w:after="0"/>
              <w:rPr>
                <w:sz w:val="20"/>
                <w:szCs w:val="20"/>
                <w:color w:val="auto"/>
              </w:rPr>
            </w:pPr>
            <w:r>
              <w:rPr>
                <w:rFonts w:ascii="Arial" w:cs="Arial" w:eastAsia="Arial" w:hAnsi="Arial"/>
                <w:sz w:val="17"/>
                <w:szCs w:val="17"/>
                <w:color w:val="auto"/>
              </w:rPr>
              <w:t>None</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780" w:type="dxa"/>
            <w:vAlign w:val="bottom"/>
            <w:gridSpan w:val="3"/>
            <w:shd w:val="clear" w:color="auto" w:fill="CCEEFF"/>
          </w:tcPr>
          <w:p>
            <w:pPr>
              <w:jc w:val="center"/>
              <w:ind w:right="580"/>
              <w:spacing w:after="0"/>
              <w:rPr>
                <w:sz w:val="20"/>
                <w:szCs w:val="20"/>
                <w:color w:val="auto"/>
              </w:rPr>
            </w:pPr>
            <w:r>
              <w:rPr>
                <w:rFonts w:ascii="Arial" w:cs="Arial" w:eastAsia="Arial" w:hAnsi="Arial"/>
                <w:sz w:val="17"/>
                <w:szCs w:val="17"/>
                <w:color w:val="auto"/>
                <w:w w:val="91"/>
              </w:rPr>
              <w:t>Over $5,000,000</w:t>
            </w:r>
          </w:p>
        </w:tc>
        <w:tc>
          <w:tcPr>
            <w:tcW w:w="1720" w:type="dxa"/>
            <w:vAlign w:val="bottom"/>
            <w:shd w:val="clear" w:color="auto" w:fill="CCEEFF"/>
          </w:tcPr>
          <w:p>
            <w:pPr>
              <w:jc w:val="center"/>
              <w:ind w:right="76"/>
              <w:spacing w:after="0"/>
              <w:rPr>
                <w:sz w:val="20"/>
                <w:szCs w:val="20"/>
                <w:color w:val="auto"/>
              </w:rPr>
            </w:pPr>
            <w:r>
              <w:rPr>
                <w:rFonts w:ascii="Arial" w:cs="Arial" w:eastAsia="Arial" w:hAnsi="Arial"/>
                <w:sz w:val="17"/>
                <w:szCs w:val="17"/>
                <w:color w:val="auto"/>
                <w:w w:val="91"/>
              </w:rPr>
              <w:t>100%</w:t>
            </w: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340" w:type="dxa"/>
            <w:vAlign w:val="bottom"/>
            <w:gridSpan w:val="2"/>
            <w:shd w:val="clear" w:color="auto" w:fill="CCEEFF"/>
          </w:tcPr>
          <w:p>
            <w:pPr>
              <w:jc w:val="center"/>
              <w:ind w:right="160"/>
              <w:spacing w:after="0"/>
              <w:rPr>
                <w:sz w:val="20"/>
                <w:szCs w:val="20"/>
                <w:color w:val="auto"/>
              </w:rPr>
            </w:pPr>
            <w:r>
              <w:rPr>
                <w:rFonts w:ascii="Arial" w:cs="Arial" w:eastAsia="Arial" w:hAnsi="Arial"/>
                <w:sz w:val="17"/>
                <w:szCs w:val="17"/>
                <w:color w:val="auto"/>
                <w:w w:val="89"/>
              </w:rPr>
              <w:t>Catastrophe (4)</w:t>
            </w:r>
          </w:p>
        </w:tc>
        <w:tc>
          <w:tcPr>
            <w:tcW w:w="4780" w:type="dxa"/>
            <w:vAlign w:val="bottom"/>
            <w:gridSpan w:val="3"/>
            <w:shd w:val="clear" w:color="auto" w:fill="CCEEFF"/>
          </w:tcPr>
          <w:p>
            <w:pPr>
              <w:jc w:val="center"/>
              <w:ind w:right="580"/>
              <w:spacing w:after="0"/>
              <w:rPr>
                <w:sz w:val="20"/>
                <w:szCs w:val="20"/>
                <w:color w:val="auto"/>
              </w:rPr>
            </w:pPr>
            <w:r>
              <w:rPr>
                <w:rFonts w:ascii="Arial" w:cs="Arial" w:eastAsia="Arial" w:hAnsi="Arial"/>
                <w:sz w:val="17"/>
                <w:szCs w:val="17"/>
                <w:color w:val="auto"/>
                <w:w w:val="92"/>
              </w:rPr>
              <w:t>Initial $5,000,000</w:t>
            </w:r>
          </w:p>
        </w:tc>
        <w:tc>
          <w:tcPr>
            <w:tcW w:w="1720" w:type="dxa"/>
            <w:vAlign w:val="bottom"/>
            <w:shd w:val="clear" w:color="auto" w:fill="CCEEFF"/>
          </w:tcPr>
          <w:p>
            <w:pPr>
              <w:jc w:val="center"/>
              <w:ind w:right="76"/>
              <w:spacing w:after="0"/>
              <w:rPr>
                <w:sz w:val="20"/>
                <w:szCs w:val="20"/>
                <w:color w:val="auto"/>
              </w:rPr>
            </w:pPr>
            <w:r>
              <w:rPr>
                <w:rFonts w:ascii="Arial" w:cs="Arial" w:eastAsia="Arial" w:hAnsi="Arial"/>
                <w:sz w:val="17"/>
                <w:szCs w:val="17"/>
                <w:color w:val="auto"/>
                <w:w w:val="89"/>
              </w:rPr>
              <w:t>$4,500,000</w:t>
            </w: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160" w:type="dxa"/>
            <w:vAlign w:val="bottom"/>
          </w:tcPr>
          <w:p>
            <w:pPr>
              <w:jc w:val="center"/>
              <w:spacing w:after="0"/>
              <w:rPr>
                <w:sz w:val="20"/>
                <w:szCs w:val="20"/>
                <w:color w:val="auto"/>
              </w:rPr>
            </w:pPr>
            <w:r>
              <w:rPr>
                <w:rFonts w:ascii="Arial" w:cs="Arial" w:eastAsia="Arial" w:hAnsi="Arial"/>
                <w:sz w:val="17"/>
                <w:szCs w:val="17"/>
                <w:color w:val="auto"/>
                <w:w w:val="90"/>
              </w:rPr>
              <w:t>$5,000,000 - $450,000,000</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720" w:type="dxa"/>
            <w:vAlign w:val="bottom"/>
          </w:tcPr>
          <w:p>
            <w:pPr>
              <w:ind w:left="620"/>
              <w:spacing w:after="0"/>
              <w:rPr>
                <w:sz w:val="20"/>
                <w:szCs w:val="20"/>
                <w:color w:val="auto"/>
              </w:rPr>
            </w:pPr>
            <w:r>
              <w:rPr>
                <w:rFonts w:ascii="Arial" w:cs="Arial" w:eastAsia="Arial" w:hAnsi="Arial"/>
                <w:sz w:val="17"/>
                <w:szCs w:val="17"/>
                <w:color w:val="auto"/>
              </w:rPr>
              <w:t>None</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780" w:type="dxa"/>
            <w:vAlign w:val="bottom"/>
            <w:gridSpan w:val="3"/>
            <w:shd w:val="clear" w:color="auto" w:fill="CCEEFF"/>
          </w:tcPr>
          <w:p>
            <w:pPr>
              <w:jc w:val="center"/>
              <w:ind w:right="580"/>
              <w:spacing w:after="0"/>
              <w:rPr>
                <w:sz w:val="20"/>
                <w:szCs w:val="20"/>
                <w:color w:val="auto"/>
              </w:rPr>
            </w:pPr>
            <w:r>
              <w:rPr>
                <w:rFonts w:ascii="Arial" w:cs="Arial" w:eastAsia="Arial" w:hAnsi="Arial"/>
                <w:sz w:val="17"/>
                <w:szCs w:val="17"/>
                <w:color w:val="auto"/>
                <w:w w:val="90"/>
              </w:rPr>
              <w:t>Over $450,000,000</w:t>
            </w:r>
          </w:p>
        </w:tc>
        <w:tc>
          <w:tcPr>
            <w:tcW w:w="1720" w:type="dxa"/>
            <w:vAlign w:val="bottom"/>
            <w:shd w:val="clear" w:color="auto" w:fill="CCEEFF"/>
          </w:tcPr>
          <w:p>
            <w:pPr>
              <w:jc w:val="center"/>
              <w:ind w:right="76"/>
              <w:spacing w:after="0"/>
              <w:rPr>
                <w:sz w:val="20"/>
                <w:szCs w:val="20"/>
                <w:color w:val="auto"/>
              </w:rPr>
            </w:pPr>
            <w:r>
              <w:rPr>
                <w:rFonts w:ascii="Arial" w:cs="Arial" w:eastAsia="Arial" w:hAnsi="Arial"/>
                <w:sz w:val="17"/>
                <w:szCs w:val="17"/>
                <w:color w:val="auto"/>
                <w:w w:val="91"/>
              </w:rPr>
              <w:t>100%</w:t>
            </w: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7" w:lineRule="exact"/>
        <w:rPr>
          <w:sz w:val="20"/>
          <w:szCs w:val="20"/>
          <w:color w:val="auto"/>
        </w:rPr>
      </w:pPr>
    </w:p>
    <w:p>
      <w:pPr>
        <w:ind w:left="320" w:hanging="315"/>
        <w:spacing w:after="0"/>
        <w:tabs>
          <w:tab w:leader="none" w:pos="320" w:val="left"/>
        </w:tabs>
        <w:numPr>
          <w:ilvl w:val="0"/>
          <w:numId w:val="9"/>
        </w:numPr>
        <w:rPr>
          <w:rFonts w:ascii="Arial" w:cs="Arial" w:eastAsia="Arial" w:hAnsi="Arial"/>
          <w:sz w:val="17"/>
          <w:szCs w:val="17"/>
          <w:color w:val="auto"/>
        </w:rPr>
      </w:pPr>
      <w:r>
        <w:rPr>
          <w:rFonts w:ascii="Arial" w:cs="Arial" w:eastAsia="Arial" w:hAnsi="Arial"/>
          <w:sz w:val="17"/>
          <w:szCs w:val="17"/>
          <w:color w:val="auto"/>
        </w:rPr>
        <w:t>Treaty for July 1, 2018 – June 30, 2019 is a two-year treaty with expiration date of June 30, 2019.</w:t>
      </w:r>
    </w:p>
    <w:p>
      <w:pPr>
        <w:spacing w:after="0" w:line="20" w:lineRule="exact"/>
        <w:rPr>
          <w:rFonts w:ascii="Arial" w:cs="Arial" w:eastAsia="Arial" w:hAnsi="Arial"/>
          <w:sz w:val="17"/>
          <w:szCs w:val="17"/>
          <w:color w:val="auto"/>
        </w:rPr>
      </w:pPr>
    </w:p>
    <w:p>
      <w:pPr>
        <w:ind w:left="320" w:hanging="315"/>
        <w:spacing w:after="0"/>
        <w:tabs>
          <w:tab w:leader="none" w:pos="320" w:val="left"/>
        </w:tabs>
        <w:numPr>
          <w:ilvl w:val="0"/>
          <w:numId w:val="9"/>
        </w:numPr>
        <w:rPr>
          <w:rFonts w:ascii="Arial" w:cs="Arial" w:eastAsia="Arial" w:hAnsi="Arial"/>
          <w:sz w:val="17"/>
          <w:szCs w:val="17"/>
          <w:color w:val="auto"/>
        </w:rPr>
      </w:pPr>
      <w:r>
        <w:rPr>
          <w:rFonts w:ascii="Arial" w:cs="Arial" w:eastAsia="Arial" w:hAnsi="Arial"/>
          <w:sz w:val="17"/>
          <w:szCs w:val="17"/>
          <w:color w:val="auto"/>
        </w:rPr>
        <w:t>Covered by excess of loss treaties up to $3,500,000 and by facultative facility from $3,500,000 to $10,000,000.</w:t>
      </w:r>
    </w:p>
    <w:p>
      <w:pPr>
        <w:spacing w:after="0" w:line="13" w:lineRule="exact"/>
        <w:rPr>
          <w:rFonts w:ascii="Arial" w:cs="Arial" w:eastAsia="Arial" w:hAnsi="Arial"/>
          <w:sz w:val="17"/>
          <w:szCs w:val="17"/>
          <w:color w:val="auto"/>
        </w:rPr>
      </w:pPr>
    </w:p>
    <w:p>
      <w:pPr>
        <w:ind w:left="320" w:hanging="315"/>
        <w:spacing w:after="0"/>
        <w:tabs>
          <w:tab w:leader="none" w:pos="320" w:val="left"/>
        </w:tabs>
        <w:numPr>
          <w:ilvl w:val="0"/>
          <w:numId w:val="9"/>
        </w:numPr>
        <w:rPr>
          <w:rFonts w:ascii="Arial" w:cs="Arial" w:eastAsia="Arial" w:hAnsi="Arial"/>
          <w:sz w:val="17"/>
          <w:szCs w:val="17"/>
          <w:color w:val="auto"/>
        </w:rPr>
      </w:pPr>
      <w:r>
        <w:rPr>
          <w:rFonts w:ascii="Arial" w:cs="Arial" w:eastAsia="Arial" w:hAnsi="Arial"/>
          <w:sz w:val="17"/>
          <w:szCs w:val="17"/>
          <w:color w:val="auto"/>
        </w:rPr>
        <w:t>Covered by excess of loss treaties.</w:t>
      </w:r>
    </w:p>
    <w:p>
      <w:pPr>
        <w:spacing w:after="0" w:line="13" w:lineRule="exact"/>
        <w:rPr>
          <w:rFonts w:ascii="Arial" w:cs="Arial" w:eastAsia="Arial" w:hAnsi="Arial"/>
          <w:sz w:val="17"/>
          <w:szCs w:val="17"/>
          <w:color w:val="auto"/>
        </w:rPr>
      </w:pPr>
    </w:p>
    <w:p>
      <w:pPr>
        <w:ind w:left="320" w:hanging="315"/>
        <w:spacing w:after="0"/>
        <w:tabs>
          <w:tab w:leader="none" w:pos="320" w:val="left"/>
        </w:tabs>
        <w:numPr>
          <w:ilvl w:val="0"/>
          <w:numId w:val="9"/>
        </w:numPr>
        <w:rPr>
          <w:rFonts w:ascii="Arial" w:cs="Arial" w:eastAsia="Arial" w:hAnsi="Arial"/>
          <w:sz w:val="17"/>
          <w:szCs w:val="17"/>
          <w:color w:val="auto"/>
        </w:rPr>
      </w:pPr>
      <w:r>
        <w:rPr>
          <w:rFonts w:ascii="Arial" w:cs="Arial" w:eastAsia="Arial" w:hAnsi="Arial"/>
          <w:sz w:val="17"/>
          <w:szCs w:val="17"/>
          <w:color w:val="auto"/>
        </w:rPr>
        <w:t>Catastrophe coverage is limited on an annual basis to two times the per occurrence amounts.</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The single maximum risks per occurrence to which the Company is subject under the treaty years shown below are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1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Treaty</w:t>
            </w:r>
          </w:p>
        </w:tc>
        <w:tc>
          <w:tcPr>
            <w:tcW w:w="120" w:type="dxa"/>
            <w:vAlign w:val="bottom"/>
            <w:vMerge w:val="restart"/>
          </w:tcPr>
          <w:p>
            <w:pPr>
              <w:spacing w:after="0"/>
              <w:rPr>
                <w:sz w:val="15"/>
                <w:szCs w:val="15"/>
                <w:color w:val="auto"/>
              </w:rPr>
            </w:pPr>
          </w:p>
        </w:tc>
        <w:tc>
          <w:tcPr>
            <w:tcW w:w="3300" w:type="dxa"/>
            <w:vAlign w:val="bottom"/>
            <w:tcBorders>
              <w:bottom w:val="single" w:sz="8" w:color="auto"/>
            </w:tcBorders>
            <w:gridSpan w:val="3"/>
          </w:tcPr>
          <w:p>
            <w:pPr>
              <w:ind w:left="1500"/>
              <w:spacing w:after="0"/>
              <w:rPr>
                <w:sz w:val="20"/>
                <w:szCs w:val="20"/>
                <w:color w:val="auto"/>
              </w:rPr>
            </w:pPr>
            <w:r>
              <w:rPr>
                <w:rFonts w:ascii="Arial" w:cs="Arial" w:eastAsia="Arial" w:hAnsi="Arial"/>
                <w:sz w:val="14"/>
                <w:szCs w:val="14"/>
                <w:b w:val="1"/>
                <w:bCs w:val="1"/>
                <w:color w:val="auto"/>
                <w:w w:val="97"/>
              </w:rPr>
              <w:t>July 1, 2017 - June 30, 2018</w:t>
            </w:r>
          </w:p>
        </w:tc>
        <w:tc>
          <w:tcPr>
            <w:tcW w:w="13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280" w:type="dxa"/>
            <w:vAlign w:val="bottom"/>
            <w:tcBorders>
              <w:bottom w:val="single" w:sz="8" w:color="auto"/>
            </w:tcBorders>
            <w:gridSpan w:val="3"/>
          </w:tcPr>
          <w:p>
            <w:pPr>
              <w:ind w:left="1500"/>
              <w:spacing w:after="0"/>
              <w:rPr>
                <w:sz w:val="20"/>
                <w:szCs w:val="20"/>
                <w:color w:val="auto"/>
              </w:rPr>
            </w:pPr>
            <w:r>
              <w:rPr>
                <w:rFonts w:ascii="Arial" w:cs="Arial" w:eastAsia="Arial" w:hAnsi="Arial"/>
                <w:sz w:val="14"/>
                <w:szCs w:val="14"/>
                <w:b w:val="1"/>
                <w:bCs w:val="1"/>
                <w:color w:val="auto"/>
                <w:w w:val="96"/>
              </w:rPr>
              <w:t>July 1, 2016 - June 30, 2017</w:t>
            </w:r>
          </w:p>
        </w:tc>
        <w:tc>
          <w:tcPr>
            <w:tcW w:w="13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184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2860" w:type="dxa"/>
            <w:vAlign w:val="bottom"/>
            <w:tcBorders>
              <w:bottom w:val="single" w:sz="8" w:color="auto"/>
            </w:tcBorders>
          </w:tcPr>
          <w:p>
            <w:pPr>
              <w:jc w:val="center"/>
              <w:spacing w:after="0" w:line="157" w:lineRule="exact"/>
              <w:rPr>
                <w:sz w:val="20"/>
                <w:szCs w:val="20"/>
                <w:color w:val="auto"/>
              </w:rPr>
            </w:pPr>
            <w:r>
              <w:rPr>
                <w:rFonts w:ascii="Arial" w:cs="Arial" w:eastAsia="Arial" w:hAnsi="Arial"/>
                <w:sz w:val="14"/>
                <w:szCs w:val="14"/>
                <w:b w:val="1"/>
                <w:bCs w:val="1"/>
                <w:color w:val="auto"/>
                <w:w w:val="89"/>
              </w:rPr>
              <w:t>Range of Loss</w:t>
            </w:r>
          </w:p>
        </w:tc>
        <w:tc>
          <w:tcPr>
            <w:tcW w:w="1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center"/>
              <w:ind w:right="196"/>
              <w:spacing w:after="0" w:line="157" w:lineRule="exact"/>
              <w:rPr>
                <w:sz w:val="20"/>
                <w:szCs w:val="20"/>
                <w:color w:val="auto"/>
              </w:rPr>
            </w:pPr>
            <w:r>
              <w:rPr>
                <w:rFonts w:ascii="Arial" w:cs="Arial" w:eastAsia="Arial" w:hAnsi="Arial"/>
                <w:sz w:val="14"/>
                <w:szCs w:val="14"/>
                <w:b w:val="1"/>
                <w:bCs w:val="1"/>
                <w:color w:val="auto"/>
                <w:w w:val="92"/>
              </w:rPr>
              <w:t>Risk Retained</w:t>
            </w:r>
          </w:p>
        </w:tc>
        <w:tc>
          <w:tcPr>
            <w:tcW w:w="120" w:type="dxa"/>
            <w:vAlign w:val="bottom"/>
          </w:tcPr>
          <w:p>
            <w:pPr>
              <w:spacing w:after="0"/>
              <w:rPr>
                <w:sz w:val="14"/>
                <w:szCs w:val="14"/>
                <w:color w:val="auto"/>
              </w:rPr>
            </w:pPr>
          </w:p>
        </w:tc>
        <w:tc>
          <w:tcPr>
            <w:tcW w:w="2860" w:type="dxa"/>
            <w:vAlign w:val="bottom"/>
            <w:tcBorders>
              <w:bottom w:val="single" w:sz="8" w:color="auto"/>
            </w:tcBorders>
          </w:tcPr>
          <w:p>
            <w:pPr>
              <w:jc w:val="center"/>
              <w:spacing w:after="0" w:line="157" w:lineRule="exact"/>
              <w:rPr>
                <w:sz w:val="20"/>
                <w:szCs w:val="20"/>
                <w:color w:val="auto"/>
              </w:rPr>
            </w:pPr>
            <w:r>
              <w:rPr>
                <w:rFonts w:ascii="Arial" w:cs="Arial" w:eastAsia="Arial" w:hAnsi="Arial"/>
                <w:sz w:val="14"/>
                <w:szCs w:val="14"/>
                <w:b w:val="1"/>
                <w:bCs w:val="1"/>
                <w:color w:val="auto"/>
                <w:w w:val="89"/>
              </w:rPr>
              <w:t>Range of Loss</w:t>
            </w:r>
          </w:p>
        </w:tc>
        <w:tc>
          <w:tcPr>
            <w:tcW w:w="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center"/>
              <w:ind w:right="196"/>
              <w:spacing w:after="0" w:line="157" w:lineRule="exact"/>
              <w:rPr>
                <w:sz w:val="20"/>
                <w:szCs w:val="20"/>
                <w:color w:val="auto"/>
              </w:rPr>
            </w:pPr>
            <w:r>
              <w:rPr>
                <w:rFonts w:ascii="Arial" w:cs="Arial" w:eastAsia="Arial" w:hAnsi="Arial"/>
                <w:sz w:val="14"/>
                <w:szCs w:val="14"/>
                <w:b w:val="1"/>
                <w:bCs w:val="1"/>
                <w:color w:val="auto"/>
                <w:w w:val="92"/>
              </w:rPr>
              <w:t>Risk Retained</w:t>
            </w:r>
          </w:p>
        </w:tc>
        <w:tc>
          <w:tcPr>
            <w:tcW w:w="0" w:type="dxa"/>
            <w:vAlign w:val="bottom"/>
          </w:tcPr>
          <w:p>
            <w:pPr>
              <w:spacing w:after="0"/>
              <w:rPr>
                <w:sz w:val="1"/>
                <w:szCs w:val="1"/>
                <w:color w:val="auto"/>
              </w:rPr>
            </w:pPr>
          </w:p>
        </w:tc>
      </w:tr>
      <w:tr>
        <w:trPr>
          <w:trHeight w:val="209"/>
        </w:trPr>
        <w:tc>
          <w:tcPr>
            <w:tcW w:w="1960" w:type="dxa"/>
            <w:vAlign w:val="bottom"/>
            <w:gridSpan w:val="2"/>
            <w:shd w:val="clear" w:color="auto" w:fill="CCEEFF"/>
          </w:tcPr>
          <w:p>
            <w:pPr>
              <w:jc w:val="center"/>
              <w:ind w:right="120"/>
              <w:spacing w:after="0"/>
              <w:rPr>
                <w:sz w:val="20"/>
                <w:szCs w:val="20"/>
                <w:color w:val="auto"/>
              </w:rPr>
            </w:pPr>
            <w:r>
              <w:rPr>
                <w:rFonts w:ascii="Arial" w:cs="Arial" w:eastAsia="Arial" w:hAnsi="Arial"/>
                <w:sz w:val="17"/>
                <w:szCs w:val="17"/>
                <w:color w:val="auto"/>
                <w:w w:val="89"/>
              </w:rPr>
              <w:t>Personal Lines (1)</w:t>
            </w:r>
          </w:p>
        </w:tc>
        <w:tc>
          <w:tcPr>
            <w:tcW w:w="3300" w:type="dxa"/>
            <w:vAlign w:val="bottom"/>
            <w:gridSpan w:val="3"/>
            <w:shd w:val="clear" w:color="auto" w:fill="CCEEFF"/>
          </w:tcPr>
          <w:p>
            <w:pPr>
              <w:jc w:val="center"/>
              <w:ind w:right="400"/>
              <w:spacing w:after="0"/>
              <w:rPr>
                <w:sz w:val="20"/>
                <w:szCs w:val="20"/>
                <w:color w:val="auto"/>
              </w:rPr>
            </w:pPr>
            <w:r>
              <w:rPr>
                <w:rFonts w:ascii="Arial" w:cs="Arial" w:eastAsia="Arial" w:hAnsi="Arial"/>
                <w:sz w:val="17"/>
                <w:szCs w:val="17"/>
                <w:color w:val="auto"/>
                <w:w w:val="94"/>
              </w:rPr>
              <w:t>Initial $1,000,000</w:t>
            </w:r>
          </w:p>
        </w:tc>
        <w:tc>
          <w:tcPr>
            <w:tcW w:w="1380" w:type="dxa"/>
            <w:vAlign w:val="bottom"/>
            <w:shd w:val="clear" w:color="auto" w:fill="CCEEFF"/>
          </w:tcPr>
          <w:p>
            <w:pPr>
              <w:jc w:val="center"/>
              <w:ind w:right="216"/>
              <w:spacing w:after="0"/>
              <w:rPr>
                <w:sz w:val="20"/>
                <w:szCs w:val="20"/>
                <w:color w:val="auto"/>
              </w:rPr>
            </w:pPr>
            <w:r>
              <w:rPr>
                <w:rFonts w:ascii="Arial" w:cs="Arial" w:eastAsia="Arial" w:hAnsi="Arial"/>
                <w:sz w:val="17"/>
                <w:szCs w:val="17"/>
                <w:color w:val="auto"/>
                <w:w w:val="90"/>
              </w:rPr>
              <w:t>$800,000</w:t>
            </w:r>
          </w:p>
        </w:tc>
        <w:tc>
          <w:tcPr>
            <w:tcW w:w="120" w:type="dxa"/>
            <w:vAlign w:val="bottom"/>
            <w:shd w:val="clear" w:color="auto" w:fill="CCEEFF"/>
          </w:tcPr>
          <w:p>
            <w:pPr>
              <w:spacing w:after="0"/>
              <w:rPr>
                <w:sz w:val="18"/>
                <w:szCs w:val="18"/>
                <w:color w:val="auto"/>
              </w:rPr>
            </w:pPr>
          </w:p>
        </w:tc>
        <w:tc>
          <w:tcPr>
            <w:tcW w:w="3280" w:type="dxa"/>
            <w:vAlign w:val="bottom"/>
            <w:gridSpan w:val="3"/>
            <w:shd w:val="clear" w:color="auto" w:fill="CCEEFF"/>
          </w:tcPr>
          <w:p>
            <w:pPr>
              <w:jc w:val="center"/>
              <w:ind w:right="360"/>
              <w:spacing w:after="0"/>
              <w:rPr>
                <w:sz w:val="20"/>
                <w:szCs w:val="20"/>
                <w:color w:val="auto"/>
              </w:rPr>
            </w:pPr>
            <w:r>
              <w:rPr>
                <w:rFonts w:ascii="Arial" w:cs="Arial" w:eastAsia="Arial" w:hAnsi="Arial"/>
                <w:sz w:val="17"/>
                <w:szCs w:val="17"/>
                <w:color w:val="auto"/>
                <w:w w:val="93"/>
              </w:rPr>
              <w:t>Initial $833,333</w:t>
            </w:r>
          </w:p>
        </w:tc>
        <w:tc>
          <w:tcPr>
            <w:tcW w:w="1380" w:type="dxa"/>
            <w:vAlign w:val="bottom"/>
            <w:shd w:val="clear" w:color="auto" w:fill="CCEEFF"/>
          </w:tcPr>
          <w:p>
            <w:pPr>
              <w:jc w:val="center"/>
              <w:ind w:right="216"/>
              <w:spacing w:after="0"/>
              <w:rPr>
                <w:sz w:val="20"/>
                <w:szCs w:val="20"/>
                <w:color w:val="auto"/>
              </w:rPr>
            </w:pPr>
            <w:r>
              <w:rPr>
                <w:rFonts w:ascii="Arial" w:cs="Arial" w:eastAsia="Arial" w:hAnsi="Arial"/>
                <w:sz w:val="17"/>
                <w:szCs w:val="17"/>
                <w:color w:val="auto"/>
                <w:w w:val="90"/>
              </w:rPr>
              <w:t>$500,000</w:t>
            </w:r>
          </w:p>
        </w:tc>
        <w:tc>
          <w:tcPr>
            <w:tcW w:w="0" w:type="dxa"/>
            <w:vAlign w:val="bottom"/>
          </w:tcPr>
          <w:p>
            <w:pPr>
              <w:spacing w:after="0"/>
              <w:rPr>
                <w:sz w:val="1"/>
                <w:szCs w:val="1"/>
                <w:color w:val="auto"/>
              </w:rPr>
            </w:pPr>
          </w:p>
        </w:tc>
      </w:tr>
      <w:tr>
        <w:trPr>
          <w:trHeight w:val="209"/>
        </w:trPr>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60" w:type="dxa"/>
            <w:vAlign w:val="bottom"/>
          </w:tcPr>
          <w:p>
            <w:pPr>
              <w:jc w:val="center"/>
              <w:spacing w:after="0"/>
              <w:rPr>
                <w:sz w:val="20"/>
                <w:szCs w:val="20"/>
                <w:color w:val="auto"/>
              </w:rPr>
            </w:pPr>
            <w:r>
              <w:rPr>
                <w:rFonts w:ascii="Arial" w:cs="Arial" w:eastAsia="Arial" w:hAnsi="Arial"/>
                <w:sz w:val="17"/>
                <w:szCs w:val="17"/>
                <w:color w:val="auto"/>
                <w:w w:val="90"/>
              </w:rPr>
              <w:t>$1,000,000 - $10,000,000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tcPr>
          <w:p>
            <w:pPr>
              <w:jc w:val="center"/>
              <w:ind w:right="176"/>
              <w:spacing w:after="0"/>
              <w:rPr>
                <w:sz w:val="20"/>
                <w:szCs w:val="20"/>
                <w:color w:val="auto"/>
              </w:rPr>
            </w:pPr>
            <w:r>
              <w:rPr>
                <w:rFonts w:ascii="Arial" w:cs="Arial" w:eastAsia="Arial" w:hAnsi="Arial"/>
                <w:sz w:val="17"/>
                <w:szCs w:val="17"/>
                <w:color w:val="auto"/>
                <w:w w:val="91"/>
              </w:rPr>
              <w:t>None(2)</w:t>
            </w:r>
          </w:p>
        </w:tc>
        <w:tc>
          <w:tcPr>
            <w:tcW w:w="2980" w:type="dxa"/>
            <w:vAlign w:val="bottom"/>
            <w:gridSpan w:val="2"/>
          </w:tcPr>
          <w:p>
            <w:pPr>
              <w:jc w:val="center"/>
              <w:ind w:left="75"/>
              <w:spacing w:after="0"/>
              <w:rPr>
                <w:sz w:val="20"/>
                <w:szCs w:val="20"/>
                <w:color w:val="auto"/>
              </w:rPr>
            </w:pPr>
            <w:r>
              <w:rPr>
                <w:rFonts w:ascii="Arial" w:cs="Arial" w:eastAsia="Arial" w:hAnsi="Arial"/>
                <w:sz w:val="17"/>
                <w:szCs w:val="17"/>
                <w:color w:val="auto"/>
                <w:w w:val="89"/>
              </w:rPr>
              <w:t>$833,333 - $4,500,000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tcPr>
          <w:p>
            <w:pPr>
              <w:jc w:val="center"/>
              <w:ind w:right="176"/>
              <w:spacing w:after="0"/>
              <w:rPr>
                <w:sz w:val="20"/>
                <w:szCs w:val="20"/>
                <w:color w:val="auto"/>
              </w:rPr>
            </w:pPr>
            <w:r>
              <w:rPr>
                <w:rFonts w:ascii="Arial" w:cs="Arial" w:eastAsia="Arial" w:hAnsi="Arial"/>
                <w:sz w:val="17"/>
                <w:szCs w:val="17"/>
                <w:color w:val="auto"/>
                <w:w w:val="91"/>
              </w:rPr>
              <w:t>None(3)</w:t>
            </w:r>
          </w:p>
        </w:tc>
        <w:tc>
          <w:tcPr>
            <w:tcW w:w="0" w:type="dxa"/>
            <w:vAlign w:val="bottom"/>
          </w:tcPr>
          <w:p>
            <w:pPr>
              <w:spacing w:after="0"/>
              <w:rPr>
                <w:sz w:val="1"/>
                <w:szCs w:val="1"/>
                <w:color w:val="auto"/>
              </w:rPr>
            </w:pPr>
          </w:p>
        </w:tc>
      </w:tr>
      <w:tr>
        <w:trPr>
          <w:trHeight w:val="209"/>
        </w:trPr>
        <w:tc>
          <w:tcPr>
            <w:tcW w:w="1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300" w:type="dxa"/>
            <w:vAlign w:val="bottom"/>
            <w:gridSpan w:val="3"/>
            <w:shd w:val="clear" w:color="auto" w:fill="CCEEFF"/>
          </w:tcPr>
          <w:p>
            <w:pPr>
              <w:jc w:val="center"/>
              <w:ind w:right="400"/>
              <w:spacing w:after="0"/>
              <w:rPr>
                <w:sz w:val="20"/>
                <w:szCs w:val="20"/>
                <w:color w:val="auto"/>
              </w:rPr>
            </w:pPr>
            <w:r>
              <w:rPr>
                <w:rFonts w:ascii="Arial" w:cs="Arial" w:eastAsia="Arial" w:hAnsi="Arial"/>
                <w:sz w:val="17"/>
                <w:szCs w:val="17"/>
                <w:color w:val="auto"/>
                <w:w w:val="89"/>
              </w:rPr>
              <w:t>Over $10,000,000</w:t>
            </w:r>
          </w:p>
        </w:tc>
        <w:tc>
          <w:tcPr>
            <w:tcW w:w="1380" w:type="dxa"/>
            <w:vAlign w:val="bottom"/>
            <w:shd w:val="clear" w:color="auto" w:fill="CCEEFF"/>
          </w:tcPr>
          <w:p>
            <w:pPr>
              <w:jc w:val="center"/>
              <w:ind w:right="216"/>
              <w:spacing w:after="0"/>
              <w:rPr>
                <w:sz w:val="20"/>
                <w:szCs w:val="20"/>
                <w:color w:val="auto"/>
              </w:rPr>
            </w:pPr>
            <w:r>
              <w:rPr>
                <w:rFonts w:ascii="Arial" w:cs="Arial" w:eastAsia="Arial" w:hAnsi="Arial"/>
                <w:sz w:val="17"/>
                <w:szCs w:val="17"/>
                <w:color w:val="auto"/>
                <w:w w:val="91"/>
              </w:rPr>
              <w:t>100%</w:t>
            </w:r>
          </w:p>
        </w:tc>
        <w:tc>
          <w:tcPr>
            <w:tcW w:w="120" w:type="dxa"/>
            <w:vAlign w:val="bottom"/>
            <w:shd w:val="clear" w:color="auto" w:fill="CCEEFF"/>
          </w:tcPr>
          <w:p>
            <w:pPr>
              <w:spacing w:after="0"/>
              <w:rPr>
                <w:sz w:val="18"/>
                <w:szCs w:val="18"/>
                <w:color w:val="auto"/>
              </w:rPr>
            </w:pPr>
          </w:p>
        </w:tc>
        <w:tc>
          <w:tcPr>
            <w:tcW w:w="3280" w:type="dxa"/>
            <w:vAlign w:val="bottom"/>
            <w:gridSpan w:val="3"/>
            <w:shd w:val="clear" w:color="auto" w:fill="CCEEFF"/>
          </w:tcPr>
          <w:p>
            <w:pPr>
              <w:jc w:val="center"/>
              <w:ind w:right="380"/>
              <w:spacing w:after="0"/>
              <w:rPr>
                <w:sz w:val="20"/>
                <w:szCs w:val="20"/>
                <w:color w:val="auto"/>
              </w:rPr>
            </w:pPr>
            <w:r>
              <w:rPr>
                <w:rFonts w:ascii="Arial" w:cs="Arial" w:eastAsia="Arial" w:hAnsi="Arial"/>
                <w:sz w:val="17"/>
                <w:szCs w:val="17"/>
                <w:color w:val="auto"/>
                <w:w w:val="89"/>
              </w:rPr>
              <w:t>Over $4,500,000</w:t>
            </w:r>
          </w:p>
        </w:tc>
        <w:tc>
          <w:tcPr>
            <w:tcW w:w="1380" w:type="dxa"/>
            <w:vAlign w:val="bottom"/>
            <w:shd w:val="clear" w:color="auto" w:fill="CCEEFF"/>
          </w:tcPr>
          <w:p>
            <w:pPr>
              <w:jc w:val="center"/>
              <w:ind w:right="216"/>
              <w:spacing w:after="0"/>
              <w:rPr>
                <w:sz w:val="20"/>
                <w:szCs w:val="20"/>
                <w:color w:val="auto"/>
              </w:rPr>
            </w:pPr>
            <w:r>
              <w:rPr>
                <w:rFonts w:ascii="Arial" w:cs="Arial" w:eastAsia="Arial" w:hAnsi="Arial"/>
                <w:sz w:val="17"/>
                <w:szCs w:val="17"/>
                <w:color w:val="auto"/>
                <w:w w:val="91"/>
              </w:rPr>
              <w:t>100%</w:t>
            </w:r>
          </w:p>
        </w:tc>
        <w:tc>
          <w:tcPr>
            <w:tcW w:w="0" w:type="dxa"/>
            <w:vAlign w:val="bottom"/>
          </w:tcPr>
          <w:p>
            <w:pPr>
              <w:spacing w:after="0"/>
              <w:rPr>
                <w:sz w:val="1"/>
                <w:szCs w:val="1"/>
                <w:color w:val="auto"/>
              </w:rPr>
            </w:pPr>
          </w:p>
        </w:tc>
      </w:tr>
      <w:tr>
        <w:trPr>
          <w:trHeight w:val="209"/>
        </w:trPr>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960" w:type="dxa"/>
            <w:vAlign w:val="bottom"/>
            <w:gridSpan w:val="2"/>
            <w:shd w:val="clear" w:color="auto" w:fill="CCEEFF"/>
          </w:tcPr>
          <w:p>
            <w:pPr>
              <w:jc w:val="center"/>
              <w:ind w:right="120"/>
              <w:spacing w:after="0"/>
              <w:rPr>
                <w:sz w:val="20"/>
                <w:szCs w:val="20"/>
                <w:color w:val="auto"/>
              </w:rPr>
            </w:pPr>
            <w:r>
              <w:rPr>
                <w:rFonts w:ascii="Arial" w:cs="Arial" w:eastAsia="Arial" w:hAnsi="Arial"/>
                <w:sz w:val="17"/>
                <w:szCs w:val="17"/>
                <w:color w:val="auto"/>
                <w:w w:val="91"/>
              </w:rPr>
              <w:t>Personal Umbrella</w:t>
            </w:r>
          </w:p>
        </w:tc>
        <w:tc>
          <w:tcPr>
            <w:tcW w:w="3300" w:type="dxa"/>
            <w:vAlign w:val="bottom"/>
            <w:gridSpan w:val="3"/>
            <w:shd w:val="clear" w:color="auto" w:fill="CCEEFF"/>
          </w:tcPr>
          <w:p>
            <w:pPr>
              <w:jc w:val="center"/>
              <w:ind w:right="400"/>
              <w:spacing w:after="0"/>
              <w:rPr>
                <w:sz w:val="20"/>
                <w:szCs w:val="20"/>
                <w:color w:val="auto"/>
              </w:rPr>
            </w:pPr>
            <w:r>
              <w:rPr>
                <w:rFonts w:ascii="Arial" w:cs="Arial" w:eastAsia="Arial" w:hAnsi="Arial"/>
                <w:sz w:val="17"/>
                <w:szCs w:val="17"/>
                <w:color w:val="auto"/>
                <w:w w:val="94"/>
              </w:rPr>
              <w:t>Initial $1,000,000</w:t>
            </w:r>
          </w:p>
        </w:tc>
        <w:tc>
          <w:tcPr>
            <w:tcW w:w="1380" w:type="dxa"/>
            <w:vAlign w:val="bottom"/>
            <w:shd w:val="clear" w:color="auto" w:fill="CCEEFF"/>
          </w:tcPr>
          <w:p>
            <w:pPr>
              <w:jc w:val="center"/>
              <w:ind w:right="216"/>
              <w:spacing w:after="0"/>
              <w:rPr>
                <w:sz w:val="20"/>
                <w:szCs w:val="20"/>
                <w:color w:val="auto"/>
              </w:rPr>
            </w:pPr>
            <w:r>
              <w:rPr>
                <w:rFonts w:ascii="Arial" w:cs="Arial" w:eastAsia="Arial" w:hAnsi="Arial"/>
                <w:sz w:val="17"/>
                <w:szCs w:val="17"/>
                <w:color w:val="auto"/>
                <w:w w:val="90"/>
              </w:rPr>
              <w:t>$100,000</w:t>
            </w:r>
          </w:p>
        </w:tc>
        <w:tc>
          <w:tcPr>
            <w:tcW w:w="120" w:type="dxa"/>
            <w:vAlign w:val="bottom"/>
            <w:shd w:val="clear" w:color="auto" w:fill="CCEEFF"/>
          </w:tcPr>
          <w:p>
            <w:pPr>
              <w:spacing w:after="0"/>
              <w:rPr>
                <w:sz w:val="18"/>
                <w:szCs w:val="18"/>
                <w:color w:val="auto"/>
              </w:rPr>
            </w:pPr>
          </w:p>
        </w:tc>
        <w:tc>
          <w:tcPr>
            <w:tcW w:w="3280" w:type="dxa"/>
            <w:vAlign w:val="bottom"/>
            <w:gridSpan w:val="3"/>
            <w:shd w:val="clear" w:color="auto" w:fill="CCEEFF"/>
          </w:tcPr>
          <w:p>
            <w:pPr>
              <w:jc w:val="center"/>
              <w:ind w:right="380"/>
              <w:spacing w:after="0"/>
              <w:rPr>
                <w:sz w:val="20"/>
                <w:szCs w:val="20"/>
                <w:color w:val="auto"/>
              </w:rPr>
            </w:pPr>
            <w:r>
              <w:rPr>
                <w:rFonts w:ascii="Arial" w:cs="Arial" w:eastAsia="Arial" w:hAnsi="Arial"/>
                <w:sz w:val="17"/>
                <w:szCs w:val="17"/>
                <w:color w:val="auto"/>
                <w:w w:val="94"/>
              </w:rPr>
              <w:t>Initial $1,000,000</w:t>
            </w:r>
          </w:p>
        </w:tc>
        <w:tc>
          <w:tcPr>
            <w:tcW w:w="1380" w:type="dxa"/>
            <w:vAlign w:val="bottom"/>
            <w:shd w:val="clear" w:color="auto" w:fill="CCEEFF"/>
          </w:tcPr>
          <w:p>
            <w:pPr>
              <w:jc w:val="center"/>
              <w:ind w:right="216"/>
              <w:spacing w:after="0"/>
              <w:rPr>
                <w:sz w:val="20"/>
                <w:szCs w:val="20"/>
                <w:color w:val="auto"/>
              </w:rPr>
            </w:pPr>
            <w:r>
              <w:rPr>
                <w:rFonts w:ascii="Arial" w:cs="Arial" w:eastAsia="Arial" w:hAnsi="Arial"/>
                <w:sz w:val="17"/>
                <w:szCs w:val="17"/>
                <w:color w:val="auto"/>
                <w:w w:val="90"/>
              </w:rPr>
              <w:t>$100,000</w:t>
            </w:r>
          </w:p>
        </w:tc>
        <w:tc>
          <w:tcPr>
            <w:tcW w:w="0" w:type="dxa"/>
            <w:vAlign w:val="bottom"/>
          </w:tcPr>
          <w:p>
            <w:pPr>
              <w:spacing w:after="0"/>
              <w:rPr>
                <w:sz w:val="1"/>
                <w:szCs w:val="1"/>
                <w:color w:val="auto"/>
              </w:rPr>
            </w:pPr>
          </w:p>
        </w:tc>
      </w:tr>
      <w:tr>
        <w:trPr>
          <w:trHeight w:val="209"/>
        </w:trPr>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60" w:type="dxa"/>
            <w:vAlign w:val="bottom"/>
          </w:tcPr>
          <w:p>
            <w:pPr>
              <w:jc w:val="center"/>
              <w:spacing w:after="0"/>
              <w:rPr>
                <w:sz w:val="20"/>
                <w:szCs w:val="20"/>
                <w:color w:val="auto"/>
              </w:rPr>
            </w:pPr>
            <w:r>
              <w:rPr>
                <w:rFonts w:ascii="Arial" w:cs="Arial" w:eastAsia="Arial" w:hAnsi="Arial"/>
                <w:sz w:val="17"/>
                <w:szCs w:val="17"/>
                <w:color w:val="auto"/>
                <w:w w:val="89"/>
              </w:rPr>
              <w:t>$1,000,000 - $5,000,000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tcPr>
          <w:p>
            <w:pPr>
              <w:jc w:val="center"/>
              <w:ind w:right="196"/>
              <w:spacing w:after="0"/>
              <w:rPr>
                <w:sz w:val="20"/>
                <w:szCs w:val="20"/>
                <w:color w:val="auto"/>
              </w:rPr>
            </w:pPr>
            <w:r>
              <w:rPr>
                <w:rFonts w:ascii="Arial" w:cs="Arial" w:eastAsia="Arial" w:hAnsi="Arial"/>
                <w:sz w:val="17"/>
                <w:szCs w:val="17"/>
                <w:color w:val="auto"/>
                <w:w w:val="93"/>
              </w:rPr>
              <w:t>None</w:t>
            </w:r>
          </w:p>
        </w:tc>
        <w:tc>
          <w:tcPr>
            <w:tcW w:w="2980" w:type="dxa"/>
            <w:vAlign w:val="bottom"/>
            <w:gridSpan w:val="2"/>
          </w:tcPr>
          <w:p>
            <w:pPr>
              <w:jc w:val="center"/>
              <w:ind w:left="75"/>
              <w:spacing w:after="0"/>
              <w:rPr>
                <w:sz w:val="20"/>
                <w:szCs w:val="20"/>
                <w:color w:val="auto"/>
              </w:rPr>
            </w:pPr>
            <w:r>
              <w:rPr>
                <w:rFonts w:ascii="Arial" w:cs="Arial" w:eastAsia="Arial" w:hAnsi="Arial"/>
                <w:sz w:val="17"/>
                <w:szCs w:val="17"/>
                <w:color w:val="auto"/>
                <w:w w:val="89"/>
              </w:rPr>
              <w:t>$1,000,000 - $5,000,000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tcPr>
          <w:p>
            <w:pPr>
              <w:jc w:val="center"/>
              <w:ind w:right="176"/>
              <w:spacing w:after="0"/>
              <w:rPr>
                <w:sz w:val="20"/>
                <w:szCs w:val="20"/>
                <w:color w:val="auto"/>
              </w:rPr>
            </w:pPr>
            <w:r>
              <w:rPr>
                <w:rFonts w:ascii="Arial" w:cs="Arial" w:eastAsia="Arial" w:hAnsi="Arial"/>
                <w:sz w:val="17"/>
                <w:szCs w:val="17"/>
                <w:color w:val="auto"/>
                <w:w w:val="88"/>
              </w:rPr>
              <w:t>None</w:t>
            </w:r>
          </w:p>
        </w:tc>
        <w:tc>
          <w:tcPr>
            <w:tcW w:w="0" w:type="dxa"/>
            <w:vAlign w:val="bottom"/>
          </w:tcPr>
          <w:p>
            <w:pPr>
              <w:spacing w:after="0"/>
              <w:rPr>
                <w:sz w:val="1"/>
                <w:szCs w:val="1"/>
                <w:color w:val="auto"/>
              </w:rPr>
            </w:pPr>
          </w:p>
        </w:tc>
      </w:tr>
      <w:tr>
        <w:trPr>
          <w:trHeight w:val="209"/>
        </w:trPr>
        <w:tc>
          <w:tcPr>
            <w:tcW w:w="1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300" w:type="dxa"/>
            <w:vAlign w:val="bottom"/>
            <w:gridSpan w:val="3"/>
            <w:shd w:val="clear" w:color="auto" w:fill="CCEEFF"/>
          </w:tcPr>
          <w:p>
            <w:pPr>
              <w:jc w:val="center"/>
              <w:ind w:right="400"/>
              <w:spacing w:after="0"/>
              <w:rPr>
                <w:sz w:val="20"/>
                <w:szCs w:val="20"/>
                <w:color w:val="auto"/>
              </w:rPr>
            </w:pPr>
            <w:r>
              <w:rPr>
                <w:rFonts w:ascii="Arial" w:cs="Arial" w:eastAsia="Arial" w:hAnsi="Arial"/>
                <w:sz w:val="17"/>
                <w:szCs w:val="17"/>
                <w:color w:val="auto"/>
                <w:w w:val="89"/>
              </w:rPr>
              <w:t>Over $5,000,000</w:t>
            </w:r>
          </w:p>
        </w:tc>
        <w:tc>
          <w:tcPr>
            <w:tcW w:w="1380" w:type="dxa"/>
            <w:vAlign w:val="bottom"/>
            <w:shd w:val="clear" w:color="auto" w:fill="CCEEFF"/>
          </w:tcPr>
          <w:p>
            <w:pPr>
              <w:jc w:val="center"/>
              <w:ind w:right="216"/>
              <w:spacing w:after="0"/>
              <w:rPr>
                <w:sz w:val="20"/>
                <w:szCs w:val="20"/>
                <w:color w:val="auto"/>
              </w:rPr>
            </w:pPr>
            <w:r>
              <w:rPr>
                <w:rFonts w:ascii="Arial" w:cs="Arial" w:eastAsia="Arial" w:hAnsi="Arial"/>
                <w:sz w:val="17"/>
                <w:szCs w:val="17"/>
                <w:color w:val="auto"/>
                <w:w w:val="91"/>
              </w:rPr>
              <w:t>100%</w:t>
            </w:r>
          </w:p>
        </w:tc>
        <w:tc>
          <w:tcPr>
            <w:tcW w:w="120" w:type="dxa"/>
            <w:vAlign w:val="bottom"/>
            <w:shd w:val="clear" w:color="auto" w:fill="CCEEFF"/>
          </w:tcPr>
          <w:p>
            <w:pPr>
              <w:spacing w:after="0"/>
              <w:rPr>
                <w:sz w:val="18"/>
                <w:szCs w:val="18"/>
                <w:color w:val="auto"/>
              </w:rPr>
            </w:pPr>
          </w:p>
        </w:tc>
        <w:tc>
          <w:tcPr>
            <w:tcW w:w="3280" w:type="dxa"/>
            <w:vAlign w:val="bottom"/>
            <w:gridSpan w:val="3"/>
            <w:shd w:val="clear" w:color="auto" w:fill="CCEEFF"/>
          </w:tcPr>
          <w:p>
            <w:pPr>
              <w:jc w:val="center"/>
              <w:ind w:right="380"/>
              <w:spacing w:after="0"/>
              <w:rPr>
                <w:sz w:val="20"/>
                <w:szCs w:val="20"/>
                <w:color w:val="auto"/>
              </w:rPr>
            </w:pPr>
            <w:r>
              <w:rPr>
                <w:rFonts w:ascii="Arial" w:cs="Arial" w:eastAsia="Arial" w:hAnsi="Arial"/>
                <w:sz w:val="17"/>
                <w:szCs w:val="17"/>
                <w:color w:val="auto"/>
                <w:w w:val="89"/>
              </w:rPr>
              <w:t>Over $5,000,000</w:t>
            </w:r>
          </w:p>
        </w:tc>
        <w:tc>
          <w:tcPr>
            <w:tcW w:w="1380" w:type="dxa"/>
            <w:vAlign w:val="bottom"/>
            <w:shd w:val="clear" w:color="auto" w:fill="CCEEFF"/>
          </w:tcPr>
          <w:p>
            <w:pPr>
              <w:jc w:val="center"/>
              <w:ind w:right="216"/>
              <w:spacing w:after="0"/>
              <w:rPr>
                <w:sz w:val="20"/>
                <w:szCs w:val="20"/>
                <w:color w:val="auto"/>
              </w:rPr>
            </w:pPr>
            <w:r>
              <w:rPr>
                <w:rFonts w:ascii="Arial" w:cs="Arial" w:eastAsia="Arial" w:hAnsi="Arial"/>
                <w:sz w:val="17"/>
                <w:szCs w:val="17"/>
                <w:color w:val="auto"/>
                <w:w w:val="91"/>
              </w:rPr>
              <w:t>100%</w:t>
            </w:r>
          </w:p>
        </w:tc>
        <w:tc>
          <w:tcPr>
            <w:tcW w:w="0" w:type="dxa"/>
            <w:vAlign w:val="bottom"/>
          </w:tcPr>
          <w:p>
            <w:pPr>
              <w:spacing w:after="0"/>
              <w:rPr>
                <w:sz w:val="1"/>
                <w:szCs w:val="1"/>
                <w:color w:val="auto"/>
              </w:rPr>
            </w:pPr>
          </w:p>
        </w:tc>
      </w:tr>
      <w:tr>
        <w:trPr>
          <w:trHeight w:val="209"/>
        </w:trPr>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960" w:type="dxa"/>
            <w:vAlign w:val="bottom"/>
            <w:gridSpan w:val="2"/>
            <w:shd w:val="clear" w:color="auto" w:fill="CCEEFF"/>
          </w:tcPr>
          <w:p>
            <w:pPr>
              <w:jc w:val="center"/>
              <w:ind w:right="100"/>
              <w:spacing w:after="0"/>
              <w:rPr>
                <w:sz w:val="20"/>
                <w:szCs w:val="20"/>
                <w:color w:val="auto"/>
              </w:rPr>
            </w:pPr>
            <w:r>
              <w:rPr>
                <w:rFonts w:ascii="Arial" w:cs="Arial" w:eastAsia="Arial" w:hAnsi="Arial"/>
                <w:sz w:val="17"/>
                <w:szCs w:val="17"/>
                <w:color w:val="auto"/>
                <w:w w:val="92"/>
              </w:rPr>
              <w:t>Commercial Lines</w:t>
            </w:r>
          </w:p>
        </w:tc>
        <w:tc>
          <w:tcPr>
            <w:tcW w:w="3300" w:type="dxa"/>
            <w:vAlign w:val="bottom"/>
            <w:gridSpan w:val="3"/>
            <w:shd w:val="clear" w:color="auto" w:fill="CCEEFF"/>
          </w:tcPr>
          <w:p>
            <w:pPr>
              <w:jc w:val="center"/>
              <w:ind w:right="400"/>
              <w:spacing w:after="0"/>
              <w:rPr>
                <w:sz w:val="20"/>
                <w:szCs w:val="20"/>
                <w:color w:val="auto"/>
              </w:rPr>
            </w:pPr>
            <w:r>
              <w:rPr>
                <w:rFonts w:ascii="Arial" w:cs="Arial" w:eastAsia="Arial" w:hAnsi="Arial"/>
                <w:sz w:val="17"/>
                <w:szCs w:val="17"/>
                <w:color w:val="auto"/>
                <w:w w:val="95"/>
              </w:rPr>
              <w:t>Initial $750,000</w:t>
            </w:r>
          </w:p>
        </w:tc>
        <w:tc>
          <w:tcPr>
            <w:tcW w:w="1380" w:type="dxa"/>
            <w:vAlign w:val="bottom"/>
            <w:shd w:val="clear" w:color="auto" w:fill="CCEEFF"/>
          </w:tcPr>
          <w:p>
            <w:pPr>
              <w:jc w:val="center"/>
              <w:ind w:right="216"/>
              <w:spacing w:after="0"/>
              <w:rPr>
                <w:sz w:val="20"/>
                <w:szCs w:val="20"/>
                <w:color w:val="auto"/>
              </w:rPr>
            </w:pPr>
            <w:r>
              <w:rPr>
                <w:rFonts w:ascii="Arial" w:cs="Arial" w:eastAsia="Arial" w:hAnsi="Arial"/>
                <w:sz w:val="17"/>
                <w:szCs w:val="17"/>
                <w:color w:val="auto"/>
                <w:w w:val="90"/>
              </w:rPr>
              <w:t>$750,000</w:t>
            </w:r>
          </w:p>
        </w:tc>
        <w:tc>
          <w:tcPr>
            <w:tcW w:w="120" w:type="dxa"/>
            <w:vAlign w:val="bottom"/>
            <w:shd w:val="clear" w:color="auto" w:fill="CCEEFF"/>
          </w:tcPr>
          <w:p>
            <w:pPr>
              <w:spacing w:after="0"/>
              <w:rPr>
                <w:sz w:val="18"/>
                <w:szCs w:val="18"/>
                <w:color w:val="auto"/>
              </w:rPr>
            </w:pPr>
          </w:p>
        </w:tc>
        <w:tc>
          <w:tcPr>
            <w:tcW w:w="3280" w:type="dxa"/>
            <w:vAlign w:val="bottom"/>
            <w:gridSpan w:val="3"/>
            <w:shd w:val="clear" w:color="auto" w:fill="CCEEFF"/>
          </w:tcPr>
          <w:p>
            <w:pPr>
              <w:jc w:val="center"/>
              <w:ind w:right="360"/>
              <w:spacing w:after="0"/>
              <w:rPr>
                <w:sz w:val="20"/>
                <w:szCs w:val="20"/>
                <w:color w:val="auto"/>
              </w:rPr>
            </w:pPr>
            <w:r>
              <w:rPr>
                <w:rFonts w:ascii="Arial" w:cs="Arial" w:eastAsia="Arial" w:hAnsi="Arial"/>
                <w:sz w:val="17"/>
                <w:szCs w:val="17"/>
                <w:color w:val="auto"/>
                <w:w w:val="93"/>
              </w:rPr>
              <w:t>Initial $500,000</w:t>
            </w:r>
          </w:p>
        </w:tc>
        <w:tc>
          <w:tcPr>
            <w:tcW w:w="1380" w:type="dxa"/>
            <w:vAlign w:val="bottom"/>
            <w:shd w:val="clear" w:color="auto" w:fill="CCEEFF"/>
          </w:tcPr>
          <w:p>
            <w:pPr>
              <w:jc w:val="center"/>
              <w:ind w:right="216"/>
              <w:spacing w:after="0"/>
              <w:rPr>
                <w:sz w:val="20"/>
                <w:szCs w:val="20"/>
                <w:color w:val="auto"/>
              </w:rPr>
            </w:pPr>
            <w:r>
              <w:rPr>
                <w:rFonts w:ascii="Arial" w:cs="Arial" w:eastAsia="Arial" w:hAnsi="Arial"/>
                <w:sz w:val="17"/>
                <w:szCs w:val="17"/>
                <w:color w:val="auto"/>
                <w:w w:val="90"/>
              </w:rPr>
              <w:t>$500,000</w:t>
            </w:r>
          </w:p>
        </w:tc>
        <w:tc>
          <w:tcPr>
            <w:tcW w:w="0" w:type="dxa"/>
            <w:vAlign w:val="bottom"/>
          </w:tcPr>
          <w:p>
            <w:pPr>
              <w:spacing w:after="0"/>
              <w:rPr>
                <w:sz w:val="1"/>
                <w:szCs w:val="1"/>
                <w:color w:val="auto"/>
              </w:rPr>
            </w:pPr>
          </w:p>
        </w:tc>
      </w:tr>
      <w:tr>
        <w:trPr>
          <w:trHeight w:val="209"/>
        </w:trPr>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60" w:type="dxa"/>
            <w:vAlign w:val="bottom"/>
          </w:tcPr>
          <w:p>
            <w:pPr>
              <w:jc w:val="center"/>
              <w:spacing w:after="0"/>
              <w:rPr>
                <w:sz w:val="20"/>
                <w:szCs w:val="20"/>
                <w:color w:val="auto"/>
              </w:rPr>
            </w:pPr>
            <w:r>
              <w:rPr>
                <w:rFonts w:ascii="Arial" w:cs="Arial" w:eastAsia="Arial" w:hAnsi="Arial"/>
                <w:sz w:val="17"/>
                <w:szCs w:val="17"/>
                <w:color w:val="auto"/>
                <w:w w:val="89"/>
              </w:rPr>
              <w:t>$750,000 - $4,500,000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tcPr>
          <w:p>
            <w:pPr>
              <w:jc w:val="center"/>
              <w:ind w:right="176"/>
              <w:spacing w:after="0"/>
              <w:rPr>
                <w:sz w:val="20"/>
                <w:szCs w:val="20"/>
                <w:color w:val="auto"/>
              </w:rPr>
            </w:pPr>
            <w:r>
              <w:rPr>
                <w:rFonts w:ascii="Arial" w:cs="Arial" w:eastAsia="Arial" w:hAnsi="Arial"/>
                <w:sz w:val="17"/>
                <w:szCs w:val="17"/>
                <w:color w:val="auto"/>
                <w:w w:val="91"/>
              </w:rPr>
              <w:t>None(3)</w:t>
            </w:r>
          </w:p>
        </w:tc>
        <w:tc>
          <w:tcPr>
            <w:tcW w:w="2980" w:type="dxa"/>
            <w:vAlign w:val="bottom"/>
            <w:gridSpan w:val="2"/>
          </w:tcPr>
          <w:p>
            <w:pPr>
              <w:jc w:val="center"/>
              <w:ind w:left="75"/>
              <w:spacing w:after="0"/>
              <w:rPr>
                <w:sz w:val="20"/>
                <w:szCs w:val="20"/>
                <w:color w:val="auto"/>
              </w:rPr>
            </w:pPr>
            <w:r>
              <w:rPr>
                <w:rFonts w:ascii="Arial" w:cs="Arial" w:eastAsia="Arial" w:hAnsi="Arial"/>
                <w:sz w:val="17"/>
                <w:szCs w:val="17"/>
                <w:color w:val="auto"/>
                <w:w w:val="89"/>
              </w:rPr>
              <w:t>$500,000 - $4,500,000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tcPr>
          <w:p>
            <w:pPr>
              <w:jc w:val="center"/>
              <w:ind w:right="216"/>
              <w:spacing w:after="0"/>
              <w:rPr>
                <w:sz w:val="20"/>
                <w:szCs w:val="20"/>
                <w:color w:val="auto"/>
              </w:rPr>
            </w:pPr>
            <w:r>
              <w:rPr>
                <w:rFonts w:ascii="Arial" w:cs="Arial" w:eastAsia="Arial" w:hAnsi="Arial"/>
                <w:sz w:val="17"/>
                <w:szCs w:val="17"/>
                <w:color w:val="auto"/>
                <w:w w:val="91"/>
              </w:rPr>
              <w:t>None(3)</w:t>
            </w:r>
          </w:p>
        </w:tc>
        <w:tc>
          <w:tcPr>
            <w:tcW w:w="0" w:type="dxa"/>
            <w:vAlign w:val="bottom"/>
          </w:tcPr>
          <w:p>
            <w:pPr>
              <w:spacing w:after="0"/>
              <w:rPr>
                <w:sz w:val="1"/>
                <w:szCs w:val="1"/>
                <w:color w:val="auto"/>
              </w:rPr>
            </w:pPr>
          </w:p>
        </w:tc>
      </w:tr>
      <w:tr>
        <w:trPr>
          <w:trHeight w:val="209"/>
        </w:trPr>
        <w:tc>
          <w:tcPr>
            <w:tcW w:w="1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300" w:type="dxa"/>
            <w:vAlign w:val="bottom"/>
            <w:gridSpan w:val="3"/>
            <w:shd w:val="clear" w:color="auto" w:fill="CCEEFF"/>
          </w:tcPr>
          <w:p>
            <w:pPr>
              <w:jc w:val="center"/>
              <w:ind w:right="400"/>
              <w:spacing w:after="0"/>
              <w:rPr>
                <w:sz w:val="20"/>
                <w:szCs w:val="20"/>
                <w:color w:val="auto"/>
              </w:rPr>
            </w:pPr>
            <w:r>
              <w:rPr>
                <w:rFonts w:ascii="Arial" w:cs="Arial" w:eastAsia="Arial" w:hAnsi="Arial"/>
                <w:sz w:val="17"/>
                <w:szCs w:val="17"/>
                <w:color w:val="auto"/>
                <w:w w:val="89"/>
              </w:rPr>
              <w:t>Over $4,500,000</w:t>
            </w:r>
          </w:p>
        </w:tc>
        <w:tc>
          <w:tcPr>
            <w:tcW w:w="1380" w:type="dxa"/>
            <w:vAlign w:val="bottom"/>
            <w:shd w:val="clear" w:color="auto" w:fill="CCEEFF"/>
          </w:tcPr>
          <w:p>
            <w:pPr>
              <w:jc w:val="center"/>
              <w:ind w:right="216"/>
              <w:spacing w:after="0"/>
              <w:rPr>
                <w:sz w:val="20"/>
                <w:szCs w:val="20"/>
                <w:color w:val="auto"/>
              </w:rPr>
            </w:pPr>
            <w:r>
              <w:rPr>
                <w:rFonts w:ascii="Arial" w:cs="Arial" w:eastAsia="Arial" w:hAnsi="Arial"/>
                <w:sz w:val="17"/>
                <w:szCs w:val="17"/>
                <w:color w:val="auto"/>
                <w:w w:val="91"/>
              </w:rPr>
              <w:t>100%</w:t>
            </w:r>
          </w:p>
        </w:tc>
        <w:tc>
          <w:tcPr>
            <w:tcW w:w="120" w:type="dxa"/>
            <w:vAlign w:val="bottom"/>
            <w:shd w:val="clear" w:color="auto" w:fill="CCEEFF"/>
          </w:tcPr>
          <w:p>
            <w:pPr>
              <w:spacing w:after="0"/>
              <w:rPr>
                <w:sz w:val="18"/>
                <w:szCs w:val="18"/>
                <w:color w:val="auto"/>
              </w:rPr>
            </w:pPr>
          </w:p>
        </w:tc>
        <w:tc>
          <w:tcPr>
            <w:tcW w:w="3280" w:type="dxa"/>
            <w:vAlign w:val="bottom"/>
            <w:gridSpan w:val="3"/>
            <w:shd w:val="clear" w:color="auto" w:fill="CCEEFF"/>
          </w:tcPr>
          <w:p>
            <w:pPr>
              <w:jc w:val="center"/>
              <w:ind w:right="380"/>
              <w:spacing w:after="0"/>
              <w:rPr>
                <w:sz w:val="20"/>
                <w:szCs w:val="20"/>
                <w:color w:val="auto"/>
              </w:rPr>
            </w:pPr>
            <w:r>
              <w:rPr>
                <w:rFonts w:ascii="Arial" w:cs="Arial" w:eastAsia="Arial" w:hAnsi="Arial"/>
                <w:sz w:val="17"/>
                <w:szCs w:val="17"/>
                <w:color w:val="auto"/>
                <w:w w:val="89"/>
              </w:rPr>
              <w:t>Over $4,500,000</w:t>
            </w:r>
          </w:p>
        </w:tc>
        <w:tc>
          <w:tcPr>
            <w:tcW w:w="1380" w:type="dxa"/>
            <w:vAlign w:val="bottom"/>
            <w:shd w:val="clear" w:color="auto" w:fill="CCEEFF"/>
          </w:tcPr>
          <w:p>
            <w:pPr>
              <w:jc w:val="center"/>
              <w:ind w:right="216"/>
              <w:spacing w:after="0"/>
              <w:rPr>
                <w:sz w:val="20"/>
                <w:szCs w:val="20"/>
                <w:color w:val="auto"/>
              </w:rPr>
            </w:pPr>
            <w:r>
              <w:rPr>
                <w:rFonts w:ascii="Arial" w:cs="Arial" w:eastAsia="Arial" w:hAnsi="Arial"/>
                <w:sz w:val="17"/>
                <w:szCs w:val="17"/>
                <w:color w:val="auto"/>
                <w:w w:val="91"/>
              </w:rPr>
              <w:t>100%</w:t>
            </w:r>
          </w:p>
        </w:tc>
        <w:tc>
          <w:tcPr>
            <w:tcW w:w="0" w:type="dxa"/>
            <w:vAlign w:val="bottom"/>
          </w:tcPr>
          <w:p>
            <w:pPr>
              <w:spacing w:after="0"/>
              <w:rPr>
                <w:sz w:val="1"/>
                <w:szCs w:val="1"/>
                <w:color w:val="auto"/>
              </w:rPr>
            </w:pPr>
          </w:p>
        </w:tc>
      </w:tr>
      <w:tr>
        <w:trPr>
          <w:trHeight w:val="209"/>
        </w:trPr>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96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Commercial Umbrella</w:t>
            </w:r>
          </w:p>
        </w:tc>
        <w:tc>
          <w:tcPr>
            <w:tcW w:w="3300" w:type="dxa"/>
            <w:vAlign w:val="bottom"/>
            <w:gridSpan w:val="3"/>
            <w:shd w:val="clear" w:color="auto" w:fill="CCEEFF"/>
          </w:tcPr>
          <w:p>
            <w:pPr>
              <w:jc w:val="center"/>
              <w:ind w:right="400"/>
              <w:spacing w:after="0"/>
              <w:rPr>
                <w:sz w:val="20"/>
                <w:szCs w:val="20"/>
                <w:color w:val="auto"/>
              </w:rPr>
            </w:pPr>
            <w:r>
              <w:rPr>
                <w:rFonts w:ascii="Arial" w:cs="Arial" w:eastAsia="Arial" w:hAnsi="Arial"/>
                <w:sz w:val="17"/>
                <w:szCs w:val="17"/>
                <w:color w:val="auto"/>
                <w:w w:val="94"/>
              </w:rPr>
              <w:t>Initial $1,000,000</w:t>
            </w:r>
          </w:p>
        </w:tc>
        <w:tc>
          <w:tcPr>
            <w:tcW w:w="1380" w:type="dxa"/>
            <w:vAlign w:val="bottom"/>
            <w:shd w:val="clear" w:color="auto" w:fill="CCEEFF"/>
          </w:tcPr>
          <w:p>
            <w:pPr>
              <w:jc w:val="center"/>
              <w:ind w:right="216"/>
              <w:spacing w:after="0"/>
              <w:rPr>
                <w:sz w:val="20"/>
                <w:szCs w:val="20"/>
                <w:color w:val="auto"/>
              </w:rPr>
            </w:pPr>
            <w:r>
              <w:rPr>
                <w:rFonts w:ascii="Arial" w:cs="Arial" w:eastAsia="Arial" w:hAnsi="Arial"/>
                <w:sz w:val="17"/>
                <w:szCs w:val="17"/>
                <w:color w:val="auto"/>
                <w:w w:val="90"/>
              </w:rPr>
              <w:t>$100,000</w:t>
            </w:r>
          </w:p>
        </w:tc>
        <w:tc>
          <w:tcPr>
            <w:tcW w:w="120" w:type="dxa"/>
            <w:vAlign w:val="bottom"/>
            <w:shd w:val="clear" w:color="auto" w:fill="CCEEFF"/>
          </w:tcPr>
          <w:p>
            <w:pPr>
              <w:spacing w:after="0"/>
              <w:rPr>
                <w:sz w:val="18"/>
                <w:szCs w:val="18"/>
                <w:color w:val="auto"/>
              </w:rPr>
            </w:pPr>
          </w:p>
        </w:tc>
        <w:tc>
          <w:tcPr>
            <w:tcW w:w="3280" w:type="dxa"/>
            <w:vAlign w:val="bottom"/>
            <w:gridSpan w:val="3"/>
            <w:shd w:val="clear" w:color="auto" w:fill="CCEEFF"/>
          </w:tcPr>
          <w:p>
            <w:pPr>
              <w:jc w:val="center"/>
              <w:ind w:right="380"/>
              <w:spacing w:after="0"/>
              <w:rPr>
                <w:sz w:val="20"/>
                <w:szCs w:val="20"/>
                <w:color w:val="auto"/>
              </w:rPr>
            </w:pPr>
            <w:r>
              <w:rPr>
                <w:rFonts w:ascii="Arial" w:cs="Arial" w:eastAsia="Arial" w:hAnsi="Arial"/>
                <w:sz w:val="17"/>
                <w:szCs w:val="17"/>
                <w:color w:val="auto"/>
                <w:w w:val="94"/>
              </w:rPr>
              <w:t>Initial $1,000,000</w:t>
            </w:r>
          </w:p>
        </w:tc>
        <w:tc>
          <w:tcPr>
            <w:tcW w:w="1380" w:type="dxa"/>
            <w:vAlign w:val="bottom"/>
            <w:shd w:val="clear" w:color="auto" w:fill="CCEEFF"/>
          </w:tcPr>
          <w:p>
            <w:pPr>
              <w:jc w:val="center"/>
              <w:ind w:right="216"/>
              <w:spacing w:after="0"/>
              <w:rPr>
                <w:sz w:val="20"/>
                <w:szCs w:val="20"/>
                <w:color w:val="auto"/>
              </w:rPr>
            </w:pPr>
            <w:r>
              <w:rPr>
                <w:rFonts w:ascii="Arial" w:cs="Arial" w:eastAsia="Arial" w:hAnsi="Arial"/>
                <w:sz w:val="17"/>
                <w:szCs w:val="17"/>
                <w:color w:val="auto"/>
                <w:w w:val="90"/>
              </w:rPr>
              <w:t>$100,000</w:t>
            </w:r>
          </w:p>
        </w:tc>
        <w:tc>
          <w:tcPr>
            <w:tcW w:w="0" w:type="dxa"/>
            <w:vAlign w:val="bottom"/>
          </w:tcPr>
          <w:p>
            <w:pPr>
              <w:spacing w:after="0"/>
              <w:rPr>
                <w:sz w:val="1"/>
                <w:szCs w:val="1"/>
                <w:color w:val="auto"/>
              </w:rPr>
            </w:pPr>
          </w:p>
        </w:tc>
      </w:tr>
      <w:tr>
        <w:trPr>
          <w:trHeight w:val="209"/>
        </w:trPr>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60" w:type="dxa"/>
            <w:vAlign w:val="bottom"/>
          </w:tcPr>
          <w:p>
            <w:pPr>
              <w:jc w:val="center"/>
              <w:spacing w:after="0"/>
              <w:rPr>
                <w:sz w:val="20"/>
                <w:szCs w:val="20"/>
                <w:color w:val="auto"/>
              </w:rPr>
            </w:pPr>
            <w:r>
              <w:rPr>
                <w:rFonts w:ascii="Arial" w:cs="Arial" w:eastAsia="Arial" w:hAnsi="Arial"/>
                <w:sz w:val="17"/>
                <w:szCs w:val="17"/>
                <w:color w:val="auto"/>
                <w:w w:val="89"/>
              </w:rPr>
              <w:t>$1,000,000 - $5,000,000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tcPr>
          <w:p>
            <w:pPr>
              <w:jc w:val="center"/>
              <w:ind w:right="196"/>
              <w:spacing w:after="0"/>
              <w:rPr>
                <w:sz w:val="20"/>
                <w:szCs w:val="20"/>
                <w:color w:val="auto"/>
              </w:rPr>
            </w:pPr>
            <w:r>
              <w:rPr>
                <w:rFonts w:ascii="Arial" w:cs="Arial" w:eastAsia="Arial" w:hAnsi="Arial"/>
                <w:sz w:val="17"/>
                <w:szCs w:val="17"/>
                <w:color w:val="auto"/>
                <w:w w:val="93"/>
              </w:rPr>
              <w:t>None</w:t>
            </w:r>
          </w:p>
        </w:tc>
        <w:tc>
          <w:tcPr>
            <w:tcW w:w="2980" w:type="dxa"/>
            <w:vAlign w:val="bottom"/>
            <w:gridSpan w:val="2"/>
          </w:tcPr>
          <w:p>
            <w:pPr>
              <w:jc w:val="center"/>
              <w:ind w:left="75"/>
              <w:spacing w:after="0"/>
              <w:rPr>
                <w:sz w:val="20"/>
                <w:szCs w:val="20"/>
                <w:color w:val="auto"/>
              </w:rPr>
            </w:pPr>
            <w:r>
              <w:rPr>
                <w:rFonts w:ascii="Arial" w:cs="Arial" w:eastAsia="Arial" w:hAnsi="Arial"/>
                <w:sz w:val="17"/>
                <w:szCs w:val="17"/>
                <w:color w:val="auto"/>
                <w:w w:val="89"/>
              </w:rPr>
              <w:t>$1,000,000 - $5,000,000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tcPr>
          <w:p>
            <w:pPr>
              <w:jc w:val="center"/>
              <w:ind w:right="176"/>
              <w:spacing w:after="0"/>
              <w:rPr>
                <w:sz w:val="20"/>
                <w:szCs w:val="20"/>
                <w:color w:val="auto"/>
              </w:rPr>
            </w:pPr>
            <w:r>
              <w:rPr>
                <w:rFonts w:ascii="Arial" w:cs="Arial" w:eastAsia="Arial" w:hAnsi="Arial"/>
                <w:sz w:val="17"/>
                <w:szCs w:val="17"/>
                <w:color w:val="auto"/>
                <w:w w:val="88"/>
              </w:rPr>
              <w:t>None</w:t>
            </w:r>
          </w:p>
        </w:tc>
        <w:tc>
          <w:tcPr>
            <w:tcW w:w="0" w:type="dxa"/>
            <w:vAlign w:val="bottom"/>
          </w:tcPr>
          <w:p>
            <w:pPr>
              <w:spacing w:after="0"/>
              <w:rPr>
                <w:sz w:val="1"/>
                <w:szCs w:val="1"/>
                <w:color w:val="auto"/>
              </w:rPr>
            </w:pPr>
          </w:p>
        </w:tc>
      </w:tr>
      <w:tr>
        <w:trPr>
          <w:trHeight w:val="209"/>
        </w:trPr>
        <w:tc>
          <w:tcPr>
            <w:tcW w:w="1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300" w:type="dxa"/>
            <w:vAlign w:val="bottom"/>
            <w:gridSpan w:val="3"/>
            <w:shd w:val="clear" w:color="auto" w:fill="CCEEFF"/>
          </w:tcPr>
          <w:p>
            <w:pPr>
              <w:jc w:val="center"/>
              <w:ind w:right="400"/>
              <w:spacing w:after="0"/>
              <w:rPr>
                <w:sz w:val="20"/>
                <w:szCs w:val="20"/>
                <w:color w:val="auto"/>
              </w:rPr>
            </w:pPr>
            <w:r>
              <w:rPr>
                <w:rFonts w:ascii="Arial" w:cs="Arial" w:eastAsia="Arial" w:hAnsi="Arial"/>
                <w:sz w:val="17"/>
                <w:szCs w:val="17"/>
                <w:color w:val="auto"/>
                <w:w w:val="89"/>
              </w:rPr>
              <w:t>Over $5,000,000</w:t>
            </w:r>
          </w:p>
        </w:tc>
        <w:tc>
          <w:tcPr>
            <w:tcW w:w="1380" w:type="dxa"/>
            <w:vAlign w:val="bottom"/>
            <w:shd w:val="clear" w:color="auto" w:fill="CCEEFF"/>
          </w:tcPr>
          <w:p>
            <w:pPr>
              <w:jc w:val="center"/>
              <w:ind w:right="216"/>
              <w:spacing w:after="0"/>
              <w:rPr>
                <w:sz w:val="20"/>
                <w:szCs w:val="20"/>
                <w:color w:val="auto"/>
              </w:rPr>
            </w:pPr>
            <w:r>
              <w:rPr>
                <w:rFonts w:ascii="Arial" w:cs="Arial" w:eastAsia="Arial" w:hAnsi="Arial"/>
                <w:sz w:val="17"/>
                <w:szCs w:val="17"/>
                <w:color w:val="auto"/>
                <w:w w:val="91"/>
              </w:rPr>
              <w:t>100%</w:t>
            </w:r>
          </w:p>
        </w:tc>
        <w:tc>
          <w:tcPr>
            <w:tcW w:w="120" w:type="dxa"/>
            <w:vAlign w:val="bottom"/>
            <w:shd w:val="clear" w:color="auto" w:fill="CCEEFF"/>
          </w:tcPr>
          <w:p>
            <w:pPr>
              <w:spacing w:after="0"/>
              <w:rPr>
                <w:sz w:val="18"/>
                <w:szCs w:val="18"/>
                <w:color w:val="auto"/>
              </w:rPr>
            </w:pPr>
          </w:p>
        </w:tc>
        <w:tc>
          <w:tcPr>
            <w:tcW w:w="3280" w:type="dxa"/>
            <w:vAlign w:val="bottom"/>
            <w:gridSpan w:val="3"/>
            <w:shd w:val="clear" w:color="auto" w:fill="CCEEFF"/>
          </w:tcPr>
          <w:p>
            <w:pPr>
              <w:jc w:val="center"/>
              <w:ind w:right="380"/>
              <w:spacing w:after="0"/>
              <w:rPr>
                <w:sz w:val="20"/>
                <w:szCs w:val="20"/>
                <w:color w:val="auto"/>
              </w:rPr>
            </w:pPr>
            <w:r>
              <w:rPr>
                <w:rFonts w:ascii="Arial" w:cs="Arial" w:eastAsia="Arial" w:hAnsi="Arial"/>
                <w:sz w:val="17"/>
                <w:szCs w:val="17"/>
                <w:color w:val="auto"/>
                <w:w w:val="89"/>
              </w:rPr>
              <w:t>Over $5,000,000</w:t>
            </w:r>
          </w:p>
        </w:tc>
        <w:tc>
          <w:tcPr>
            <w:tcW w:w="1380" w:type="dxa"/>
            <w:vAlign w:val="bottom"/>
            <w:shd w:val="clear" w:color="auto" w:fill="CCEEFF"/>
          </w:tcPr>
          <w:p>
            <w:pPr>
              <w:jc w:val="center"/>
              <w:ind w:right="216"/>
              <w:spacing w:after="0"/>
              <w:rPr>
                <w:sz w:val="20"/>
                <w:szCs w:val="20"/>
                <w:color w:val="auto"/>
              </w:rPr>
            </w:pPr>
            <w:r>
              <w:rPr>
                <w:rFonts w:ascii="Arial" w:cs="Arial" w:eastAsia="Arial" w:hAnsi="Arial"/>
                <w:sz w:val="17"/>
                <w:szCs w:val="17"/>
                <w:color w:val="auto"/>
                <w:w w:val="91"/>
              </w:rPr>
              <w:t>100%</w:t>
            </w:r>
          </w:p>
        </w:tc>
        <w:tc>
          <w:tcPr>
            <w:tcW w:w="0" w:type="dxa"/>
            <w:vAlign w:val="bottom"/>
          </w:tcPr>
          <w:p>
            <w:pPr>
              <w:spacing w:after="0"/>
              <w:rPr>
                <w:sz w:val="1"/>
                <w:szCs w:val="1"/>
                <w:color w:val="auto"/>
              </w:rPr>
            </w:pPr>
          </w:p>
        </w:tc>
      </w:tr>
      <w:tr>
        <w:trPr>
          <w:trHeight w:val="209"/>
        </w:trPr>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960" w:type="dxa"/>
            <w:vAlign w:val="bottom"/>
            <w:gridSpan w:val="2"/>
            <w:shd w:val="clear" w:color="auto" w:fill="CCEEFF"/>
          </w:tcPr>
          <w:p>
            <w:pPr>
              <w:jc w:val="center"/>
              <w:ind w:right="120"/>
              <w:spacing w:after="0"/>
              <w:rPr>
                <w:sz w:val="20"/>
                <w:szCs w:val="20"/>
                <w:color w:val="auto"/>
              </w:rPr>
            </w:pPr>
            <w:r>
              <w:rPr>
                <w:rFonts w:ascii="Arial" w:cs="Arial" w:eastAsia="Arial" w:hAnsi="Arial"/>
                <w:sz w:val="17"/>
                <w:szCs w:val="17"/>
                <w:color w:val="auto"/>
                <w:w w:val="88"/>
              </w:rPr>
              <w:t>Catastrophe (4)</w:t>
            </w:r>
          </w:p>
        </w:tc>
        <w:tc>
          <w:tcPr>
            <w:tcW w:w="3300" w:type="dxa"/>
            <w:vAlign w:val="bottom"/>
            <w:gridSpan w:val="3"/>
            <w:shd w:val="clear" w:color="auto" w:fill="CCEEFF"/>
          </w:tcPr>
          <w:p>
            <w:pPr>
              <w:jc w:val="center"/>
              <w:ind w:right="400"/>
              <w:spacing w:after="0"/>
              <w:rPr>
                <w:sz w:val="20"/>
                <w:szCs w:val="20"/>
                <w:color w:val="auto"/>
              </w:rPr>
            </w:pPr>
            <w:r>
              <w:rPr>
                <w:rFonts w:ascii="Arial" w:cs="Arial" w:eastAsia="Arial" w:hAnsi="Arial"/>
                <w:sz w:val="17"/>
                <w:szCs w:val="17"/>
                <w:color w:val="auto"/>
                <w:w w:val="94"/>
              </w:rPr>
              <w:t>Initial $5,000,000</w:t>
            </w:r>
          </w:p>
        </w:tc>
        <w:tc>
          <w:tcPr>
            <w:tcW w:w="1380" w:type="dxa"/>
            <w:vAlign w:val="bottom"/>
            <w:shd w:val="clear" w:color="auto" w:fill="CCEEFF"/>
          </w:tcPr>
          <w:p>
            <w:pPr>
              <w:jc w:val="center"/>
              <w:ind w:right="236"/>
              <w:spacing w:after="0"/>
              <w:rPr>
                <w:sz w:val="20"/>
                <w:szCs w:val="20"/>
                <w:color w:val="auto"/>
              </w:rPr>
            </w:pPr>
            <w:r>
              <w:rPr>
                <w:rFonts w:ascii="Arial" w:cs="Arial" w:eastAsia="Arial" w:hAnsi="Arial"/>
                <w:sz w:val="17"/>
                <w:szCs w:val="17"/>
                <w:color w:val="auto"/>
                <w:w w:val="91"/>
              </w:rPr>
              <w:t>$4,000,000</w:t>
            </w:r>
          </w:p>
        </w:tc>
        <w:tc>
          <w:tcPr>
            <w:tcW w:w="120" w:type="dxa"/>
            <w:vAlign w:val="bottom"/>
            <w:shd w:val="clear" w:color="auto" w:fill="CCEEFF"/>
          </w:tcPr>
          <w:p>
            <w:pPr>
              <w:spacing w:after="0"/>
              <w:rPr>
                <w:sz w:val="18"/>
                <w:szCs w:val="18"/>
                <w:color w:val="auto"/>
              </w:rPr>
            </w:pPr>
          </w:p>
        </w:tc>
        <w:tc>
          <w:tcPr>
            <w:tcW w:w="3280" w:type="dxa"/>
            <w:vAlign w:val="bottom"/>
            <w:gridSpan w:val="3"/>
            <w:shd w:val="clear" w:color="auto" w:fill="CCEEFF"/>
          </w:tcPr>
          <w:p>
            <w:pPr>
              <w:jc w:val="center"/>
              <w:ind w:right="380"/>
              <w:spacing w:after="0"/>
              <w:rPr>
                <w:sz w:val="20"/>
                <w:szCs w:val="20"/>
                <w:color w:val="auto"/>
              </w:rPr>
            </w:pPr>
            <w:r>
              <w:rPr>
                <w:rFonts w:ascii="Arial" w:cs="Arial" w:eastAsia="Arial" w:hAnsi="Arial"/>
                <w:sz w:val="17"/>
                <w:szCs w:val="17"/>
                <w:color w:val="auto"/>
                <w:w w:val="94"/>
              </w:rPr>
              <w:t>Initial $5,000,000</w:t>
            </w:r>
          </w:p>
        </w:tc>
        <w:tc>
          <w:tcPr>
            <w:tcW w:w="1380" w:type="dxa"/>
            <w:vAlign w:val="bottom"/>
            <w:shd w:val="clear" w:color="auto" w:fill="CCEEFF"/>
          </w:tcPr>
          <w:p>
            <w:pPr>
              <w:jc w:val="center"/>
              <w:ind w:right="216"/>
              <w:spacing w:after="0"/>
              <w:rPr>
                <w:sz w:val="20"/>
                <w:szCs w:val="20"/>
                <w:color w:val="auto"/>
              </w:rPr>
            </w:pPr>
            <w:r>
              <w:rPr>
                <w:rFonts w:ascii="Arial" w:cs="Arial" w:eastAsia="Arial" w:hAnsi="Arial"/>
                <w:sz w:val="17"/>
                <w:szCs w:val="17"/>
                <w:color w:val="auto"/>
                <w:w w:val="89"/>
              </w:rPr>
              <w:t>$3,000,000</w:t>
            </w:r>
          </w:p>
        </w:tc>
        <w:tc>
          <w:tcPr>
            <w:tcW w:w="0" w:type="dxa"/>
            <w:vAlign w:val="bottom"/>
          </w:tcPr>
          <w:p>
            <w:pPr>
              <w:spacing w:after="0"/>
              <w:rPr>
                <w:sz w:val="1"/>
                <w:szCs w:val="1"/>
                <w:color w:val="auto"/>
              </w:rPr>
            </w:pPr>
          </w:p>
        </w:tc>
      </w:tr>
      <w:tr>
        <w:trPr>
          <w:trHeight w:val="209"/>
        </w:trPr>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60" w:type="dxa"/>
            <w:vAlign w:val="bottom"/>
          </w:tcPr>
          <w:p>
            <w:pPr>
              <w:jc w:val="center"/>
              <w:spacing w:after="0"/>
              <w:rPr>
                <w:sz w:val="20"/>
                <w:szCs w:val="20"/>
                <w:color w:val="auto"/>
              </w:rPr>
            </w:pPr>
            <w:r>
              <w:rPr>
                <w:rFonts w:ascii="Arial" w:cs="Arial" w:eastAsia="Arial" w:hAnsi="Arial"/>
                <w:sz w:val="17"/>
                <w:szCs w:val="17"/>
                <w:color w:val="auto"/>
                <w:w w:val="90"/>
              </w:rPr>
              <w:t>$5,000,000 - $320,000,000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tcPr>
          <w:p>
            <w:pPr>
              <w:jc w:val="center"/>
              <w:ind w:right="196"/>
              <w:spacing w:after="0"/>
              <w:rPr>
                <w:sz w:val="20"/>
                <w:szCs w:val="20"/>
                <w:color w:val="auto"/>
              </w:rPr>
            </w:pPr>
            <w:r>
              <w:rPr>
                <w:rFonts w:ascii="Arial" w:cs="Arial" w:eastAsia="Arial" w:hAnsi="Arial"/>
                <w:sz w:val="17"/>
                <w:szCs w:val="17"/>
                <w:color w:val="auto"/>
                <w:w w:val="93"/>
              </w:rPr>
              <w:t>None</w:t>
            </w:r>
          </w:p>
        </w:tc>
        <w:tc>
          <w:tcPr>
            <w:tcW w:w="2980" w:type="dxa"/>
            <w:vAlign w:val="bottom"/>
            <w:gridSpan w:val="2"/>
          </w:tcPr>
          <w:p>
            <w:pPr>
              <w:jc w:val="center"/>
              <w:ind w:left="95"/>
              <w:spacing w:after="0"/>
              <w:rPr>
                <w:sz w:val="20"/>
                <w:szCs w:val="20"/>
                <w:color w:val="auto"/>
              </w:rPr>
            </w:pPr>
            <w:r>
              <w:rPr>
                <w:rFonts w:ascii="Arial" w:cs="Arial" w:eastAsia="Arial" w:hAnsi="Arial"/>
                <w:sz w:val="17"/>
                <w:szCs w:val="17"/>
                <w:color w:val="auto"/>
                <w:w w:val="90"/>
              </w:rPr>
              <w:t>$5,000,000 - $252,000,000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tcPr>
          <w:p>
            <w:pPr>
              <w:jc w:val="center"/>
              <w:ind w:right="176"/>
              <w:spacing w:after="0"/>
              <w:rPr>
                <w:sz w:val="20"/>
                <w:szCs w:val="20"/>
                <w:color w:val="auto"/>
              </w:rPr>
            </w:pPr>
            <w:r>
              <w:rPr>
                <w:rFonts w:ascii="Arial" w:cs="Arial" w:eastAsia="Arial" w:hAnsi="Arial"/>
                <w:sz w:val="17"/>
                <w:szCs w:val="17"/>
                <w:color w:val="auto"/>
                <w:w w:val="88"/>
              </w:rPr>
              <w:t>None</w:t>
            </w:r>
          </w:p>
        </w:tc>
        <w:tc>
          <w:tcPr>
            <w:tcW w:w="0" w:type="dxa"/>
            <w:vAlign w:val="bottom"/>
          </w:tcPr>
          <w:p>
            <w:pPr>
              <w:spacing w:after="0"/>
              <w:rPr>
                <w:sz w:val="1"/>
                <w:szCs w:val="1"/>
                <w:color w:val="auto"/>
              </w:rPr>
            </w:pPr>
          </w:p>
        </w:tc>
      </w:tr>
      <w:tr>
        <w:trPr>
          <w:trHeight w:val="209"/>
        </w:trPr>
        <w:tc>
          <w:tcPr>
            <w:tcW w:w="1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300" w:type="dxa"/>
            <w:vAlign w:val="bottom"/>
            <w:gridSpan w:val="3"/>
            <w:shd w:val="clear" w:color="auto" w:fill="CCEEFF"/>
          </w:tcPr>
          <w:p>
            <w:pPr>
              <w:jc w:val="center"/>
              <w:ind w:right="420"/>
              <w:spacing w:after="0"/>
              <w:rPr>
                <w:sz w:val="20"/>
                <w:szCs w:val="20"/>
                <w:color w:val="auto"/>
              </w:rPr>
            </w:pPr>
            <w:r>
              <w:rPr>
                <w:rFonts w:ascii="Arial" w:cs="Arial" w:eastAsia="Arial" w:hAnsi="Arial"/>
                <w:sz w:val="17"/>
                <w:szCs w:val="17"/>
                <w:color w:val="auto"/>
                <w:w w:val="90"/>
              </w:rPr>
              <w:t>Over $320,000,000</w:t>
            </w:r>
          </w:p>
        </w:tc>
        <w:tc>
          <w:tcPr>
            <w:tcW w:w="1380" w:type="dxa"/>
            <w:vAlign w:val="bottom"/>
            <w:shd w:val="clear" w:color="auto" w:fill="CCEEFF"/>
          </w:tcPr>
          <w:p>
            <w:pPr>
              <w:jc w:val="center"/>
              <w:ind w:right="216"/>
              <w:spacing w:after="0"/>
              <w:rPr>
                <w:sz w:val="20"/>
                <w:szCs w:val="20"/>
                <w:color w:val="auto"/>
              </w:rPr>
            </w:pPr>
            <w:r>
              <w:rPr>
                <w:rFonts w:ascii="Arial" w:cs="Arial" w:eastAsia="Arial" w:hAnsi="Arial"/>
                <w:sz w:val="17"/>
                <w:szCs w:val="17"/>
                <w:color w:val="auto"/>
                <w:w w:val="91"/>
              </w:rPr>
              <w:t>100%</w:t>
            </w:r>
          </w:p>
        </w:tc>
        <w:tc>
          <w:tcPr>
            <w:tcW w:w="120" w:type="dxa"/>
            <w:vAlign w:val="bottom"/>
            <w:shd w:val="clear" w:color="auto" w:fill="CCEEFF"/>
          </w:tcPr>
          <w:p>
            <w:pPr>
              <w:spacing w:after="0"/>
              <w:rPr>
                <w:sz w:val="18"/>
                <w:szCs w:val="18"/>
                <w:color w:val="auto"/>
              </w:rPr>
            </w:pPr>
          </w:p>
        </w:tc>
        <w:tc>
          <w:tcPr>
            <w:tcW w:w="3280" w:type="dxa"/>
            <w:vAlign w:val="bottom"/>
            <w:gridSpan w:val="3"/>
            <w:shd w:val="clear" w:color="auto" w:fill="CCEEFF"/>
          </w:tcPr>
          <w:p>
            <w:pPr>
              <w:jc w:val="center"/>
              <w:ind w:right="360"/>
              <w:spacing w:after="0"/>
              <w:rPr>
                <w:sz w:val="20"/>
                <w:szCs w:val="20"/>
                <w:color w:val="auto"/>
              </w:rPr>
            </w:pPr>
            <w:r>
              <w:rPr>
                <w:rFonts w:ascii="Arial" w:cs="Arial" w:eastAsia="Arial" w:hAnsi="Arial"/>
                <w:sz w:val="17"/>
                <w:szCs w:val="17"/>
                <w:color w:val="auto"/>
                <w:w w:val="90"/>
              </w:rPr>
              <w:t>Over $252,000,000</w:t>
            </w:r>
          </w:p>
        </w:tc>
        <w:tc>
          <w:tcPr>
            <w:tcW w:w="1380" w:type="dxa"/>
            <w:vAlign w:val="bottom"/>
            <w:shd w:val="clear" w:color="auto" w:fill="CCEEFF"/>
          </w:tcPr>
          <w:p>
            <w:pPr>
              <w:jc w:val="center"/>
              <w:ind w:right="216"/>
              <w:spacing w:after="0"/>
              <w:rPr>
                <w:sz w:val="20"/>
                <w:szCs w:val="20"/>
                <w:color w:val="auto"/>
              </w:rPr>
            </w:pPr>
            <w:r>
              <w:rPr>
                <w:rFonts w:ascii="Arial" w:cs="Arial" w:eastAsia="Arial" w:hAnsi="Arial"/>
                <w:sz w:val="17"/>
                <w:szCs w:val="17"/>
                <w:color w:val="auto"/>
                <w:w w:val="91"/>
              </w:rPr>
              <w:t>100%</w:t>
            </w:r>
          </w:p>
        </w:tc>
        <w:tc>
          <w:tcPr>
            <w:tcW w:w="0" w:type="dxa"/>
            <w:vAlign w:val="bottom"/>
          </w:tcPr>
          <w:p>
            <w:pPr>
              <w:spacing w:after="0"/>
              <w:rPr>
                <w:sz w:val="1"/>
                <w:szCs w:val="1"/>
                <w:color w:val="auto"/>
              </w:rPr>
            </w:pPr>
          </w:p>
        </w:tc>
      </w:tr>
    </w:tbl>
    <w:p>
      <w:pPr>
        <w:spacing w:after="0" w:line="227" w:lineRule="exact"/>
        <w:rPr>
          <w:sz w:val="20"/>
          <w:szCs w:val="20"/>
          <w:color w:val="auto"/>
        </w:rPr>
      </w:pPr>
    </w:p>
    <w:p>
      <w:pPr>
        <w:ind w:left="320" w:hanging="315"/>
        <w:spacing w:after="0"/>
        <w:tabs>
          <w:tab w:leader="none" w:pos="3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Treaty for July 1, 2017 – June 30, 2018 is a two-year treaty with expiration date of June 30, 2019.</w:t>
      </w:r>
    </w:p>
    <w:p>
      <w:pPr>
        <w:spacing w:after="0" w:line="20" w:lineRule="exact"/>
        <w:rPr>
          <w:rFonts w:ascii="Arial" w:cs="Arial" w:eastAsia="Arial" w:hAnsi="Arial"/>
          <w:sz w:val="17"/>
          <w:szCs w:val="17"/>
          <w:color w:val="auto"/>
        </w:rPr>
      </w:pPr>
    </w:p>
    <w:p>
      <w:pPr>
        <w:ind w:left="320" w:hanging="315"/>
        <w:spacing w:after="0"/>
        <w:tabs>
          <w:tab w:leader="none" w:pos="3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Covered by excess of loss treaties up to $3,500,000 and by facultative facility from $3,500,000 to $10,000,000.</w:t>
      </w:r>
    </w:p>
    <w:p>
      <w:pPr>
        <w:spacing w:after="0" w:line="13" w:lineRule="exact"/>
        <w:rPr>
          <w:rFonts w:ascii="Arial" w:cs="Arial" w:eastAsia="Arial" w:hAnsi="Arial"/>
          <w:sz w:val="17"/>
          <w:szCs w:val="17"/>
          <w:color w:val="auto"/>
        </w:rPr>
      </w:pPr>
    </w:p>
    <w:p>
      <w:pPr>
        <w:ind w:left="320" w:hanging="315"/>
        <w:spacing w:after="0"/>
        <w:tabs>
          <w:tab w:leader="none" w:pos="3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Covered by excess of loss treaties.</w:t>
      </w:r>
    </w:p>
    <w:p>
      <w:pPr>
        <w:spacing w:after="0" w:line="13" w:lineRule="exact"/>
        <w:rPr>
          <w:rFonts w:ascii="Arial" w:cs="Arial" w:eastAsia="Arial" w:hAnsi="Arial"/>
          <w:sz w:val="17"/>
          <w:szCs w:val="17"/>
          <w:color w:val="auto"/>
        </w:rPr>
      </w:pPr>
    </w:p>
    <w:p>
      <w:pPr>
        <w:ind w:left="320" w:hanging="315"/>
        <w:spacing w:after="0"/>
        <w:tabs>
          <w:tab w:leader="none" w:pos="3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Catastrophe coverage is limited on an annual basis to two times the per occurrence amounts.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25106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ectPr>
          <w:pgSz w:w="11900" w:h="16838" w:orient="portrait"/>
          <w:cols w:equalWidth="0" w:num="1">
            <w:col w:w="11420"/>
          </w:cols>
          <w:pgMar w:left="240" w:top="432" w:right="239" w:bottom="1440" w:gutter="0" w:footer="0" w:header="0"/>
        </w:sectPr>
      </w:pPr>
    </w:p>
    <w:bookmarkStart w:id="29" w:name="page30"/>
    <w:bookmarkEnd w:id="29"/>
    <w:p>
      <w:pPr>
        <w:jc w:val="both"/>
        <w:spacing w:after="0" w:line="265" w:lineRule="auto"/>
        <w:rPr>
          <w:sz w:val="20"/>
          <w:szCs w:val="20"/>
          <w:color w:val="auto"/>
        </w:rPr>
      </w:pPr>
      <w:r>
        <w:rPr>
          <w:rFonts w:ascii="Arial" w:cs="Arial" w:eastAsia="Arial" w:hAnsi="Arial"/>
          <w:sz w:val="17"/>
          <w:szCs w:val="17"/>
          <w:color w:val="auto"/>
        </w:rPr>
        <w:t>The Company’s reinsurance program is structured to enable the Company to significantly grow its premium volume while maintaining regulatory capital and other financial ratios generally within or below the expected ranges used for regulatory oversight purposes. The reinsurance program also provides income as a result of ceding commissions earned pursuant to the quota share reinsurance contracts. The Company’s participation in reinsurance arrangements does not relieve the Company of its obligations to policyholders.</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Ceding Commission Revenue</w:t>
      </w:r>
    </w:p>
    <w:p>
      <w:pPr>
        <w:spacing w:after="0" w:line="223"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The Company earns ceding commission revenue under its quota share reinsurance agreements based on: (i) a fixed provisional commission rate at which provisional ceding commissions are earned, and (ii) a sliding scale of commission rates and ultimate treaty year loss ratios on the policies reinsured under each of these agreements based upon which contingent ceding commissions are earned. The sliding scale includes minimum and maximum commission rates in relation to specified ultimate loss ratios. The commission rate and contingent ceding commissions earned increases when the estimated ultimate loss ratio decreases and, conversely, the commission rate and contingent ceding commissions earned decreases when the estimated ultimate loss ratio increases.</w:t>
      </w:r>
    </w:p>
    <w:p>
      <w:pPr>
        <w:spacing w:after="0" w:line="17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Company’s estimated ultimate treaty year loss ratios (the “Loss Ratio(s)”) for treaties in effect for the three months ended March 31, 2019 are attributable to contracts under the 2017/2019 Treaty for the 2018/2019 Treaty Year. The Loss Ratios for treaties in effect for the three months ended March 31, 2018 are attributable to contracts under the 2017/2019 Treaty for the 2017/2018 Treaty Year.</w:t>
      </w:r>
    </w:p>
    <w:p>
      <w:pPr>
        <w:spacing w:after="0" w:line="180" w:lineRule="exact"/>
        <w:rPr>
          <w:sz w:val="20"/>
          <w:szCs w:val="20"/>
          <w:color w:val="auto"/>
        </w:rPr>
      </w:pPr>
    </w:p>
    <w:p>
      <w:pPr>
        <w:ind w:left="640"/>
        <w:spacing w:after="0"/>
        <w:rPr>
          <w:sz w:val="20"/>
          <w:szCs w:val="20"/>
          <w:color w:val="auto"/>
        </w:rPr>
      </w:pPr>
      <w:r>
        <w:rPr>
          <w:rFonts w:ascii="Arial" w:cs="Arial" w:eastAsia="Arial" w:hAnsi="Arial"/>
          <w:sz w:val="17"/>
          <w:szCs w:val="17"/>
          <w:i w:val="1"/>
          <w:iCs w:val="1"/>
          <w:color w:val="auto"/>
        </w:rPr>
        <w:t>Treaty in effect for the three months ended March 31, 2019</w:t>
      </w:r>
    </w:p>
    <w:p>
      <w:pPr>
        <w:spacing w:after="0" w:line="223" w:lineRule="exact"/>
        <w:rPr>
          <w:sz w:val="20"/>
          <w:szCs w:val="20"/>
          <w:color w:val="auto"/>
        </w:rPr>
      </w:pPr>
    </w:p>
    <w:p>
      <w:pPr>
        <w:jc w:val="both"/>
        <w:ind w:left="640"/>
        <w:spacing w:after="0" w:line="263" w:lineRule="auto"/>
        <w:rPr>
          <w:sz w:val="20"/>
          <w:szCs w:val="20"/>
          <w:color w:val="auto"/>
        </w:rPr>
      </w:pPr>
      <w:r>
        <w:rPr>
          <w:rFonts w:ascii="Arial" w:cs="Arial" w:eastAsia="Arial" w:hAnsi="Arial"/>
          <w:sz w:val="17"/>
          <w:szCs w:val="17"/>
          <w:color w:val="auto"/>
        </w:rPr>
        <w:t>Under the 2017/2019 Treaty, the Company receives an upfront fixed provisional rate that is subject to a sliding scale contingent adjustment based upon Loss Ratio. Under this arrangement, the Company earns and earned provisional ceding commissions that are subject to later adjustment dependent on changes to the estimated Loss Ratio for the 2017/2019 Treaty. The Company’s Loss Ratios for the period July 1, 2018 through March 31, 2019 attributable to the 2017/2019 Treaty were consistent with the contractual Loss Ratio at which provisional ceding commissions were earned, and therefore no contingent commission adjustment was recorded for the three months ended March 31, 2019.</w:t>
      </w:r>
    </w:p>
    <w:p>
      <w:pPr>
        <w:spacing w:after="0" w:line="185" w:lineRule="exact"/>
        <w:rPr>
          <w:sz w:val="20"/>
          <w:szCs w:val="20"/>
          <w:color w:val="auto"/>
        </w:rPr>
      </w:pPr>
    </w:p>
    <w:p>
      <w:pPr>
        <w:ind w:left="640"/>
        <w:spacing w:after="0"/>
        <w:rPr>
          <w:sz w:val="20"/>
          <w:szCs w:val="20"/>
          <w:color w:val="auto"/>
        </w:rPr>
      </w:pPr>
      <w:r>
        <w:rPr>
          <w:rFonts w:ascii="Arial" w:cs="Arial" w:eastAsia="Arial" w:hAnsi="Arial"/>
          <w:sz w:val="17"/>
          <w:szCs w:val="17"/>
          <w:i w:val="1"/>
          <w:iCs w:val="1"/>
          <w:color w:val="auto"/>
        </w:rPr>
        <w:t>Treaty in effect for the three months ended March 31, 2018</w:t>
      </w:r>
    </w:p>
    <w:p>
      <w:pPr>
        <w:spacing w:after="0" w:line="223" w:lineRule="exact"/>
        <w:rPr>
          <w:sz w:val="20"/>
          <w:szCs w:val="20"/>
          <w:color w:val="auto"/>
        </w:rPr>
      </w:pPr>
    </w:p>
    <w:p>
      <w:pPr>
        <w:jc w:val="both"/>
        <w:ind w:left="640"/>
        <w:spacing w:after="0" w:line="293" w:lineRule="auto"/>
        <w:rPr>
          <w:sz w:val="20"/>
          <w:szCs w:val="20"/>
          <w:color w:val="auto"/>
        </w:rPr>
      </w:pPr>
      <w:r>
        <w:rPr>
          <w:rFonts w:ascii="Arial" w:cs="Arial" w:eastAsia="Arial" w:hAnsi="Arial"/>
          <w:sz w:val="16"/>
          <w:szCs w:val="16"/>
          <w:color w:val="auto"/>
        </w:rPr>
        <w:t>The Loss Ratios for the period July 1, 2017 through March 31, 2018 attributable to the 2017/2019 Treaty were higher than the contractual Loss Ratio at which provisional ceding commissions were earned. Accordingly, for the three months ended March 31, 2018, the Company incurred negative contingent ceding commissions as a result of the estimated Loss Ratio for the 2017/2019 Treaty, which reduced contingent ceding commissions earned.</w:t>
      </w:r>
    </w:p>
    <w:p>
      <w:pPr>
        <w:spacing w:after="0" w:line="163" w:lineRule="exact"/>
        <w:rPr>
          <w:sz w:val="20"/>
          <w:szCs w:val="20"/>
          <w:color w:val="auto"/>
        </w:rPr>
      </w:pPr>
    </w:p>
    <w:p>
      <w:pPr>
        <w:spacing w:after="0" w:line="351" w:lineRule="auto"/>
        <w:rPr>
          <w:sz w:val="20"/>
          <w:szCs w:val="20"/>
          <w:color w:val="auto"/>
        </w:rPr>
      </w:pPr>
      <w:r>
        <w:rPr>
          <w:rFonts w:ascii="Arial" w:cs="Arial" w:eastAsia="Arial" w:hAnsi="Arial"/>
          <w:sz w:val="15"/>
          <w:szCs w:val="15"/>
          <w:color w:val="auto"/>
        </w:rPr>
        <w:t>In addition to the treaties that were in effect for the three months ended March 31, 2019 and 2018, the Loss Ratios from prior years’ treaties are subject to change as incurred losses from those periods increase or decrease, resulting in an increase or decrease in the commission rate and contingent ceding commissions earned.</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color w:val="auto"/>
        </w:rPr>
        <w:t>Ceding commission revenue consists of the following:</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4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0" w:type="dxa"/>
            <w:vAlign w:val="bottom"/>
            <w:gridSpan w:val="3"/>
          </w:tcPr>
          <w:p>
            <w:pPr>
              <w:jc w:val="right"/>
              <w:ind w:right="415"/>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140" w:type="dxa"/>
            <w:vAlign w:val="bottom"/>
          </w:tcPr>
          <w:p>
            <w:pPr>
              <w:spacing w:after="0"/>
              <w:rPr>
                <w:sz w:val="19"/>
                <w:szCs w:val="19"/>
                <w:color w:val="auto"/>
              </w:rPr>
            </w:pPr>
          </w:p>
        </w:tc>
        <w:tc>
          <w:tcPr>
            <w:tcW w:w="49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March 31,</w:t>
            </w:r>
          </w:p>
        </w:tc>
        <w:tc>
          <w:tcPr>
            <w:tcW w:w="8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140" w:type="dxa"/>
            <w:vAlign w:val="bottom"/>
          </w:tcPr>
          <w:p>
            <w:pPr>
              <w:spacing w:after="0"/>
              <w:rPr>
                <w:sz w:val="21"/>
                <w:szCs w:val="21"/>
                <w:color w:val="auto"/>
              </w:rPr>
            </w:pPr>
          </w:p>
        </w:tc>
        <w:tc>
          <w:tcPr>
            <w:tcW w:w="498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2018</w:t>
            </w:r>
          </w:p>
        </w:tc>
        <w:tc>
          <w:tcPr>
            <w:tcW w:w="0" w:type="dxa"/>
            <w:vAlign w:val="bottom"/>
          </w:tcPr>
          <w:p>
            <w:pPr>
              <w:spacing w:after="0"/>
              <w:rPr>
                <w:sz w:val="1"/>
                <w:szCs w:val="1"/>
                <w:color w:val="auto"/>
              </w:rPr>
            </w:pPr>
          </w:p>
        </w:tc>
      </w:tr>
      <w:tr>
        <w:trPr>
          <w:trHeight w:val="235"/>
        </w:trPr>
        <w:tc>
          <w:tcPr>
            <w:tcW w:w="20" w:type="dxa"/>
            <w:vAlign w:val="bottom"/>
            <w:vMerge w:val="restart"/>
          </w:tcPr>
          <w:p>
            <w:pPr>
              <w:spacing w:after="0"/>
              <w:rPr>
                <w:sz w:val="20"/>
                <w:szCs w:val="20"/>
                <w:color w:val="auto"/>
              </w:rPr>
            </w:pPr>
          </w:p>
        </w:tc>
        <w:tc>
          <w:tcPr>
            <w:tcW w:w="4140" w:type="dxa"/>
            <w:vAlign w:val="bottom"/>
          </w:tcPr>
          <w:p>
            <w:pPr>
              <w:spacing w:after="0"/>
              <w:rPr>
                <w:sz w:val="20"/>
                <w:szCs w:val="20"/>
                <w:color w:val="auto"/>
              </w:rPr>
            </w:pPr>
          </w:p>
        </w:tc>
        <w:tc>
          <w:tcPr>
            <w:tcW w:w="4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7"/>
                <w:szCs w:val="17"/>
                <w:color w:val="auto"/>
              </w:rPr>
              <w:t>Provisional ceding commissions earned</w:t>
            </w:r>
          </w:p>
        </w:tc>
        <w:tc>
          <w:tcPr>
            <w:tcW w:w="52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ind w:right="62"/>
              <w:spacing w:after="0"/>
              <w:rPr>
                <w:sz w:val="20"/>
                <w:szCs w:val="20"/>
                <w:color w:val="auto"/>
              </w:rPr>
            </w:pPr>
            <w:r>
              <w:rPr>
                <w:rFonts w:ascii="Arial" w:cs="Arial" w:eastAsia="Arial" w:hAnsi="Arial"/>
                <w:sz w:val="17"/>
                <w:szCs w:val="17"/>
                <w:color w:val="auto"/>
                <w:w w:val="97"/>
              </w:rPr>
              <w:t>1,317,751</w:t>
            </w:r>
          </w:p>
        </w:tc>
        <w:tc>
          <w:tcPr>
            <w:tcW w:w="30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w w:val="87"/>
              </w:rPr>
              <w:t>2,067,505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7"/>
                <w:szCs w:val="17"/>
                <w:color w:val="auto"/>
              </w:rPr>
              <w:t>Contingent ceding commissions earned</w:t>
            </w:r>
          </w:p>
        </w:tc>
        <w:tc>
          <w:tcPr>
            <w:tcW w:w="49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2"/>
              <w:spacing w:after="0"/>
              <w:rPr>
                <w:sz w:val="20"/>
                <w:szCs w:val="20"/>
                <w:color w:val="auto"/>
              </w:rPr>
            </w:pPr>
            <w:r>
              <w:rPr>
                <w:rFonts w:ascii="Arial" w:cs="Arial" w:eastAsia="Arial" w:hAnsi="Arial"/>
                <w:sz w:val="17"/>
                <w:szCs w:val="17"/>
                <w:color w:val="auto"/>
              </w:rPr>
              <w:t>(40,068)</w:t>
            </w: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8"/>
              </w:rPr>
              <w:t>(372,347)</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140" w:type="dxa"/>
            <w:vAlign w:val="bottom"/>
            <w:shd w:val="clear" w:color="auto" w:fill="CCEEFF"/>
          </w:tcPr>
          <w:p>
            <w:pPr>
              <w:spacing w:after="0"/>
              <w:rPr>
                <w:sz w:val="21"/>
                <w:szCs w:val="21"/>
                <w:color w:val="auto"/>
              </w:rPr>
            </w:pPr>
          </w:p>
        </w:tc>
        <w:tc>
          <w:tcPr>
            <w:tcW w:w="52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ind w:right="62"/>
              <w:spacing w:after="0"/>
              <w:rPr>
                <w:sz w:val="20"/>
                <w:szCs w:val="20"/>
                <w:color w:val="auto"/>
              </w:rPr>
            </w:pPr>
            <w:r>
              <w:rPr>
                <w:rFonts w:ascii="Arial" w:cs="Arial" w:eastAsia="Arial" w:hAnsi="Arial"/>
                <w:sz w:val="17"/>
                <w:szCs w:val="17"/>
                <w:color w:val="auto"/>
                <w:w w:val="97"/>
              </w:rPr>
              <w:t>1,277,683</w:t>
            </w:r>
          </w:p>
        </w:tc>
        <w:tc>
          <w:tcPr>
            <w:tcW w:w="30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w w:val="87"/>
              </w:rPr>
              <w:t>1,695,158</w:t>
            </w:r>
          </w:p>
        </w:tc>
        <w:tc>
          <w:tcPr>
            <w:tcW w:w="0" w:type="dxa"/>
            <w:vAlign w:val="bottom"/>
          </w:tcPr>
          <w:p>
            <w:pPr>
              <w:spacing w:after="0"/>
              <w:rPr>
                <w:sz w:val="1"/>
                <w:szCs w:val="1"/>
                <w:color w:val="auto"/>
              </w:rPr>
            </w:pPr>
          </w:p>
        </w:tc>
      </w:tr>
      <w:tr>
        <w:trPr>
          <w:trHeight w:val="567"/>
        </w:trPr>
        <w:tc>
          <w:tcPr>
            <w:tcW w:w="20" w:type="dxa"/>
            <w:vAlign w:val="bottom"/>
          </w:tcPr>
          <w:p>
            <w:pPr>
              <w:spacing w:after="0"/>
              <w:rPr>
                <w:sz w:val="24"/>
                <w:szCs w:val="24"/>
                <w:color w:val="auto"/>
              </w:rPr>
            </w:pPr>
          </w:p>
        </w:tc>
        <w:tc>
          <w:tcPr>
            <w:tcW w:w="4140" w:type="dxa"/>
            <w:vAlign w:val="bottom"/>
            <w:tcBorders>
              <w:top w:val="single" w:sz="8" w:color="CCEEFF"/>
              <w:bottom w:val="single" w:sz="8" w:color="auto"/>
            </w:tcBorders>
          </w:tcPr>
          <w:p>
            <w:pPr>
              <w:spacing w:after="0"/>
              <w:rPr>
                <w:sz w:val="24"/>
                <w:szCs w:val="24"/>
                <w:color w:val="auto"/>
              </w:rPr>
            </w:pPr>
          </w:p>
        </w:tc>
        <w:tc>
          <w:tcPr>
            <w:tcW w:w="4980" w:type="dxa"/>
            <w:vAlign w:val="bottom"/>
            <w:tcBorders>
              <w:top w:val="single" w:sz="8" w:color="CCEEFF"/>
              <w:bottom w:val="single" w:sz="8" w:color="auto"/>
            </w:tcBorders>
          </w:tcPr>
          <w:p>
            <w:pPr>
              <w:jc w:val="right"/>
              <w:ind w:right="3255"/>
              <w:spacing w:after="0"/>
              <w:rPr>
                <w:sz w:val="20"/>
                <w:szCs w:val="20"/>
                <w:color w:val="auto"/>
              </w:rPr>
            </w:pPr>
            <w:r>
              <w:rPr>
                <w:rFonts w:ascii="Arial" w:cs="Arial" w:eastAsia="Arial" w:hAnsi="Arial"/>
                <w:sz w:val="17"/>
                <w:szCs w:val="17"/>
                <w:color w:val="auto"/>
              </w:rPr>
              <w:t>30</w:t>
            </w:r>
          </w:p>
        </w:tc>
        <w:tc>
          <w:tcPr>
            <w:tcW w:w="280" w:type="dxa"/>
            <w:vAlign w:val="bottom"/>
            <w:tcBorders>
              <w:top w:val="single" w:sz="8" w:color="auto"/>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800" w:type="dxa"/>
            <w:vAlign w:val="bottom"/>
            <w:tcBorders>
              <w:top w:val="single" w:sz="8" w:color="auto"/>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32" w:right="239" w:bottom="1440" w:gutter="0" w:footer="0" w:header="0"/>
        </w:sectPr>
      </w:pPr>
    </w:p>
    <w:bookmarkStart w:id="30" w:name="page31"/>
    <w:bookmarkEnd w:id="30"/>
    <w:p>
      <w:pPr>
        <w:jc w:val="both"/>
        <w:spacing w:after="0" w:line="283" w:lineRule="auto"/>
        <w:rPr>
          <w:sz w:val="20"/>
          <w:szCs w:val="20"/>
          <w:color w:val="auto"/>
        </w:rPr>
      </w:pPr>
      <w:r>
        <w:rPr>
          <w:rFonts w:ascii="Arial" w:cs="Arial" w:eastAsia="Arial" w:hAnsi="Arial"/>
          <w:sz w:val="16"/>
          <w:szCs w:val="16"/>
          <w:color w:val="auto"/>
        </w:rPr>
        <w:t>Provisional ceding commissions are settled monthly. Balances due from reinsurers for contingent ceding commissions on quota share treaties are settled annually based on the Loss Ratio of each treaty year that ends on June 30. As discussed above, the Loss Ratios from prior years’ treaties are subject to change as incurred losses from those periods develop, resulting in an increase or decrease in the commission rate and contingent ceding commissions earned. As of March 31, 2019 and December 31, 2018, net contingent ceding commissions payable to reinsurers under all treaties was approximately $1,643,000 and $1,581,000, respectively, which is recorded in reinsurance balances payable on the accompanying condensed consolidated balance sheets.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7 – Debt</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Federal Home Loan Bank</w:t>
      </w:r>
    </w:p>
    <w:p>
      <w:pPr>
        <w:spacing w:after="0" w:line="223" w:lineRule="exact"/>
        <w:rPr>
          <w:sz w:val="20"/>
          <w:szCs w:val="20"/>
          <w:color w:val="auto"/>
        </w:rPr>
      </w:pPr>
    </w:p>
    <w:p>
      <w:pPr>
        <w:jc w:val="both"/>
        <w:spacing w:after="0" w:line="301" w:lineRule="auto"/>
        <w:rPr>
          <w:sz w:val="20"/>
          <w:szCs w:val="20"/>
          <w:color w:val="auto"/>
        </w:rPr>
      </w:pPr>
      <w:r>
        <w:rPr>
          <w:rFonts w:ascii="Arial" w:cs="Arial" w:eastAsia="Arial" w:hAnsi="Arial"/>
          <w:sz w:val="15"/>
          <w:szCs w:val="15"/>
          <w:color w:val="auto"/>
        </w:rPr>
        <w:t>In July 2017, KICO became a member of, and invested in, the Federal Home Loan Bank of New York (“FHLBNY”). The aggregate investment in dividend bearing common stock was $18,079 as of March 31, 2019. FHLBNY members have access to a variety of flexible, low cost funding through FHLBNY’s credit products, enabling members to customize advances, which are to be fully collateralized. Eligible collateral to pledge to FHLBNY includes residential and commercial mortgage backed securities, along with U.S. Treasury and agency securities. See Note 3 – Investments for eligible collateral held in a designated custodian account available for future advances. Advances are limited to 5% of KICO’s net admitted assets as of December 31 of the previous year and are due and payable within one year of borrowing. The maximum allowable advance as of December 31, 2018 was approximately $9,849,000. Advances are limited to the amount of available collateral, which was approximately $5,553,000 as of March 31, 2019. There were no borrowings under this facility during the three months ended March 31, 2019.</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Long-term Debt</w:t>
      </w:r>
    </w:p>
    <w:p>
      <w:pPr>
        <w:spacing w:after="0" w:line="223"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On December 19, 2017, the Company issued $30 million of its 5.50% Senior Unsecured Notes due December 30, 2022 (the “Notes”) in an underwritten public offering. Interest is payable semi-annually in arrears on June 30 and December 30 of each year, which began on June 30, 2018 at the rate of 5.50%. The net proceeds of the issuance were $29,121,630, net of discount of $163,200 and transaction costs of $715,170, for an effective yield of 5.67%. The balance of long-term debt as of March 31, 2019 and December 31, 2018 is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9120" w:type="dxa"/>
            <w:vAlign w:val="bottom"/>
          </w:tcPr>
          <w:p>
            <w:pPr>
              <w:spacing w:after="0"/>
              <w:rPr>
                <w:sz w:val="16"/>
                <w:szCs w:val="16"/>
                <w:color w:val="auto"/>
              </w:rPr>
            </w:pPr>
          </w:p>
        </w:tc>
        <w:tc>
          <w:tcPr>
            <w:tcW w:w="1180" w:type="dxa"/>
            <w:vAlign w:val="bottom"/>
          </w:tcPr>
          <w:p>
            <w:pPr>
              <w:jc w:val="right"/>
              <w:ind w:right="199"/>
              <w:spacing w:after="0"/>
              <w:rPr>
                <w:sz w:val="20"/>
                <w:szCs w:val="20"/>
                <w:color w:val="auto"/>
              </w:rPr>
            </w:pPr>
            <w:r>
              <w:rPr>
                <w:rFonts w:ascii="Arial" w:cs="Arial" w:eastAsia="Arial" w:hAnsi="Arial"/>
                <w:sz w:val="14"/>
                <w:szCs w:val="14"/>
                <w:b w:val="1"/>
                <w:bCs w:val="1"/>
                <w:color w:val="auto"/>
              </w:rPr>
              <w:t>March 31,</w:t>
            </w:r>
          </w:p>
        </w:tc>
        <w:tc>
          <w:tcPr>
            <w:tcW w:w="1100" w:type="dxa"/>
            <w:vAlign w:val="bottom"/>
          </w:tcPr>
          <w:p>
            <w:pPr>
              <w:jc w:val="right"/>
              <w:ind w:right="59"/>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9120" w:type="dxa"/>
            <w:vAlign w:val="bottom"/>
          </w:tcPr>
          <w:p>
            <w:pPr>
              <w:spacing w:after="0"/>
              <w:rPr>
                <w:sz w:val="17"/>
                <w:szCs w:val="17"/>
                <w:color w:val="auto"/>
              </w:rPr>
            </w:pPr>
          </w:p>
        </w:tc>
        <w:tc>
          <w:tcPr>
            <w:tcW w:w="118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2019</w:t>
            </w:r>
          </w:p>
        </w:tc>
        <w:tc>
          <w:tcPr>
            <w:tcW w:w="110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35"/>
        </w:trPr>
        <w:tc>
          <w:tcPr>
            <w:tcW w:w="20" w:type="dxa"/>
            <w:vAlign w:val="bottom"/>
            <w:vMerge w:val="restart"/>
          </w:tcPr>
          <w:p>
            <w:pPr>
              <w:spacing w:after="0"/>
              <w:rPr>
                <w:sz w:val="20"/>
                <w:szCs w:val="20"/>
                <w:color w:val="auto"/>
              </w:rPr>
            </w:pPr>
          </w:p>
        </w:tc>
        <w:tc>
          <w:tcPr>
            <w:tcW w:w="9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7"/>
                <w:szCs w:val="17"/>
                <w:color w:val="auto"/>
              </w:rPr>
              <w:t>5.50% Senior Unsecured Notes</w:t>
            </w:r>
          </w:p>
        </w:tc>
        <w:tc>
          <w:tcPr>
            <w:tcW w:w="1180" w:type="dxa"/>
            <w:vAlign w:val="bottom"/>
            <w:shd w:val="clear" w:color="auto" w:fill="CCEEFF"/>
          </w:tcPr>
          <w:p>
            <w:pPr>
              <w:jc w:val="right"/>
              <w:ind w:right="59"/>
              <w:spacing w:after="0"/>
              <w:rPr>
                <w:sz w:val="20"/>
                <w:szCs w:val="20"/>
                <w:color w:val="auto"/>
              </w:rPr>
            </w:pPr>
            <w:r>
              <w:rPr>
                <w:rFonts w:ascii="Arial" w:cs="Arial" w:eastAsia="Arial" w:hAnsi="Arial"/>
                <w:sz w:val="17"/>
                <w:szCs w:val="17"/>
                <w:color w:val="auto"/>
              </w:rPr>
              <w:t>$ 30,000,000</w:t>
            </w:r>
          </w:p>
        </w:tc>
        <w:tc>
          <w:tcPr>
            <w:tcW w:w="1100" w:type="dxa"/>
            <w:vAlign w:val="bottom"/>
            <w:shd w:val="clear" w:color="auto" w:fill="CCEEFF"/>
          </w:tcPr>
          <w:p>
            <w:pPr>
              <w:jc w:val="right"/>
              <w:ind w:right="39"/>
              <w:spacing w:after="0"/>
              <w:rPr>
                <w:sz w:val="20"/>
                <w:szCs w:val="20"/>
                <w:color w:val="auto"/>
              </w:rPr>
            </w:pPr>
            <w:r>
              <w:rPr>
                <w:rFonts w:ascii="Arial" w:cs="Arial" w:eastAsia="Arial" w:hAnsi="Arial"/>
                <w:sz w:val="17"/>
                <w:szCs w:val="17"/>
                <w:color w:val="auto"/>
                <w:w w:val="96"/>
              </w:rPr>
              <w:t>$ 30,000,000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120" w:type="dxa"/>
            <w:vAlign w:val="bottom"/>
          </w:tcPr>
          <w:p>
            <w:pPr>
              <w:spacing w:after="0"/>
              <w:rPr>
                <w:sz w:val="20"/>
                <w:szCs w:val="20"/>
                <w:color w:val="auto"/>
              </w:rPr>
            </w:pPr>
            <w:r>
              <w:rPr>
                <w:rFonts w:ascii="Arial" w:cs="Arial" w:eastAsia="Arial" w:hAnsi="Arial"/>
                <w:sz w:val="17"/>
                <w:szCs w:val="17"/>
                <w:color w:val="auto"/>
              </w:rPr>
              <w:t>Discount</w:t>
            </w:r>
          </w:p>
        </w:tc>
        <w:tc>
          <w:tcPr>
            <w:tcW w:w="1180" w:type="dxa"/>
            <w:vAlign w:val="bottom"/>
          </w:tcPr>
          <w:p>
            <w:pPr>
              <w:jc w:val="right"/>
              <w:ind w:right="19"/>
              <w:spacing w:after="0"/>
              <w:rPr>
                <w:sz w:val="20"/>
                <w:szCs w:val="20"/>
                <w:color w:val="auto"/>
              </w:rPr>
            </w:pPr>
            <w:r>
              <w:rPr>
                <w:rFonts w:ascii="Arial" w:cs="Arial" w:eastAsia="Arial" w:hAnsi="Arial"/>
                <w:sz w:val="17"/>
                <w:szCs w:val="17"/>
                <w:color w:val="auto"/>
              </w:rPr>
              <w:t>(121,656)</w:t>
            </w:r>
          </w:p>
        </w:tc>
        <w:tc>
          <w:tcPr>
            <w:tcW w:w="1100" w:type="dxa"/>
            <w:vAlign w:val="bottom"/>
          </w:tcPr>
          <w:p>
            <w:pPr>
              <w:jc w:val="right"/>
              <w:spacing w:after="0"/>
              <w:rPr>
                <w:sz w:val="20"/>
                <w:szCs w:val="20"/>
                <w:color w:val="auto"/>
              </w:rPr>
            </w:pPr>
            <w:r>
              <w:rPr>
                <w:rFonts w:ascii="Arial" w:cs="Arial" w:eastAsia="Arial" w:hAnsi="Arial"/>
                <w:sz w:val="17"/>
                <w:szCs w:val="17"/>
                <w:color w:val="auto"/>
              </w:rPr>
              <w:t>(129,796)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9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Issuance costs</w:t>
            </w:r>
          </w:p>
        </w:tc>
        <w:tc>
          <w:tcPr>
            <w:tcW w:w="11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7"/>
                <w:szCs w:val="17"/>
                <w:color w:val="auto"/>
              </w:rPr>
              <w:t>(539,048)</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(574,953)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120" w:type="dxa"/>
            <w:vAlign w:val="bottom"/>
          </w:tcPr>
          <w:p>
            <w:pPr>
              <w:spacing w:after="0"/>
              <w:rPr>
                <w:sz w:val="20"/>
                <w:szCs w:val="20"/>
                <w:color w:val="auto"/>
              </w:rPr>
            </w:pPr>
            <w:r>
              <w:rPr>
                <w:rFonts w:ascii="Arial" w:cs="Arial" w:eastAsia="Arial" w:hAnsi="Arial"/>
                <w:sz w:val="17"/>
                <w:szCs w:val="17"/>
                <w:color w:val="auto"/>
              </w:rPr>
              <w:t>Long-term debt, net</w:t>
            </w:r>
          </w:p>
        </w:tc>
        <w:tc>
          <w:tcPr>
            <w:tcW w:w="1180" w:type="dxa"/>
            <w:vAlign w:val="bottom"/>
            <w:tcBorders>
              <w:bottom w:val="single" w:sz="8" w:color="auto"/>
            </w:tcBorders>
          </w:tcPr>
          <w:p>
            <w:pPr>
              <w:jc w:val="right"/>
              <w:ind w:right="59"/>
              <w:spacing w:after="0"/>
              <w:rPr>
                <w:sz w:val="20"/>
                <w:szCs w:val="20"/>
                <w:color w:val="auto"/>
              </w:rPr>
            </w:pPr>
            <w:r>
              <w:rPr>
                <w:rFonts w:ascii="Arial" w:cs="Arial" w:eastAsia="Arial" w:hAnsi="Arial"/>
                <w:sz w:val="17"/>
                <w:szCs w:val="17"/>
                <w:color w:val="auto"/>
              </w:rPr>
              <w:t>$ 29,339,296</w:t>
            </w:r>
          </w:p>
        </w:tc>
        <w:tc>
          <w:tcPr>
            <w:tcW w:w="1100" w:type="dxa"/>
            <w:vAlign w:val="bottom"/>
            <w:tcBorders>
              <w:bottom w:val="single" w:sz="8" w:color="auto"/>
            </w:tcBorders>
          </w:tcPr>
          <w:p>
            <w:pPr>
              <w:jc w:val="right"/>
              <w:ind w:right="39"/>
              <w:spacing w:after="0"/>
              <w:rPr>
                <w:sz w:val="20"/>
                <w:szCs w:val="20"/>
                <w:color w:val="auto"/>
              </w:rPr>
            </w:pPr>
            <w:r>
              <w:rPr>
                <w:rFonts w:ascii="Arial" w:cs="Arial" w:eastAsia="Arial" w:hAnsi="Arial"/>
                <w:sz w:val="17"/>
                <w:szCs w:val="17"/>
                <w:color w:val="auto"/>
                <w:w w:val="96"/>
              </w:rPr>
              <w:t>$ 29,295,251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The Notes are unsecured obligations of the Company and are not the obligations of or guaranteed by any of the Company's subsidiaries. The Notes rank senior in right of payment to any of the Company's existing and future indebtedness that is by its terms expressly subordinated or junior in right of payment to the Notes. The Notes rank equally in right of payment to all of the Company's existing and future senior indebtedness, but will be effectively subordinated to any secured indebtedness to the extent of the value of the collateral securing such secured indebtedness. In addition, the Notes will be structurally subordinated to the indebtedness and other obligations of the Company's subsidiaries. The Company may redeem the Notes, at any time in whole or from time to time in part, at the redemption price equal to the greater of: (i) 100% of the principal amount of the Notes to be redeemed; and (ii) the sum of the present values of the remaining scheduled payments of principal and interest on the Notes to be redeemed that would be due if the Notes matured on the applicable redemption date (exclusive of interest accrued to the applicable redemption date) discounted to the redemption date on a semi-annual basis at the Treasury Rate, plus 50 basis points.</w:t>
      </w:r>
    </w:p>
    <w:p>
      <w:pPr>
        <w:spacing w:after="0" w:line="17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December 20, 2017, the Company used $25,000,000 of the net proceeds from the offering to contribute capital to KICO, to support additional growth. The remainder of the net proceeds are being used for general corporate purposes. A registration statement relating to the debt issued in the offering was filed with the SEC, which became effective on November 28, 2017.</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25106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ectPr>
          <w:pgSz w:w="11900" w:h="16838" w:orient="portrait"/>
          <w:cols w:equalWidth="0" w:num="1">
            <w:col w:w="11420"/>
          </w:cols>
          <w:pgMar w:left="240" w:top="497" w:right="239" w:bottom="1440" w:gutter="0" w:footer="0" w:header="0"/>
        </w:sectPr>
      </w:pPr>
    </w:p>
    <w:bookmarkStart w:id="31" w:name="page32"/>
    <w:bookmarkEnd w:id="31"/>
    <w:p>
      <w:pPr>
        <w:spacing w:after="0"/>
        <w:rPr>
          <w:sz w:val="20"/>
          <w:szCs w:val="20"/>
          <w:color w:val="auto"/>
        </w:rPr>
      </w:pPr>
      <w:r>
        <w:rPr>
          <w:rFonts w:ascii="Arial" w:cs="Arial" w:eastAsia="Arial" w:hAnsi="Arial"/>
          <w:sz w:val="17"/>
          <w:szCs w:val="17"/>
          <w:b w:val="1"/>
          <w:bCs w:val="1"/>
          <w:color w:val="auto"/>
        </w:rPr>
        <w:t>Note 8 – Stockholders’ Equity</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Dividends Declared and Paid</w:t>
      </w:r>
    </w:p>
    <w:p>
      <w:pPr>
        <w:spacing w:after="0" w:line="22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Dividends declared and paid on common stock were $1,075,962 and $1,068,375 for the three months ended March 31, 2019 and 2018, respectively. The Company’s Board of Directors approved a quarterly dividend on May 8, 2019 of $0.10 per share payable in cash on June 14, 2019 to stockholders of record as of May 31, 2019 (see Note 13).</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Stock Options</w:t>
      </w:r>
    </w:p>
    <w:p>
      <w:pPr>
        <w:spacing w:after="0" w:line="223"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Pursuant to the Company’s 2005 Equity Participation Plan (the “2005 Plan”), which provides for the issuance of incentive stock options, non-statutory stock options and restricted stock, a maximum of 700,000 shares of the Company’s Common Stock are permitted to be issued pursuant to options granted and restricted stock issued. Effective August 12, 2014, the Company adopted the 2014 Equity Participation Plan (the “2014 Plan”) pursuant to which, a maximum of 700,000 shares of Common Stock of the Company are authorized to be issued pursuant to the grant of incentive stock options, non-statutory stock options, stock appreciation rights, restricted stock and stock bonuses. Incentive stock options granted under the 2014 Plan and 2005 Plan expire no later than ten years from the date of grant (except no later than five years for a grant to a 10% stockholder). The Board of Directors or the Compensation Committee determines the expiration date with respect to non-statutory stock options and the vesting provisions for restricted stock granted under the 2014 Plan and 2005 Plan.</w:t>
      </w:r>
    </w:p>
    <w:p>
      <w:pPr>
        <w:spacing w:after="0" w:line="177" w:lineRule="exact"/>
        <w:rPr>
          <w:sz w:val="20"/>
          <w:szCs w:val="20"/>
          <w:color w:val="auto"/>
        </w:rPr>
      </w:pPr>
    </w:p>
    <w:p>
      <w:pPr>
        <w:jc w:val="both"/>
        <w:spacing w:after="0" w:line="321" w:lineRule="auto"/>
        <w:rPr>
          <w:sz w:val="20"/>
          <w:szCs w:val="20"/>
          <w:color w:val="auto"/>
        </w:rPr>
      </w:pPr>
      <w:r>
        <w:rPr>
          <w:rFonts w:ascii="Arial" w:cs="Arial" w:eastAsia="Arial" w:hAnsi="Arial"/>
          <w:sz w:val="15"/>
          <w:szCs w:val="15"/>
          <w:color w:val="auto"/>
        </w:rPr>
        <w:t>The results of operations for the three months ended March 31, 2019 and 2018 include stock-based compensation expense totaling approximately $1,000 and $2,000, respectively. Stock-based compensation expense related to stock options is net of estimated forfeitures of approximately 17% for the three months ended March 31, 2019 and 2018. Such amounts have been included in the consolidated statements of operations and comprehensive (loss) within other operating expenses.</w:t>
      </w:r>
    </w:p>
    <w:p>
      <w:pPr>
        <w:spacing w:after="0" w:line="145"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Stock-based compensation expense for the three months ended March 31, 2019 and 2018 is the estimated fair value of options granted, amortized on a straight-line basis over the requisite service period, for the entire portion of the award less an estimate for anticipated forfeitures. The Company uses the “simplified” method to estimate the expected term of the options because the Company’s historical share option exercise experience does not provide a reasonable basis upon which to estimate expected term. No options were granted during the three months ended March 31, 2019 and 2018.</w:t>
      </w:r>
    </w:p>
    <w:p>
      <w:pPr>
        <w:spacing w:after="0" w:line="183" w:lineRule="exact"/>
        <w:rPr>
          <w:sz w:val="20"/>
          <w:szCs w:val="20"/>
          <w:color w:val="auto"/>
        </w:rPr>
      </w:pPr>
    </w:p>
    <w:p>
      <w:pPr>
        <w:jc w:val="both"/>
        <w:spacing w:after="0" w:line="311" w:lineRule="auto"/>
        <w:rPr>
          <w:sz w:val="20"/>
          <w:szCs w:val="20"/>
          <w:color w:val="auto"/>
        </w:rPr>
      </w:pPr>
      <w:r>
        <w:rPr>
          <w:rFonts w:ascii="Arial" w:cs="Arial" w:eastAsia="Arial" w:hAnsi="Arial"/>
          <w:sz w:val="15"/>
          <w:szCs w:val="15"/>
          <w:color w:val="auto"/>
        </w:rPr>
        <w:t>The Black-Scholes Option Valuation Model was developed for use in estimating the fair value of traded options, which have no vesting restrictions and are fully transferable. In addition, option valuation models require the input of highly subjective assumptions including the expected stock price volatility. Because our stock options have characteristics significantly different from those of traded options, and because changes in the subjective input assumptions can materially affect the fair value estimate, in management's opinion, the existing models do not necessarily provide a reliable single measure of the fair value of our stock options.</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25106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ectPr>
          <w:pgSz w:w="11900" w:h="16838" w:orient="portrait"/>
          <w:cols w:equalWidth="0" w:num="1">
            <w:col w:w="11420"/>
          </w:cols>
          <w:pgMar w:left="240" w:top="493" w:right="239" w:bottom="1440" w:gutter="0" w:footer="0" w:header="0"/>
        </w:sectPr>
      </w:pPr>
    </w:p>
    <w:bookmarkStart w:id="32" w:name="page33"/>
    <w:bookmarkEnd w:id="32"/>
    <w:p>
      <w:pPr>
        <w:spacing w:after="0"/>
        <w:rPr>
          <w:sz w:val="20"/>
          <w:szCs w:val="20"/>
          <w:color w:val="auto"/>
        </w:rPr>
      </w:pPr>
      <w:r>
        <w:rPr>
          <w:rFonts w:ascii="Arial" w:cs="Arial" w:eastAsia="Arial" w:hAnsi="Arial"/>
          <w:sz w:val="17"/>
          <w:szCs w:val="17"/>
          <w:color w:val="auto"/>
        </w:rPr>
        <w:t>A summary of stock option activity under the Company’s 2014 Plan and 2005 Plan for the three months ended March 31, 2019 is as follows: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8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jc w:val="center"/>
              <w:ind w:right="179"/>
              <w:spacing w:after="0" w:line="157" w:lineRule="exact"/>
              <w:rPr>
                <w:sz w:val="20"/>
                <w:szCs w:val="20"/>
                <w:color w:val="auto"/>
              </w:rPr>
            </w:pPr>
            <w:r>
              <w:rPr>
                <w:rFonts w:ascii="Arial" w:cs="Arial" w:eastAsia="Arial" w:hAnsi="Arial"/>
                <w:sz w:val="14"/>
                <w:szCs w:val="14"/>
                <w:b w:val="1"/>
                <w:bCs w:val="1"/>
                <w:color w:val="auto"/>
                <w:w w:val="95"/>
              </w:rPr>
              <w:t>Weighted</w:t>
            </w:r>
          </w:p>
        </w:tc>
        <w:tc>
          <w:tcPr>
            <w:tcW w:w="110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0"/>
              </w:rPr>
              <w:t>Average</w:t>
            </w: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8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jc w:val="center"/>
              <w:ind w:right="199"/>
              <w:spacing w:after="0" w:line="157" w:lineRule="exact"/>
              <w:rPr>
                <w:sz w:val="20"/>
                <w:szCs w:val="20"/>
                <w:color w:val="auto"/>
              </w:rPr>
            </w:pPr>
            <w:r>
              <w:rPr>
                <w:rFonts w:ascii="Arial" w:cs="Arial" w:eastAsia="Arial" w:hAnsi="Arial"/>
                <w:sz w:val="14"/>
                <w:szCs w:val="14"/>
                <w:b w:val="1"/>
                <w:bCs w:val="1"/>
                <w:color w:val="auto"/>
                <w:w w:val="90"/>
              </w:rPr>
              <w:t>Average</w:t>
            </w:r>
          </w:p>
        </w:tc>
        <w:tc>
          <w:tcPr>
            <w:tcW w:w="110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4"/>
              </w:rPr>
              <w:t>Remaining</w:t>
            </w: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840" w:type="dxa"/>
            <w:vAlign w:val="bottom"/>
          </w:tcPr>
          <w:p>
            <w:pPr>
              <w:spacing w:after="0"/>
              <w:rPr>
                <w:sz w:val="13"/>
                <w:szCs w:val="13"/>
                <w:color w:val="auto"/>
              </w:rPr>
            </w:pPr>
          </w:p>
        </w:tc>
        <w:tc>
          <w:tcPr>
            <w:tcW w:w="1140" w:type="dxa"/>
            <w:vAlign w:val="bottom"/>
          </w:tcPr>
          <w:p>
            <w:pPr>
              <w:jc w:val="right"/>
              <w:ind w:right="158"/>
              <w:spacing w:after="0" w:line="157" w:lineRule="exact"/>
              <w:rPr>
                <w:sz w:val="20"/>
                <w:szCs w:val="20"/>
                <w:color w:val="auto"/>
              </w:rPr>
            </w:pPr>
            <w:r>
              <w:rPr>
                <w:rFonts w:ascii="Arial" w:cs="Arial" w:eastAsia="Arial" w:hAnsi="Arial"/>
                <w:sz w:val="14"/>
                <w:szCs w:val="14"/>
                <w:b w:val="1"/>
                <w:bCs w:val="1"/>
                <w:color w:val="auto"/>
              </w:rPr>
              <w:t>Number of</w:t>
            </w:r>
          </w:p>
        </w:tc>
        <w:tc>
          <w:tcPr>
            <w:tcW w:w="1180" w:type="dxa"/>
            <w:vAlign w:val="bottom"/>
            <w:gridSpan w:val="2"/>
          </w:tcPr>
          <w:p>
            <w:pPr>
              <w:ind w:left="140"/>
              <w:spacing w:after="0" w:line="157" w:lineRule="exact"/>
              <w:rPr>
                <w:sz w:val="20"/>
                <w:szCs w:val="20"/>
                <w:color w:val="auto"/>
              </w:rPr>
            </w:pPr>
            <w:r>
              <w:rPr>
                <w:rFonts w:ascii="Arial" w:cs="Arial" w:eastAsia="Arial" w:hAnsi="Arial"/>
                <w:sz w:val="14"/>
                <w:szCs w:val="14"/>
                <w:b w:val="1"/>
                <w:bCs w:val="1"/>
                <w:color w:val="auto"/>
              </w:rPr>
              <w:t>Exercise Price</w:t>
            </w:r>
          </w:p>
        </w:tc>
        <w:tc>
          <w:tcPr>
            <w:tcW w:w="110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5"/>
              </w:rPr>
              <w:t>Contractual</w:t>
            </w:r>
          </w:p>
        </w:tc>
        <w:tc>
          <w:tcPr>
            <w:tcW w:w="240" w:type="dxa"/>
            <w:vAlign w:val="bottom"/>
          </w:tcPr>
          <w:p>
            <w:pPr>
              <w:spacing w:after="0"/>
              <w:rPr>
                <w:sz w:val="13"/>
                <w:szCs w:val="13"/>
                <w:color w:val="auto"/>
              </w:rPr>
            </w:pPr>
          </w:p>
        </w:tc>
        <w:tc>
          <w:tcPr>
            <w:tcW w:w="900" w:type="dxa"/>
            <w:vAlign w:val="bottom"/>
          </w:tcPr>
          <w:p>
            <w:pPr>
              <w:jc w:val="right"/>
              <w:ind w:right="177"/>
              <w:spacing w:after="0" w:line="157" w:lineRule="exact"/>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40" w:type="dxa"/>
            <w:vAlign w:val="bottom"/>
            <w:tcBorders>
              <w:bottom w:val="single" w:sz="8" w:color="auto"/>
            </w:tcBorders>
          </w:tcPr>
          <w:p>
            <w:pPr>
              <w:ind w:left="2980"/>
              <w:spacing w:after="0"/>
              <w:rPr>
                <w:sz w:val="20"/>
                <w:szCs w:val="20"/>
                <w:color w:val="auto"/>
              </w:rPr>
            </w:pPr>
            <w:r>
              <w:rPr>
                <w:rFonts w:ascii="Arial" w:cs="Arial" w:eastAsia="Arial" w:hAnsi="Arial"/>
                <w:sz w:val="14"/>
                <w:szCs w:val="14"/>
                <w:b w:val="1"/>
                <w:bCs w:val="1"/>
                <w:color w:val="auto"/>
              </w:rPr>
              <w:t>Stock Options</w:t>
            </w:r>
          </w:p>
        </w:tc>
        <w:tc>
          <w:tcPr>
            <w:tcW w:w="1140" w:type="dxa"/>
            <w:vAlign w:val="bottom"/>
            <w:tcBorders>
              <w:bottom w:val="single" w:sz="8" w:color="auto"/>
            </w:tcBorders>
          </w:tcPr>
          <w:p>
            <w:pPr>
              <w:jc w:val="right"/>
              <w:ind w:right="278"/>
              <w:spacing w:after="0"/>
              <w:rPr>
                <w:sz w:val="20"/>
                <w:szCs w:val="20"/>
                <w:color w:val="auto"/>
              </w:rPr>
            </w:pPr>
            <w:r>
              <w:rPr>
                <w:rFonts w:ascii="Arial" w:cs="Arial" w:eastAsia="Arial" w:hAnsi="Arial"/>
                <w:sz w:val="14"/>
                <w:szCs w:val="14"/>
                <w:b w:val="1"/>
                <w:bCs w:val="1"/>
                <w:color w:val="auto"/>
              </w:rPr>
              <w:t>Shares</w:t>
            </w:r>
          </w:p>
        </w:tc>
        <w:tc>
          <w:tcPr>
            <w:tcW w:w="2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179"/>
              <w:spacing w:after="0"/>
              <w:rPr>
                <w:sz w:val="20"/>
                <w:szCs w:val="20"/>
                <w:color w:val="auto"/>
              </w:rPr>
            </w:pPr>
            <w:r>
              <w:rPr>
                <w:rFonts w:ascii="Arial" w:cs="Arial" w:eastAsia="Arial" w:hAnsi="Arial"/>
                <w:sz w:val="14"/>
                <w:szCs w:val="14"/>
                <w:b w:val="1"/>
                <w:bCs w:val="1"/>
                <w:color w:val="auto"/>
                <w:w w:val="92"/>
              </w:rPr>
              <w:t>per Share</w:t>
            </w: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Term</w:t>
            </w:r>
          </w:p>
        </w:tc>
        <w:tc>
          <w:tcPr>
            <w:tcW w:w="114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Intrinsic Value</w:t>
            </w:r>
          </w:p>
        </w:tc>
        <w:tc>
          <w:tcPr>
            <w:tcW w:w="0" w:type="dxa"/>
            <w:vAlign w:val="bottom"/>
          </w:tcPr>
          <w:p>
            <w:pPr>
              <w:spacing w:after="0"/>
              <w:rPr>
                <w:sz w:val="1"/>
                <w:szCs w:val="1"/>
                <w:color w:val="auto"/>
              </w:rPr>
            </w:pPr>
          </w:p>
        </w:tc>
      </w:tr>
      <w:tr>
        <w:trPr>
          <w:trHeight w:val="235"/>
        </w:trPr>
        <w:tc>
          <w:tcPr>
            <w:tcW w:w="20" w:type="dxa"/>
            <w:vAlign w:val="bottom"/>
            <w:vMerge w:val="restart"/>
          </w:tcPr>
          <w:p>
            <w:pPr>
              <w:spacing w:after="0"/>
              <w:rPr>
                <w:sz w:val="20"/>
                <w:szCs w:val="20"/>
                <w:color w:val="auto"/>
              </w:rPr>
            </w:pPr>
          </w:p>
        </w:tc>
        <w:tc>
          <w:tcPr>
            <w:tcW w:w="68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7"/>
                <w:szCs w:val="17"/>
                <w:color w:val="auto"/>
              </w:rPr>
              <w:t>Outstanding at January 1, 2019</w:t>
            </w:r>
          </w:p>
        </w:tc>
        <w:tc>
          <w:tcPr>
            <w:tcW w:w="114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37,500</w:t>
            </w:r>
          </w:p>
        </w:tc>
        <w:tc>
          <w:tcPr>
            <w:tcW w:w="240" w:type="dxa"/>
            <w:vAlign w:val="bottom"/>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ind w:right="59"/>
              <w:spacing w:after="0"/>
              <w:rPr>
                <w:sz w:val="20"/>
                <w:szCs w:val="20"/>
                <w:color w:val="auto"/>
              </w:rPr>
            </w:pPr>
            <w:r>
              <w:rPr>
                <w:rFonts w:ascii="Arial" w:cs="Arial" w:eastAsia="Arial" w:hAnsi="Arial"/>
                <w:sz w:val="17"/>
                <w:szCs w:val="17"/>
                <w:color w:val="auto"/>
              </w:rPr>
              <w:t>8.36</w:t>
            </w:r>
          </w:p>
        </w:tc>
        <w:tc>
          <w:tcPr>
            <w:tcW w:w="1100" w:type="dxa"/>
            <w:vAlign w:val="bottom"/>
            <w:shd w:val="clear" w:color="auto" w:fill="CCEEFF"/>
          </w:tcPr>
          <w:p>
            <w:pPr>
              <w:jc w:val="right"/>
              <w:ind w:right="21"/>
              <w:spacing w:after="0"/>
              <w:rPr>
                <w:sz w:val="20"/>
                <w:szCs w:val="20"/>
                <w:color w:val="auto"/>
              </w:rPr>
            </w:pPr>
            <w:r>
              <w:rPr>
                <w:rFonts w:ascii="Arial" w:cs="Arial" w:eastAsia="Arial" w:hAnsi="Arial"/>
                <w:sz w:val="17"/>
                <w:szCs w:val="17"/>
                <w:color w:val="auto"/>
              </w:rPr>
              <w:t>2.24</w:t>
            </w:r>
          </w:p>
        </w:tc>
        <w:tc>
          <w:tcPr>
            <w:tcW w:w="240" w:type="dxa"/>
            <w:vAlign w:val="bottom"/>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349,950</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68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7"/>
                <w:szCs w:val="17"/>
                <w:color w:val="auto"/>
              </w:rPr>
              <w:t>Granted</w:t>
            </w:r>
          </w:p>
        </w:tc>
        <w:tc>
          <w:tcPr>
            <w:tcW w:w="114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ind w:right="59"/>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ind w:right="21"/>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7"/>
                <w:szCs w:val="17"/>
                <w:color w:val="auto"/>
              </w:rPr>
              <w:t>Exercised</w:t>
            </w:r>
          </w:p>
        </w:tc>
        <w:tc>
          <w:tcPr>
            <w:tcW w:w="1140" w:type="dxa"/>
            <w:vAlign w:val="bottom"/>
          </w:tcPr>
          <w:p>
            <w:pPr>
              <w:jc w:val="right"/>
              <w:ind w:right="18"/>
              <w:spacing w:after="0"/>
              <w:rPr>
                <w:sz w:val="20"/>
                <w:szCs w:val="20"/>
                <w:color w:val="auto"/>
              </w:rPr>
            </w:pPr>
            <w:r>
              <w:rPr>
                <w:rFonts w:ascii="Arial" w:cs="Arial" w:eastAsia="Arial" w:hAnsi="Arial"/>
                <w:sz w:val="17"/>
                <w:szCs w:val="17"/>
                <w:color w:val="auto"/>
              </w:rPr>
              <w:t>-</w:t>
            </w:r>
          </w:p>
        </w:tc>
        <w:tc>
          <w:tcPr>
            <w:tcW w:w="240" w:type="dxa"/>
            <w:vAlign w:val="bottom"/>
          </w:tcPr>
          <w:p>
            <w:pPr>
              <w:ind w:left="120"/>
              <w:spacing w:after="0"/>
              <w:rPr>
                <w:sz w:val="20"/>
                <w:szCs w:val="20"/>
                <w:color w:val="auto"/>
              </w:rPr>
            </w:pPr>
            <w:r>
              <w:rPr>
                <w:rFonts w:ascii="Arial" w:cs="Arial" w:eastAsia="Arial" w:hAnsi="Arial"/>
                <w:sz w:val="17"/>
                <w:szCs w:val="17"/>
                <w:color w:val="auto"/>
              </w:rPr>
              <w:t>$</w:t>
            </w:r>
          </w:p>
        </w:tc>
        <w:tc>
          <w:tcPr>
            <w:tcW w:w="940" w:type="dxa"/>
            <w:vAlign w:val="bottom"/>
          </w:tcPr>
          <w:p>
            <w:pPr>
              <w:jc w:val="right"/>
              <w:ind w:right="59"/>
              <w:spacing w:after="0"/>
              <w:rPr>
                <w:sz w:val="20"/>
                <w:szCs w:val="20"/>
                <w:color w:val="auto"/>
              </w:rPr>
            </w:pPr>
            <w:r>
              <w:rPr>
                <w:rFonts w:ascii="Arial" w:cs="Arial" w:eastAsia="Arial" w:hAnsi="Arial"/>
                <w:sz w:val="17"/>
                <w:szCs w:val="17"/>
                <w:color w:val="auto"/>
              </w:rPr>
              <w:t>-</w:t>
            </w:r>
          </w:p>
        </w:tc>
        <w:tc>
          <w:tcPr>
            <w:tcW w:w="1100" w:type="dxa"/>
            <w:vAlign w:val="bottom"/>
          </w:tcPr>
          <w:p>
            <w:pPr>
              <w:jc w:val="right"/>
              <w:ind w:right="21"/>
              <w:spacing w:after="0"/>
              <w:rPr>
                <w:sz w:val="20"/>
                <w:szCs w:val="20"/>
                <w:color w:val="auto"/>
              </w:rPr>
            </w:pPr>
            <w:r>
              <w:rPr>
                <w:rFonts w:ascii="Arial" w:cs="Arial" w:eastAsia="Arial" w:hAnsi="Arial"/>
                <w:sz w:val="17"/>
                <w:szCs w:val="17"/>
                <w:color w:val="auto"/>
              </w:rPr>
              <w:t>-</w:t>
            </w:r>
          </w:p>
        </w:tc>
        <w:tc>
          <w:tcPr>
            <w:tcW w:w="240" w:type="dxa"/>
            <w:vAlign w:val="bottom"/>
          </w:tcPr>
          <w:p>
            <w:pPr>
              <w:ind w:left="120"/>
              <w:spacing w:after="0"/>
              <w:rPr>
                <w:sz w:val="20"/>
                <w:szCs w:val="20"/>
                <w:color w:val="auto"/>
              </w:rPr>
            </w:pPr>
            <w:r>
              <w:rPr>
                <w:rFonts w:ascii="Arial" w:cs="Arial" w:eastAsia="Arial" w:hAnsi="Arial"/>
                <w:sz w:val="17"/>
                <w:szCs w:val="17"/>
                <w:color w:val="auto"/>
              </w:rPr>
              <w:t>$</w:t>
            </w:r>
          </w:p>
        </w:tc>
        <w:tc>
          <w:tcPr>
            <w:tcW w:w="900" w:type="dxa"/>
            <w:vAlign w:val="bottom"/>
          </w:tcPr>
          <w:p>
            <w:pPr>
              <w:jc w:val="right"/>
              <w:ind w:right="37"/>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Forfeited</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(1,250)</w:t>
            </w:r>
          </w:p>
        </w:tc>
        <w:tc>
          <w:tcPr>
            <w:tcW w:w="2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7"/>
                <w:szCs w:val="17"/>
                <w:color w:val="auto"/>
              </w:rPr>
              <w:t>7.85</w:t>
            </w: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7"/>
                <w:szCs w:val="17"/>
                <w:color w:val="auto"/>
              </w:rPr>
              <w:t>2.04</w:t>
            </w:r>
          </w:p>
        </w:tc>
        <w:tc>
          <w:tcPr>
            <w:tcW w:w="2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11,413</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68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1"/>
        </w:trPr>
        <w:tc>
          <w:tcPr>
            <w:tcW w:w="20" w:type="dxa"/>
            <w:vAlign w:val="bottom"/>
            <w:vMerge w:val="continue"/>
          </w:tcPr>
          <w:p>
            <w:pPr>
              <w:spacing w:after="0"/>
              <w:rPr>
                <w:sz w:val="24"/>
                <w:szCs w:val="24"/>
                <w:color w:val="auto"/>
              </w:rPr>
            </w:pPr>
          </w:p>
        </w:tc>
        <w:tc>
          <w:tcPr>
            <w:tcW w:w="68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Outstanding at March 31, 2019</w:t>
            </w:r>
          </w:p>
        </w:tc>
        <w:tc>
          <w:tcPr>
            <w:tcW w:w="114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7"/>
                <w:szCs w:val="17"/>
                <w:color w:val="auto"/>
              </w:rPr>
              <w:t>36,250</w:t>
            </w:r>
          </w:p>
        </w:tc>
        <w:tc>
          <w:tcPr>
            <w:tcW w:w="24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7"/>
                <w:szCs w:val="17"/>
                <w:color w:val="auto"/>
              </w:rPr>
              <w:t>8.36</w:t>
            </w:r>
          </w:p>
        </w:tc>
        <w:tc>
          <w:tcPr>
            <w:tcW w:w="11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7"/>
                <w:szCs w:val="17"/>
                <w:color w:val="auto"/>
              </w:rPr>
              <w:t>2.00</w:t>
            </w:r>
          </w:p>
        </w:tc>
        <w:tc>
          <w:tcPr>
            <w:tcW w:w="24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rPr>
              <w:t>230,713</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68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1"/>
        </w:trPr>
        <w:tc>
          <w:tcPr>
            <w:tcW w:w="20" w:type="dxa"/>
            <w:vAlign w:val="bottom"/>
            <w:vMerge w:val="continue"/>
          </w:tcPr>
          <w:p>
            <w:pPr>
              <w:spacing w:after="0"/>
              <w:rPr>
                <w:sz w:val="24"/>
                <w:szCs w:val="24"/>
                <w:color w:val="auto"/>
              </w:rPr>
            </w:pPr>
          </w:p>
        </w:tc>
        <w:tc>
          <w:tcPr>
            <w:tcW w:w="68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Vested and Exercisable at March 31, 2019</w:t>
            </w:r>
          </w:p>
        </w:tc>
        <w:tc>
          <w:tcPr>
            <w:tcW w:w="114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7"/>
                <w:szCs w:val="17"/>
                <w:color w:val="auto"/>
              </w:rPr>
              <w:t>33,750</w:t>
            </w:r>
          </w:p>
        </w:tc>
        <w:tc>
          <w:tcPr>
            <w:tcW w:w="24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7"/>
                <w:szCs w:val="17"/>
                <w:color w:val="auto"/>
              </w:rPr>
              <w:t>8.27</w:t>
            </w:r>
          </w:p>
        </w:tc>
        <w:tc>
          <w:tcPr>
            <w:tcW w:w="11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7"/>
                <w:szCs w:val="17"/>
                <w:color w:val="auto"/>
              </w:rPr>
              <w:t>1.95</w:t>
            </w:r>
          </w:p>
        </w:tc>
        <w:tc>
          <w:tcPr>
            <w:tcW w:w="24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rPr>
              <w:t>218,250</w:t>
            </w: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The aggregate intrinsic value of options outstanding and options exercisable at March 31, 2019 is calculated as the difference between the exercise price of the underlying options and the market price of the Company’s Common Stock for the options that had exercise prices that were lower than the $14.74 closing price of the Company’s Common Stock on March 31, 2019. The total intrinsic value of options forfeited during the three months ended March 31, 2019 was $11,413, determined as of the date of forfeiture.</w:t>
      </w:r>
    </w:p>
    <w:p>
      <w:pPr>
        <w:spacing w:after="0" w:line="118" w:lineRule="exact"/>
        <w:rPr>
          <w:sz w:val="20"/>
          <w:szCs w:val="20"/>
          <w:color w:val="auto"/>
        </w:rPr>
      </w:pPr>
    </w:p>
    <w:p>
      <w:pPr>
        <w:jc w:val="both"/>
        <w:spacing w:after="0" w:line="321" w:lineRule="auto"/>
        <w:rPr>
          <w:sz w:val="20"/>
          <w:szCs w:val="20"/>
          <w:color w:val="auto"/>
        </w:rPr>
      </w:pPr>
      <w:r>
        <w:rPr>
          <w:rFonts w:ascii="Arial" w:cs="Arial" w:eastAsia="Arial" w:hAnsi="Arial"/>
          <w:sz w:val="15"/>
          <w:szCs w:val="15"/>
          <w:color w:val="auto"/>
        </w:rPr>
        <w:t>Participants in the 2005 and 2014 Plans may exercise their outstanding vested options, in whole or in part, by having the Company reduce the number of shares otherwise issuable by a number of shares having a fair market value equal to the exercise price of the option being exercised (“Net Exercise”), or by exchanging a number of shares owned for a period of greater than one year having a fair market value equal to the exercise price of the option being exercised (“Share Exchange”).</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color w:val="auto"/>
        </w:rPr>
        <w:t>As of March 31, 2019, there were no unamortized compensation costs related to unvested stock option awards.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As of March 31, 2019, there were 426,822 shares reserved for grants under the 2014 Plan.</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25106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ectPr>
          <w:pgSz w:w="11900" w:h="16838" w:orient="portrait"/>
          <w:cols w:equalWidth="0" w:num="1">
            <w:col w:w="11420"/>
          </w:cols>
          <w:pgMar w:left="240" w:top="497" w:right="239" w:bottom="1440" w:gutter="0" w:footer="0" w:header="0"/>
        </w:sectPr>
      </w:pPr>
    </w:p>
    <w:bookmarkStart w:id="33" w:name="page34"/>
    <w:bookmarkEnd w:id="33"/>
    <w:p>
      <w:pPr>
        <w:spacing w:after="0"/>
        <w:rPr>
          <w:sz w:val="20"/>
          <w:szCs w:val="20"/>
          <w:color w:val="auto"/>
        </w:rPr>
      </w:pPr>
      <w:r>
        <w:rPr>
          <w:rFonts w:ascii="Arial" w:cs="Arial" w:eastAsia="Arial" w:hAnsi="Arial"/>
          <w:sz w:val="17"/>
          <w:szCs w:val="17"/>
          <w:u w:val="single" w:color="auto"/>
          <w:color w:val="auto"/>
        </w:rPr>
        <w:t>Restricted Stock Awards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A summary of the restricted common stock activity under the Company’s 2014 Plan for the three months ended March 31, 2019 is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center"/>
              <w:ind w:right="141"/>
              <w:spacing w:after="0"/>
              <w:rPr>
                <w:sz w:val="20"/>
                <w:szCs w:val="20"/>
                <w:color w:val="auto"/>
              </w:rPr>
            </w:pPr>
            <w:r>
              <w:rPr>
                <w:rFonts w:ascii="Arial" w:cs="Arial" w:eastAsia="Arial" w:hAnsi="Arial"/>
                <w:sz w:val="14"/>
                <w:szCs w:val="14"/>
                <w:b w:val="1"/>
                <w:bCs w:val="1"/>
                <w:color w:val="auto"/>
                <w:w w:val="91"/>
              </w:rPr>
              <w:t>Weighted</w:t>
            </w: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jc w:val="center"/>
              <w:ind w:right="141"/>
              <w:spacing w:after="0" w:line="157" w:lineRule="exact"/>
              <w:rPr>
                <w:sz w:val="20"/>
                <w:szCs w:val="20"/>
                <w:color w:val="auto"/>
              </w:rPr>
            </w:pPr>
            <w:r>
              <w:rPr>
                <w:rFonts w:ascii="Arial" w:cs="Arial" w:eastAsia="Arial" w:hAnsi="Arial"/>
                <w:sz w:val="14"/>
                <w:szCs w:val="14"/>
                <w:b w:val="1"/>
                <w:bCs w:val="1"/>
                <w:color w:val="auto"/>
                <w:w w:val="90"/>
              </w:rPr>
              <w:t>Average</w:t>
            </w: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jc w:val="center"/>
              <w:ind w:right="141"/>
              <w:spacing w:after="0" w:line="157" w:lineRule="exact"/>
              <w:rPr>
                <w:sz w:val="20"/>
                <w:szCs w:val="20"/>
                <w:color w:val="auto"/>
              </w:rPr>
            </w:pPr>
            <w:r>
              <w:rPr>
                <w:rFonts w:ascii="Arial" w:cs="Arial" w:eastAsia="Arial" w:hAnsi="Arial"/>
                <w:sz w:val="14"/>
                <w:szCs w:val="14"/>
                <w:b w:val="1"/>
                <w:bCs w:val="1"/>
                <w:color w:val="auto"/>
                <w:w w:val="97"/>
              </w:rPr>
              <w:t>Grant Date</w:t>
            </w: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gridSpan w:val="2"/>
          </w:tcPr>
          <w:p>
            <w:pPr>
              <w:ind w:left="140"/>
              <w:spacing w:after="0" w:line="157" w:lineRule="exact"/>
              <w:rPr>
                <w:sz w:val="20"/>
                <w:szCs w:val="20"/>
                <w:color w:val="auto"/>
              </w:rPr>
            </w:pPr>
            <w:r>
              <w:rPr>
                <w:rFonts w:ascii="Arial" w:cs="Arial" w:eastAsia="Arial" w:hAnsi="Arial"/>
                <w:sz w:val="14"/>
                <w:szCs w:val="14"/>
                <w:b w:val="1"/>
                <w:bCs w:val="1"/>
                <w:color w:val="auto"/>
              </w:rPr>
              <w:t>Fair Value per</w:t>
            </w:r>
          </w:p>
        </w:tc>
        <w:tc>
          <w:tcPr>
            <w:tcW w:w="220" w:type="dxa"/>
            <w:vAlign w:val="bottom"/>
          </w:tcPr>
          <w:p>
            <w:pPr>
              <w:spacing w:after="0"/>
              <w:rPr>
                <w:sz w:val="13"/>
                <w:szCs w:val="13"/>
                <w:color w:val="auto"/>
              </w:rPr>
            </w:pPr>
          </w:p>
        </w:tc>
        <w:tc>
          <w:tcPr>
            <w:tcW w:w="920" w:type="dxa"/>
            <w:vAlign w:val="bottom"/>
          </w:tcPr>
          <w:p>
            <w:pPr>
              <w:jc w:val="right"/>
              <w:ind w:right="179"/>
              <w:spacing w:after="0" w:line="157" w:lineRule="exact"/>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7980" w:type="dxa"/>
            <w:vAlign w:val="bottom"/>
          </w:tcPr>
          <w:p>
            <w:pPr>
              <w:ind w:left="3240"/>
              <w:spacing w:after="0"/>
              <w:rPr>
                <w:sz w:val="20"/>
                <w:szCs w:val="20"/>
                <w:color w:val="auto"/>
              </w:rPr>
            </w:pPr>
            <w:r>
              <w:rPr>
                <w:rFonts w:ascii="Arial" w:cs="Arial" w:eastAsia="Arial" w:hAnsi="Arial"/>
                <w:sz w:val="14"/>
                <w:szCs w:val="14"/>
                <w:b w:val="1"/>
                <w:bCs w:val="1"/>
                <w:color w:val="auto"/>
              </w:rPr>
              <w:t>Restricted Stock Awards</w:t>
            </w:r>
          </w:p>
        </w:tc>
        <w:tc>
          <w:tcPr>
            <w:tcW w:w="114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Shares</w:t>
            </w: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121"/>
              <w:spacing w:after="0"/>
              <w:rPr>
                <w:sz w:val="20"/>
                <w:szCs w:val="20"/>
                <w:color w:val="auto"/>
              </w:rPr>
            </w:pPr>
            <w:r>
              <w:rPr>
                <w:rFonts w:ascii="Arial" w:cs="Arial" w:eastAsia="Arial" w:hAnsi="Arial"/>
                <w:sz w:val="14"/>
                <w:szCs w:val="14"/>
                <w:b w:val="1"/>
                <w:bCs w:val="1"/>
                <w:color w:val="auto"/>
                <w:w w:val="92"/>
              </w:rPr>
              <w:t>Share</w:t>
            </w: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235"/>
        </w:trPr>
        <w:tc>
          <w:tcPr>
            <w:tcW w:w="20" w:type="dxa"/>
            <w:vAlign w:val="bottom"/>
            <w:vMerge w:val="restart"/>
          </w:tcPr>
          <w:p>
            <w:pPr>
              <w:spacing w:after="0"/>
              <w:rPr>
                <w:sz w:val="20"/>
                <w:szCs w:val="20"/>
                <w:color w:val="auto"/>
              </w:rPr>
            </w:pPr>
          </w:p>
        </w:tc>
        <w:tc>
          <w:tcPr>
            <w:tcW w:w="79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7"/>
                <w:szCs w:val="17"/>
                <w:color w:val="auto"/>
              </w:rPr>
              <w:t>Balance at January 1, 2019</w:t>
            </w:r>
          </w:p>
        </w:tc>
        <w:tc>
          <w:tcPr>
            <w:tcW w:w="114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120,499</w:t>
            </w:r>
          </w:p>
        </w:tc>
        <w:tc>
          <w:tcPr>
            <w:tcW w:w="220" w:type="dxa"/>
            <w:vAlign w:val="bottom"/>
            <w:shd w:val="clear" w:color="auto" w:fill="CCEEFF"/>
          </w:tcPr>
          <w:p>
            <w:pPr>
              <w:ind w:left="120"/>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ind w:right="21"/>
              <w:spacing w:after="0"/>
              <w:rPr>
                <w:sz w:val="20"/>
                <w:szCs w:val="20"/>
                <w:color w:val="auto"/>
              </w:rPr>
            </w:pPr>
            <w:r>
              <w:rPr>
                <w:rFonts w:ascii="Arial" w:cs="Arial" w:eastAsia="Arial" w:hAnsi="Arial"/>
                <w:sz w:val="17"/>
                <w:szCs w:val="17"/>
                <w:color w:val="auto"/>
              </w:rPr>
              <w:t>17.66</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7"/>
                <w:szCs w:val="17"/>
                <w:color w:val="auto"/>
              </w:rPr>
              <w:t>2,129,175</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79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7"/>
                <w:szCs w:val="17"/>
                <w:color w:val="auto"/>
              </w:rPr>
              <w:t>Granted</w:t>
            </w:r>
          </w:p>
        </w:tc>
        <w:tc>
          <w:tcPr>
            <w:tcW w:w="114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51,242</w:t>
            </w:r>
          </w:p>
        </w:tc>
        <w:tc>
          <w:tcPr>
            <w:tcW w:w="220" w:type="dxa"/>
            <w:vAlign w:val="bottom"/>
            <w:shd w:val="clear" w:color="auto" w:fill="CCEEFF"/>
          </w:tcPr>
          <w:p>
            <w:pPr>
              <w:ind w:left="120"/>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ind w:right="21"/>
              <w:spacing w:after="0"/>
              <w:rPr>
                <w:sz w:val="20"/>
                <w:szCs w:val="20"/>
                <w:color w:val="auto"/>
              </w:rPr>
            </w:pPr>
            <w:r>
              <w:rPr>
                <w:rFonts w:ascii="Arial" w:cs="Arial" w:eastAsia="Arial" w:hAnsi="Arial"/>
                <w:sz w:val="17"/>
                <w:szCs w:val="17"/>
                <w:color w:val="auto"/>
              </w:rPr>
              <w:t>17.76</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7"/>
                <w:szCs w:val="17"/>
                <w:color w:val="auto"/>
              </w:rPr>
              <w:t>910,058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7"/>
                <w:szCs w:val="17"/>
                <w:color w:val="auto"/>
              </w:rPr>
              <w:t>Vested</w:t>
            </w:r>
          </w:p>
        </w:tc>
        <w:tc>
          <w:tcPr>
            <w:tcW w:w="1140" w:type="dxa"/>
            <w:vAlign w:val="bottom"/>
          </w:tcPr>
          <w:p>
            <w:pPr>
              <w:jc w:val="right"/>
              <w:spacing w:after="0"/>
              <w:rPr>
                <w:sz w:val="20"/>
                <w:szCs w:val="20"/>
                <w:color w:val="auto"/>
              </w:rPr>
            </w:pPr>
            <w:r>
              <w:rPr>
                <w:rFonts w:ascii="Arial" w:cs="Arial" w:eastAsia="Arial" w:hAnsi="Arial"/>
                <w:sz w:val="17"/>
                <w:szCs w:val="17"/>
                <w:color w:val="auto"/>
              </w:rPr>
              <w:t>(27,501)</w:t>
            </w:r>
          </w:p>
        </w:tc>
        <w:tc>
          <w:tcPr>
            <w:tcW w:w="220" w:type="dxa"/>
            <w:vAlign w:val="bottom"/>
          </w:tcPr>
          <w:p>
            <w:pPr>
              <w:ind w:left="120"/>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ind w:right="21"/>
              <w:spacing w:after="0"/>
              <w:rPr>
                <w:sz w:val="20"/>
                <w:szCs w:val="20"/>
                <w:color w:val="auto"/>
              </w:rPr>
            </w:pPr>
            <w:r>
              <w:rPr>
                <w:rFonts w:ascii="Arial" w:cs="Arial" w:eastAsia="Arial" w:hAnsi="Arial"/>
                <w:sz w:val="17"/>
                <w:szCs w:val="17"/>
                <w:color w:val="auto"/>
              </w:rPr>
              <w:t>18.67</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(513,446)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Forfeited</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(3,804)</w:t>
            </w:r>
          </w:p>
        </w:tc>
        <w:tc>
          <w:tcPr>
            <w:tcW w:w="2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7"/>
                <w:szCs w:val="17"/>
                <w:color w:val="auto"/>
              </w:rPr>
              <w:t>15.51</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(59,011)</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79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1"/>
        </w:trPr>
        <w:tc>
          <w:tcPr>
            <w:tcW w:w="20" w:type="dxa"/>
            <w:vAlign w:val="bottom"/>
            <w:vMerge w:val="continue"/>
          </w:tcPr>
          <w:p>
            <w:pPr>
              <w:spacing w:after="0"/>
              <w:rPr>
                <w:sz w:val="24"/>
                <w:szCs w:val="24"/>
                <w:color w:val="auto"/>
              </w:rPr>
            </w:pPr>
          </w:p>
        </w:tc>
        <w:tc>
          <w:tcPr>
            <w:tcW w:w="79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Balance at March 31, 2019</w:t>
            </w:r>
          </w:p>
        </w:tc>
        <w:tc>
          <w:tcPr>
            <w:tcW w:w="11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140,436</w:t>
            </w:r>
          </w:p>
        </w:tc>
        <w:tc>
          <w:tcPr>
            <w:tcW w:w="22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7"/>
                <w:szCs w:val="17"/>
                <w:color w:val="auto"/>
              </w:rPr>
              <w:t>17.58</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7"/>
                <w:szCs w:val="17"/>
                <w:color w:val="auto"/>
              </w:rPr>
              <w:t>2,466,776</w:t>
            </w: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Fair value was calculated using the closing price of the Company’s Common Stock on the grant date. For the three months ended March 31, 2019 and 2018, stock-based compensation for these grants was approximately $309,000 and $106,000, respectively, which is included in other operating expenses on the accompanying consolidated statements of operations and comprehensive loss. These amounts reflect the Company’s accounting expense and do not correspond to the actual value that will be recognized by the directors, executives and employees.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9 – Income Taxes</w:t>
      </w:r>
    </w:p>
    <w:p>
      <w:pPr>
        <w:spacing w:after="0" w:line="227" w:lineRule="exact"/>
        <w:rPr>
          <w:sz w:val="20"/>
          <w:szCs w:val="20"/>
          <w:color w:val="auto"/>
        </w:rPr>
      </w:pPr>
    </w:p>
    <w:p>
      <w:pPr>
        <w:jc w:val="both"/>
        <w:spacing w:after="0" w:line="311" w:lineRule="auto"/>
        <w:rPr>
          <w:sz w:val="20"/>
          <w:szCs w:val="20"/>
          <w:color w:val="auto"/>
        </w:rPr>
      </w:pPr>
      <w:r>
        <w:rPr>
          <w:rFonts w:ascii="Arial" w:cs="Arial" w:eastAsia="Arial" w:hAnsi="Arial"/>
          <w:sz w:val="15"/>
          <w:szCs w:val="15"/>
          <w:color w:val="auto"/>
        </w:rPr>
        <w:t>The Company files a consolidated U.S. federal income tax return that includes all wholly owned subsidiaries. State tax returns are filed on a consolidated or separate return basis depending on applicable laws. The Company records adjustments related to prior years’ taxes during the period when they are identified, generally when the tax returns are filed. The effect of these adjustments on the current and prior periods (during which the differences originated) is evaluated based upon quantitative and qualitative factors and are considered in relation to the consolidated financial statements taken as a whole for the respective periods.</w:t>
      </w:r>
    </w:p>
    <w:p>
      <w:pPr>
        <w:spacing w:after="0" w:line="152"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Deferred tax assets and liabilities are determined using the enacted tax rates applicable to the period the temporary differences are expected to be recovered. Accordingly, the current period income tax provision can be affected by the enactment of new tax rates. The net deferred income taxes on the balance sheets reflect temporary differences between the carrying amounts of the assets and liabilities for financial reporting purposes and income tax purposes, tax effected at various rates depending on whether the temporary differences are subject to federal taxes, state taxes, or both.</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25106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ectPr>
          <w:pgSz w:w="11900" w:h="16838" w:orient="portrait"/>
          <w:cols w:equalWidth="0" w:num="1">
            <w:col w:w="11420"/>
          </w:cols>
          <w:pgMar w:left="240" w:top="497" w:right="239" w:bottom="1440" w:gutter="0" w:footer="0" w:header="0"/>
        </w:sectPr>
      </w:pPr>
    </w:p>
    <w:bookmarkStart w:id="34" w:name="page35"/>
    <w:bookmarkEnd w:id="34"/>
    <w:p>
      <w:pPr>
        <w:spacing w:after="0"/>
        <w:rPr>
          <w:sz w:val="20"/>
          <w:szCs w:val="20"/>
          <w:color w:val="auto"/>
        </w:rPr>
      </w:pPr>
      <w:r>
        <w:rPr>
          <w:rFonts w:ascii="Arial" w:cs="Arial" w:eastAsia="Arial" w:hAnsi="Arial"/>
          <w:sz w:val="17"/>
          <w:szCs w:val="17"/>
          <w:color w:val="auto"/>
        </w:rPr>
        <w:t>Significant components of the Company’s deferred tax assets and liabilities are as follows: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9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jc w:val="right"/>
              <w:ind w:right="197"/>
              <w:spacing w:after="0"/>
              <w:rPr>
                <w:sz w:val="20"/>
                <w:szCs w:val="20"/>
                <w:color w:val="auto"/>
              </w:rPr>
            </w:pPr>
            <w:r>
              <w:rPr>
                <w:rFonts w:ascii="Arial" w:cs="Arial" w:eastAsia="Arial" w:hAnsi="Arial"/>
                <w:sz w:val="14"/>
                <w:szCs w:val="14"/>
                <w:b w:val="1"/>
                <w:bCs w:val="1"/>
                <w:color w:val="auto"/>
                <w:w w:val="99"/>
              </w:rPr>
              <w:t>March 31,</w:t>
            </w:r>
          </w:p>
        </w:tc>
        <w:tc>
          <w:tcPr>
            <w:tcW w:w="1100" w:type="dxa"/>
            <w:vAlign w:val="bottom"/>
            <w:gridSpan w:val="2"/>
          </w:tcPr>
          <w:p>
            <w:pPr>
              <w:jc w:val="right"/>
              <w:ind w:right="56"/>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9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470"/>
        </w:trPr>
        <w:tc>
          <w:tcPr>
            <w:tcW w:w="9140" w:type="dxa"/>
            <w:vAlign w:val="bottom"/>
            <w:gridSpan w:val="2"/>
          </w:tcPr>
          <w:p>
            <w:pPr>
              <w:spacing w:after="0"/>
              <w:rPr>
                <w:sz w:val="20"/>
                <w:szCs w:val="20"/>
                <w:color w:val="auto"/>
              </w:rPr>
            </w:pPr>
            <w:r>
              <w:rPr>
                <w:rFonts w:ascii="Arial" w:cs="Arial" w:eastAsia="Arial" w:hAnsi="Arial"/>
                <w:sz w:val="17"/>
                <w:szCs w:val="17"/>
                <w:color w:val="auto"/>
              </w:rPr>
              <w:t>Deferred tax asset:</w:t>
            </w: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1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Net operating loss carryovers (1)</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70,381</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90,438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120" w:type="dxa"/>
            <w:vAlign w:val="bottom"/>
          </w:tcPr>
          <w:p>
            <w:pPr>
              <w:ind w:left="140"/>
              <w:spacing w:after="0"/>
              <w:rPr>
                <w:sz w:val="20"/>
                <w:szCs w:val="20"/>
                <w:color w:val="auto"/>
              </w:rPr>
            </w:pPr>
            <w:r>
              <w:rPr>
                <w:rFonts w:ascii="Arial" w:cs="Arial" w:eastAsia="Arial" w:hAnsi="Arial"/>
                <w:sz w:val="17"/>
                <w:szCs w:val="17"/>
                <w:color w:val="auto"/>
              </w:rPr>
              <w:t>Claims reserve discount</w:t>
            </w:r>
          </w:p>
        </w:tc>
        <w:tc>
          <w:tcPr>
            <w:tcW w:w="240" w:type="dxa"/>
            <w:vAlign w:val="bottom"/>
          </w:tcPr>
          <w:p>
            <w:pPr>
              <w:spacing w:after="0"/>
              <w:rPr>
                <w:sz w:val="18"/>
                <w:szCs w:val="18"/>
                <w:color w:val="auto"/>
              </w:rPr>
            </w:pPr>
          </w:p>
        </w:tc>
        <w:tc>
          <w:tcPr>
            <w:tcW w:w="940" w:type="dxa"/>
            <w:vAlign w:val="bottom"/>
          </w:tcPr>
          <w:p>
            <w:pPr>
              <w:jc w:val="right"/>
              <w:ind w:right="57"/>
              <w:spacing w:after="0"/>
              <w:rPr>
                <w:sz w:val="20"/>
                <w:szCs w:val="20"/>
                <w:color w:val="auto"/>
              </w:rPr>
            </w:pPr>
            <w:r>
              <w:rPr>
                <w:rFonts w:ascii="Arial" w:cs="Arial" w:eastAsia="Arial" w:hAnsi="Arial"/>
                <w:sz w:val="17"/>
                <w:szCs w:val="17"/>
                <w:color w:val="auto"/>
              </w:rPr>
              <w:t>454,206</w:t>
            </w:r>
          </w:p>
        </w:tc>
        <w:tc>
          <w:tcPr>
            <w:tcW w:w="200" w:type="dxa"/>
            <w:vAlign w:val="bottom"/>
          </w:tcPr>
          <w:p>
            <w:pPr>
              <w:spacing w:after="0"/>
              <w:rPr>
                <w:sz w:val="18"/>
                <w:szCs w:val="18"/>
                <w:color w:val="auto"/>
              </w:rPr>
            </w:pPr>
          </w:p>
        </w:tc>
        <w:tc>
          <w:tcPr>
            <w:tcW w:w="900" w:type="dxa"/>
            <w:vAlign w:val="bottom"/>
          </w:tcPr>
          <w:p>
            <w:pPr>
              <w:jc w:val="right"/>
              <w:ind w:right="36"/>
              <w:spacing w:after="0"/>
              <w:rPr>
                <w:sz w:val="20"/>
                <w:szCs w:val="20"/>
                <w:color w:val="auto"/>
              </w:rPr>
            </w:pPr>
            <w:r>
              <w:rPr>
                <w:rFonts w:ascii="Arial" w:cs="Arial" w:eastAsia="Arial" w:hAnsi="Arial"/>
                <w:sz w:val="17"/>
                <w:szCs w:val="17"/>
                <w:color w:val="auto"/>
              </w:rPr>
              <w:t>343,905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1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Unearned premium</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3,217,985</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3,145,682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120" w:type="dxa"/>
            <w:vAlign w:val="bottom"/>
          </w:tcPr>
          <w:p>
            <w:pPr>
              <w:ind w:left="140"/>
              <w:spacing w:after="0"/>
              <w:rPr>
                <w:sz w:val="20"/>
                <w:szCs w:val="20"/>
                <w:color w:val="auto"/>
              </w:rPr>
            </w:pPr>
            <w:r>
              <w:rPr>
                <w:rFonts w:ascii="Arial" w:cs="Arial" w:eastAsia="Arial" w:hAnsi="Arial"/>
                <w:sz w:val="17"/>
                <w:szCs w:val="17"/>
                <w:color w:val="auto"/>
              </w:rPr>
              <w:t>Deferred ceding commission revenue</w:t>
            </w:r>
          </w:p>
        </w:tc>
        <w:tc>
          <w:tcPr>
            <w:tcW w:w="240" w:type="dxa"/>
            <w:vAlign w:val="bottom"/>
          </w:tcPr>
          <w:p>
            <w:pPr>
              <w:spacing w:after="0"/>
              <w:rPr>
                <w:sz w:val="18"/>
                <w:szCs w:val="18"/>
                <w:color w:val="auto"/>
              </w:rPr>
            </w:pPr>
          </w:p>
        </w:tc>
        <w:tc>
          <w:tcPr>
            <w:tcW w:w="940" w:type="dxa"/>
            <w:vAlign w:val="bottom"/>
          </w:tcPr>
          <w:p>
            <w:pPr>
              <w:jc w:val="right"/>
              <w:ind w:right="57"/>
              <w:spacing w:after="0"/>
              <w:rPr>
                <w:sz w:val="20"/>
                <w:szCs w:val="20"/>
                <w:color w:val="auto"/>
              </w:rPr>
            </w:pPr>
            <w:r>
              <w:rPr>
                <w:rFonts w:ascii="Arial" w:cs="Arial" w:eastAsia="Arial" w:hAnsi="Arial"/>
                <w:sz w:val="17"/>
                <w:szCs w:val="17"/>
                <w:color w:val="auto"/>
              </w:rPr>
              <w:t>576,531</w:t>
            </w:r>
          </w:p>
        </w:tc>
        <w:tc>
          <w:tcPr>
            <w:tcW w:w="200" w:type="dxa"/>
            <w:vAlign w:val="bottom"/>
          </w:tcPr>
          <w:p>
            <w:pPr>
              <w:spacing w:after="0"/>
              <w:rPr>
                <w:sz w:val="18"/>
                <w:szCs w:val="18"/>
                <w:color w:val="auto"/>
              </w:rPr>
            </w:pPr>
          </w:p>
        </w:tc>
        <w:tc>
          <w:tcPr>
            <w:tcW w:w="900" w:type="dxa"/>
            <w:vAlign w:val="bottom"/>
          </w:tcPr>
          <w:p>
            <w:pPr>
              <w:jc w:val="right"/>
              <w:ind w:right="36"/>
              <w:spacing w:after="0"/>
              <w:rPr>
                <w:sz w:val="20"/>
                <w:szCs w:val="20"/>
                <w:color w:val="auto"/>
              </w:rPr>
            </w:pPr>
            <w:r>
              <w:rPr>
                <w:rFonts w:ascii="Arial" w:cs="Arial" w:eastAsia="Arial" w:hAnsi="Arial"/>
                <w:sz w:val="17"/>
                <w:szCs w:val="17"/>
                <w:color w:val="auto"/>
              </w:rPr>
              <w:t>564,202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91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Other</w:t>
            </w:r>
          </w:p>
        </w:tc>
        <w:tc>
          <w:tcPr>
            <w:tcW w:w="2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7"/>
                <w:szCs w:val="17"/>
                <w:color w:val="auto"/>
              </w:rPr>
              <w:t>874</w:t>
            </w: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383,733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9120" w:type="dxa"/>
            <w:vAlign w:val="bottom"/>
          </w:tcPr>
          <w:p>
            <w:pPr>
              <w:spacing w:after="0"/>
              <w:rPr>
                <w:sz w:val="20"/>
                <w:szCs w:val="20"/>
                <w:color w:val="auto"/>
              </w:rPr>
            </w:pPr>
            <w:r>
              <w:rPr>
                <w:rFonts w:ascii="Arial" w:cs="Arial" w:eastAsia="Arial" w:hAnsi="Arial"/>
                <w:sz w:val="17"/>
                <w:szCs w:val="17"/>
                <w:color w:val="auto"/>
              </w:rPr>
              <w:t>Total deferred tax assets</w:t>
            </w: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57"/>
              <w:spacing w:after="0"/>
              <w:rPr>
                <w:sz w:val="20"/>
                <w:szCs w:val="20"/>
                <w:color w:val="auto"/>
              </w:rPr>
            </w:pPr>
            <w:r>
              <w:rPr>
                <w:rFonts w:ascii="Arial" w:cs="Arial" w:eastAsia="Arial" w:hAnsi="Arial"/>
                <w:sz w:val="17"/>
                <w:szCs w:val="17"/>
                <w:color w:val="auto"/>
              </w:rPr>
              <w:t>4,319,977</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4,527,960</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9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9120" w:type="dxa"/>
            <w:vAlign w:val="bottom"/>
          </w:tcPr>
          <w:p>
            <w:pPr>
              <w:spacing w:after="0"/>
              <w:rPr>
                <w:sz w:val="20"/>
                <w:szCs w:val="20"/>
                <w:color w:val="auto"/>
              </w:rPr>
            </w:pPr>
            <w:r>
              <w:rPr>
                <w:rFonts w:ascii="Arial" w:cs="Arial" w:eastAsia="Arial" w:hAnsi="Arial"/>
                <w:sz w:val="17"/>
                <w:szCs w:val="17"/>
                <w:color w:val="auto"/>
              </w:rPr>
              <w:t>Deferred tax liability:</w:t>
            </w: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1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Investment in KICO (2)</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759,543</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759,543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120" w:type="dxa"/>
            <w:vAlign w:val="bottom"/>
          </w:tcPr>
          <w:p>
            <w:pPr>
              <w:ind w:left="140"/>
              <w:spacing w:after="0"/>
              <w:rPr>
                <w:sz w:val="20"/>
                <w:szCs w:val="20"/>
                <w:color w:val="auto"/>
              </w:rPr>
            </w:pPr>
            <w:r>
              <w:rPr>
                <w:rFonts w:ascii="Arial" w:cs="Arial" w:eastAsia="Arial" w:hAnsi="Arial"/>
                <w:sz w:val="17"/>
                <w:szCs w:val="17"/>
                <w:color w:val="auto"/>
              </w:rPr>
              <w:t>Deferred acquisition costs</w:t>
            </w:r>
          </w:p>
        </w:tc>
        <w:tc>
          <w:tcPr>
            <w:tcW w:w="240" w:type="dxa"/>
            <w:vAlign w:val="bottom"/>
          </w:tcPr>
          <w:p>
            <w:pPr>
              <w:spacing w:after="0"/>
              <w:rPr>
                <w:sz w:val="18"/>
                <w:szCs w:val="18"/>
                <w:color w:val="auto"/>
              </w:rPr>
            </w:pPr>
          </w:p>
        </w:tc>
        <w:tc>
          <w:tcPr>
            <w:tcW w:w="940" w:type="dxa"/>
            <w:vAlign w:val="bottom"/>
          </w:tcPr>
          <w:p>
            <w:pPr>
              <w:jc w:val="right"/>
              <w:ind w:right="57"/>
              <w:spacing w:after="0"/>
              <w:rPr>
                <w:sz w:val="20"/>
                <w:szCs w:val="20"/>
                <w:color w:val="auto"/>
              </w:rPr>
            </w:pPr>
            <w:r>
              <w:rPr>
                <w:rFonts w:ascii="Arial" w:cs="Arial" w:eastAsia="Arial" w:hAnsi="Arial"/>
                <w:sz w:val="17"/>
                <w:szCs w:val="17"/>
                <w:color w:val="auto"/>
              </w:rPr>
              <w:t>3,812,399</w:t>
            </w:r>
          </w:p>
        </w:tc>
        <w:tc>
          <w:tcPr>
            <w:tcW w:w="200" w:type="dxa"/>
            <w:vAlign w:val="bottom"/>
          </w:tcPr>
          <w:p>
            <w:pPr>
              <w:spacing w:after="0"/>
              <w:rPr>
                <w:sz w:val="18"/>
                <w:szCs w:val="18"/>
                <w:color w:val="auto"/>
              </w:rPr>
            </w:pPr>
          </w:p>
        </w:tc>
        <w:tc>
          <w:tcPr>
            <w:tcW w:w="900" w:type="dxa"/>
            <w:vAlign w:val="bottom"/>
          </w:tcPr>
          <w:p>
            <w:pPr>
              <w:jc w:val="right"/>
              <w:ind w:right="36"/>
              <w:spacing w:after="0"/>
              <w:rPr>
                <w:sz w:val="20"/>
                <w:szCs w:val="20"/>
                <w:color w:val="auto"/>
              </w:rPr>
            </w:pPr>
            <w:r>
              <w:rPr>
                <w:rFonts w:ascii="Arial" w:cs="Arial" w:eastAsia="Arial" w:hAnsi="Arial"/>
                <w:sz w:val="17"/>
                <w:szCs w:val="17"/>
                <w:color w:val="auto"/>
              </w:rPr>
              <w:t>3,760,625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1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Intangibles</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122,850</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140,700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120" w:type="dxa"/>
            <w:vAlign w:val="bottom"/>
          </w:tcPr>
          <w:p>
            <w:pPr>
              <w:ind w:left="140"/>
              <w:spacing w:after="0"/>
              <w:rPr>
                <w:sz w:val="20"/>
                <w:szCs w:val="20"/>
                <w:color w:val="auto"/>
              </w:rPr>
            </w:pPr>
            <w:r>
              <w:rPr>
                <w:rFonts w:ascii="Arial" w:cs="Arial" w:eastAsia="Arial" w:hAnsi="Arial"/>
                <w:sz w:val="17"/>
                <w:szCs w:val="17"/>
                <w:color w:val="auto"/>
              </w:rPr>
              <w:t>Depreciation and amortization</w:t>
            </w:r>
          </w:p>
        </w:tc>
        <w:tc>
          <w:tcPr>
            <w:tcW w:w="240" w:type="dxa"/>
            <w:vAlign w:val="bottom"/>
          </w:tcPr>
          <w:p>
            <w:pPr>
              <w:spacing w:after="0"/>
              <w:rPr>
                <w:sz w:val="18"/>
                <w:szCs w:val="18"/>
                <w:color w:val="auto"/>
              </w:rPr>
            </w:pPr>
          </w:p>
        </w:tc>
        <w:tc>
          <w:tcPr>
            <w:tcW w:w="940" w:type="dxa"/>
            <w:vAlign w:val="bottom"/>
          </w:tcPr>
          <w:p>
            <w:pPr>
              <w:jc w:val="right"/>
              <w:ind w:right="57"/>
              <w:spacing w:after="0"/>
              <w:rPr>
                <w:sz w:val="20"/>
                <w:szCs w:val="20"/>
                <w:color w:val="auto"/>
              </w:rPr>
            </w:pPr>
            <w:r>
              <w:rPr>
                <w:rFonts w:ascii="Arial" w:cs="Arial" w:eastAsia="Arial" w:hAnsi="Arial"/>
                <w:sz w:val="17"/>
                <w:szCs w:val="17"/>
                <w:color w:val="auto"/>
              </w:rPr>
              <w:t>626,962</w:t>
            </w:r>
          </w:p>
        </w:tc>
        <w:tc>
          <w:tcPr>
            <w:tcW w:w="200" w:type="dxa"/>
            <w:vAlign w:val="bottom"/>
          </w:tcPr>
          <w:p>
            <w:pPr>
              <w:spacing w:after="0"/>
              <w:rPr>
                <w:sz w:val="18"/>
                <w:szCs w:val="18"/>
                <w:color w:val="auto"/>
              </w:rPr>
            </w:pPr>
          </w:p>
        </w:tc>
        <w:tc>
          <w:tcPr>
            <w:tcW w:w="900" w:type="dxa"/>
            <w:vAlign w:val="bottom"/>
          </w:tcPr>
          <w:p>
            <w:pPr>
              <w:jc w:val="right"/>
              <w:ind w:right="36"/>
              <w:spacing w:after="0"/>
              <w:rPr>
                <w:sz w:val="20"/>
                <w:szCs w:val="20"/>
                <w:color w:val="auto"/>
              </w:rPr>
            </w:pPr>
            <w:r>
              <w:rPr>
                <w:rFonts w:ascii="Arial" w:cs="Arial" w:eastAsia="Arial" w:hAnsi="Arial"/>
                <w:sz w:val="17"/>
                <w:szCs w:val="17"/>
                <w:color w:val="auto"/>
              </w:rPr>
              <w:t>664,194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91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Net unrealized gains (losses) of securities - available for sale</w:t>
            </w:r>
          </w:p>
        </w:tc>
        <w:tc>
          <w:tcPr>
            <w:tcW w:w="2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7"/>
                <w:szCs w:val="17"/>
                <w:color w:val="auto"/>
              </w:rPr>
              <w:t>38,864</w:t>
            </w: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4"/>
              </w:rPr>
              <w:t>(1,151,335)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9120" w:type="dxa"/>
            <w:vAlign w:val="bottom"/>
          </w:tcPr>
          <w:p>
            <w:pPr>
              <w:spacing w:after="0"/>
              <w:rPr>
                <w:sz w:val="20"/>
                <w:szCs w:val="20"/>
                <w:color w:val="auto"/>
              </w:rPr>
            </w:pPr>
            <w:r>
              <w:rPr>
                <w:rFonts w:ascii="Arial" w:cs="Arial" w:eastAsia="Arial" w:hAnsi="Arial"/>
                <w:sz w:val="17"/>
                <w:szCs w:val="17"/>
                <w:color w:val="auto"/>
              </w:rPr>
              <w:t>Total deferred tax liabilities</w:t>
            </w: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57"/>
              <w:spacing w:after="0"/>
              <w:rPr>
                <w:sz w:val="20"/>
                <w:szCs w:val="20"/>
                <w:color w:val="auto"/>
              </w:rPr>
            </w:pPr>
            <w:r>
              <w:rPr>
                <w:rFonts w:ascii="Arial" w:cs="Arial" w:eastAsia="Arial" w:hAnsi="Arial"/>
                <w:sz w:val="17"/>
                <w:szCs w:val="17"/>
                <w:color w:val="auto"/>
              </w:rPr>
              <w:t>5,360,618</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4,173,727</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9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9120" w:type="dxa"/>
            <w:vAlign w:val="bottom"/>
          </w:tcPr>
          <w:p>
            <w:pPr>
              <w:spacing w:after="0"/>
              <w:rPr>
                <w:sz w:val="20"/>
                <w:szCs w:val="20"/>
                <w:color w:val="auto"/>
              </w:rPr>
            </w:pPr>
            <w:r>
              <w:rPr>
                <w:rFonts w:ascii="Arial" w:cs="Arial" w:eastAsia="Arial" w:hAnsi="Arial"/>
                <w:sz w:val="17"/>
                <w:szCs w:val="17"/>
                <w:color w:val="auto"/>
              </w:rPr>
              <w:t>Net deferred income tax (liability) asset</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w w:val="94"/>
              </w:rPr>
              <w:t>(1,040,641)</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354,233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(1)  The deferred tax assets from net operating loss carryovers (“NOL”) are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80" w:type="dxa"/>
            <w:vAlign w:val="bottom"/>
            <w:vMerge w:val="restart"/>
          </w:tcPr>
          <w:p>
            <w:pPr>
              <w:ind w:left="3000"/>
              <w:spacing w:after="0"/>
              <w:rPr>
                <w:sz w:val="20"/>
                <w:szCs w:val="20"/>
                <w:color w:val="auto"/>
              </w:rPr>
            </w:pPr>
            <w:r>
              <w:rPr>
                <w:rFonts w:ascii="Arial" w:cs="Arial" w:eastAsia="Arial" w:hAnsi="Arial"/>
                <w:sz w:val="14"/>
                <w:szCs w:val="14"/>
                <w:b w:val="1"/>
                <w:bCs w:val="1"/>
                <w:color w:val="auto"/>
              </w:rPr>
              <w:t>Type of NOL</w:t>
            </w:r>
          </w:p>
        </w:tc>
        <w:tc>
          <w:tcPr>
            <w:tcW w:w="2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jc w:val="right"/>
              <w:ind w:right="219"/>
              <w:spacing w:after="0"/>
              <w:rPr>
                <w:sz w:val="20"/>
                <w:szCs w:val="20"/>
                <w:color w:val="auto"/>
              </w:rPr>
            </w:pPr>
            <w:r>
              <w:rPr>
                <w:rFonts w:ascii="Arial" w:cs="Arial" w:eastAsia="Arial" w:hAnsi="Arial"/>
                <w:sz w:val="14"/>
                <w:szCs w:val="14"/>
                <w:b w:val="1"/>
                <w:bCs w:val="1"/>
                <w:color w:val="auto"/>
                <w:w w:val="99"/>
              </w:rPr>
              <w:t>March 31,</w:t>
            </w:r>
          </w:p>
        </w:tc>
        <w:tc>
          <w:tcPr>
            <w:tcW w:w="1100" w:type="dxa"/>
            <w:vAlign w:val="bottom"/>
            <w:gridSpan w:val="2"/>
          </w:tcPr>
          <w:p>
            <w:pPr>
              <w:jc w:val="right"/>
              <w:ind w:right="57"/>
              <w:spacing w:after="0"/>
              <w:rPr>
                <w:sz w:val="20"/>
                <w:szCs w:val="20"/>
                <w:color w:val="auto"/>
              </w:rPr>
            </w:pPr>
            <w:r>
              <w:rPr>
                <w:rFonts w:ascii="Arial" w:cs="Arial" w:eastAsia="Arial" w:hAnsi="Arial"/>
                <w:sz w:val="14"/>
                <w:szCs w:val="14"/>
                <w:b w:val="1"/>
                <w:bCs w:val="1"/>
                <w:color w:val="auto"/>
              </w:rPr>
              <w:t>December 31,</w:t>
            </w:r>
          </w:p>
        </w:tc>
        <w:tc>
          <w:tcPr>
            <w:tcW w:w="2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4780" w:type="dxa"/>
            <w:vAlign w:val="bottom"/>
            <w:tcBorders>
              <w:bottom w:val="single" w:sz="8" w:color="auto"/>
            </w:tcBorders>
            <w:vMerge w:val="continue"/>
          </w:tcPr>
          <w:p>
            <w:pPr>
              <w:spacing w:after="0"/>
              <w:rPr>
                <w:sz w:val="15"/>
                <w:szCs w:val="15"/>
                <w:color w:val="auto"/>
              </w:rPr>
            </w:pPr>
          </w:p>
        </w:tc>
        <w:tc>
          <w:tcPr>
            <w:tcW w:w="20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2018</w:t>
            </w: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Expiration</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7"/>
                <w:szCs w:val="17"/>
                <w:color w:val="auto"/>
              </w:rPr>
              <w:t>State only (A)</w:t>
            </w:r>
          </w:p>
        </w:tc>
        <w:tc>
          <w:tcPr>
            <w:tcW w:w="22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ind w:right="59"/>
              <w:spacing w:after="0"/>
              <w:rPr>
                <w:sz w:val="20"/>
                <w:szCs w:val="20"/>
                <w:color w:val="auto"/>
              </w:rPr>
            </w:pPr>
            <w:r>
              <w:rPr>
                <w:rFonts w:ascii="Arial" w:cs="Arial" w:eastAsia="Arial" w:hAnsi="Arial"/>
                <w:sz w:val="17"/>
                <w:szCs w:val="17"/>
                <w:color w:val="auto"/>
              </w:rPr>
              <w:t>1,436,689</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1,305,365</w:t>
            </w:r>
          </w:p>
        </w:tc>
        <w:tc>
          <w:tcPr>
            <w:tcW w:w="22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December 31, 2039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7"/>
                <w:szCs w:val="17"/>
                <w:color w:val="auto"/>
              </w:rPr>
              <w:t>Valuation allowance</w:t>
            </w:r>
          </w:p>
        </w:tc>
        <w:tc>
          <w:tcPr>
            <w:tcW w:w="20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8"/>
              </w:rPr>
              <w:t>(1,366,308)</w:t>
            </w: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4"/>
              </w:rPr>
              <w:t>(1,217,027)</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7"/>
                <w:szCs w:val="17"/>
                <w:color w:val="auto"/>
              </w:rPr>
              <w:t>State only, net of valuation allowance</w:t>
            </w:r>
          </w:p>
        </w:tc>
        <w:tc>
          <w:tcPr>
            <w:tcW w:w="2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59"/>
              <w:spacing w:after="0"/>
              <w:rPr>
                <w:sz w:val="20"/>
                <w:szCs w:val="20"/>
                <w:color w:val="auto"/>
              </w:rPr>
            </w:pPr>
            <w:r>
              <w:rPr>
                <w:rFonts w:ascii="Arial" w:cs="Arial" w:eastAsia="Arial" w:hAnsi="Arial"/>
                <w:sz w:val="17"/>
                <w:szCs w:val="17"/>
                <w:color w:val="auto"/>
              </w:rPr>
              <w:t>70,381</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88,338</w:t>
            </w:r>
          </w:p>
        </w:tc>
        <w:tc>
          <w:tcPr>
            <w:tcW w:w="2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7"/>
                <w:szCs w:val="17"/>
                <w:color w:val="auto"/>
              </w:rPr>
              <w:t>Amount subject to Annual Limitation, federal only</w:t>
            </w:r>
          </w:p>
        </w:tc>
        <w:tc>
          <w:tcPr>
            <w:tcW w:w="20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59"/>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2,100</w:t>
            </w:r>
          </w:p>
        </w:tc>
        <w:tc>
          <w:tcPr>
            <w:tcW w:w="2280" w:type="dxa"/>
            <w:vAlign w:val="bottom"/>
          </w:tcPr>
          <w:p>
            <w:pPr>
              <w:jc w:val="center"/>
              <w:spacing w:after="0"/>
              <w:rPr>
                <w:sz w:val="20"/>
                <w:szCs w:val="20"/>
                <w:color w:val="auto"/>
              </w:rPr>
            </w:pPr>
            <w:r>
              <w:rPr>
                <w:rFonts w:ascii="Arial" w:cs="Arial" w:eastAsia="Arial" w:hAnsi="Arial"/>
                <w:sz w:val="17"/>
                <w:szCs w:val="17"/>
                <w:color w:val="auto"/>
                <w:w w:val="89"/>
              </w:rPr>
              <w:t>December 31, 2019</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7"/>
                <w:szCs w:val="17"/>
                <w:color w:val="auto"/>
              </w:rPr>
              <w:t>Total deferred tax asset from net operating loss carryovers</w:t>
            </w:r>
          </w:p>
        </w:tc>
        <w:tc>
          <w:tcPr>
            <w:tcW w:w="22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ind w:right="59"/>
              <w:spacing w:after="0"/>
              <w:rPr>
                <w:sz w:val="20"/>
                <w:szCs w:val="20"/>
                <w:color w:val="auto"/>
              </w:rPr>
            </w:pPr>
            <w:r>
              <w:rPr>
                <w:rFonts w:ascii="Arial" w:cs="Arial" w:eastAsia="Arial" w:hAnsi="Arial"/>
                <w:sz w:val="17"/>
                <w:szCs w:val="17"/>
                <w:color w:val="auto"/>
              </w:rPr>
              <w:t>70,381</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90,438</w:t>
            </w:r>
          </w:p>
        </w:tc>
        <w:tc>
          <w:tcPr>
            <w:tcW w:w="22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776"/>
        </w:trPr>
        <w:tc>
          <w:tcPr>
            <w:tcW w:w="20" w:type="dxa"/>
            <w:vAlign w:val="bottom"/>
          </w:tcPr>
          <w:p>
            <w:pPr>
              <w:spacing w:after="0"/>
              <w:rPr>
                <w:sz w:val="24"/>
                <w:szCs w:val="24"/>
                <w:color w:val="auto"/>
              </w:rPr>
            </w:pPr>
          </w:p>
        </w:tc>
        <w:tc>
          <w:tcPr>
            <w:tcW w:w="4780" w:type="dxa"/>
            <w:vAlign w:val="bottom"/>
            <w:tcBorders>
              <w:top w:val="single" w:sz="8" w:color="CCEEFF"/>
              <w:bottom w:val="single" w:sz="8" w:color="auto"/>
            </w:tcBorders>
          </w:tcPr>
          <w:p>
            <w:pPr>
              <w:spacing w:after="0"/>
              <w:rPr>
                <w:sz w:val="24"/>
                <w:szCs w:val="24"/>
                <w:color w:val="auto"/>
              </w:rPr>
            </w:pPr>
          </w:p>
        </w:tc>
        <w:tc>
          <w:tcPr>
            <w:tcW w:w="2060" w:type="dxa"/>
            <w:vAlign w:val="bottom"/>
            <w:tcBorders>
              <w:top w:val="single" w:sz="8" w:color="CCEEFF"/>
              <w:bottom w:val="single" w:sz="8" w:color="auto"/>
            </w:tcBorders>
          </w:tcPr>
          <w:p>
            <w:pPr>
              <w:jc w:val="right"/>
              <w:ind w:right="975"/>
              <w:spacing w:after="0"/>
              <w:rPr>
                <w:sz w:val="20"/>
                <w:szCs w:val="20"/>
                <w:color w:val="auto"/>
              </w:rPr>
            </w:pPr>
            <w:r>
              <w:rPr>
                <w:rFonts w:ascii="Arial" w:cs="Arial" w:eastAsia="Arial" w:hAnsi="Arial"/>
                <w:sz w:val="17"/>
                <w:szCs w:val="17"/>
                <w:color w:val="auto"/>
              </w:rPr>
              <w:t>35</w:t>
            </w:r>
          </w:p>
        </w:tc>
        <w:tc>
          <w:tcPr>
            <w:tcW w:w="220" w:type="dxa"/>
            <w:vAlign w:val="bottom"/>
            <w:tcBorders>
              <w:top w:val="single" w:sz="8" w:color="auto"/>
              <w:bottom w:val="single" w:sz="8" w:color="auto"/>
            </w:tcBorders>
          </w:tcPr>
          <w:p>
            <w:pPr>
              <w:spacing w:after="0"/>
              <w:rPr>
                <w:sz w:val="24"/>
                <w:szCs w:val="24"/>
                <w:color w:val="auto"/>
              </w:rPr>
            </w:pPr>
          </w:p>
        </w:tc>
        <w:tc>
          <w:tcPr>
            <w:tcW w:w="96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spacing w:after="0"/>
              <w:rPr>
                <w:sz w:val="24"/>
                <w:szCs w:val="24"/>
                <w:color w:val="auto"/>
              </w:rPr>
            </w:pPr>
          </w:p>
        </w:tc>
        <w:tc>
          <w:tcPr>
            <w:tcW w:w="228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76" w:right="239" w:bottom="1440" w:gutter="0" w:footer="0" w:header="0"/>
        </w:sectPr>
      </w:pPr>
    </w:p>
    <w:bookmarkStart w:id="35" w:name="page36"/>
    <w:bookmarkEnd w:id="35"/>
    <w:p>
      <w:pPr>
        <w:jc w:val="both"/>
        <w:ind w:left="640" w:hanging="8"/>
        <w:spacing w:after="0" w:line="263" w:lineRule="auto"/>
        <w:tabs>
          <w:tab w:leader="none" w:pos="923" w:val="left"/>
        </w:tabs>
        <w:numPr>
          <w:ilvl w:val="0"/>
          <w:numId w:val="11"/>
        </w:numPr>
        <w:rPr>
          <w:rFonts w:ascii="Arial" w:cs="Arial" w:eastAsia="Arial" w:hAnsi="Arial"/>
          <w:sz w:val="17"/>
          <w:szCs w:val="17"/>
          <w:color w:val="auto"/>
        </w:rPr>
      </w:pPr>
      <w:r>
        <w:rPr>
          <w:rFonts w:ascii="Arial" w:cs="Arial" w:eastAsia="Arial" w:hAnsi="Arial"/>
          <w:sz w:val="17"/>
          <w:szCs w:val="17"/>
          <w:color w:val="auto"/>
        </w:rPr>
        <w:t>Kingstone generates operating losses for state purposes and has prior year NOLs available. The state NOL as of March 31, 2019 and December 31, 2018 was approximately $22,103,000 and $20,083,000, respectively. KICO is not subject to state income taxes. KICO’s state tax obligations are paid through a gross premiums tax, which is included in the condensed consolidated statements of operations and comprehensive (loss) within other underwriting expenses. A valuation allowance has been recorded due to the uncertainty of generating enough state taxable income to utilize 100% of the available state NOLs over their remaining lives, which expire between 2027 and 2039.</w:t>
      </w:r>
    </w:p>
    <w:p>
      <w:pPr>
        <w:spacing w:after="0" w:line="119" w:lineRule="exact"/>
        <w:rPr>
          <w:sz w:val="20"/>
          <w:szCs w:val="20"/>
          <w:color w:val="auto"/>
        </w:rPr>
      </w:pPr>
    </w:p>
    <w:p>
      <w:pPr>
        <w:ind w:left="640"/>
        <w:spacing w:after="0"/>
        <w:rPr>
          <w:sz w:val="20"/>
          <w:szCs w:val="20"/>
          <w:color w:val="auto"/>
        </w:rPr>
      </w:pPr>
      <w:r>
        <w:rPr>
          <w:rFonts w:ascii="Arial" w:cs="Arial" w:eastAsia="Arial" w:hAnsi="Arial"/>
          <w:sz w:val="17"/>
          <w:szCs w:val="17"/>
          <w:color w:val="auto"/>
        </w:rPr>
        <w:t>(2)  Deferred tax liability – Investment in KICO</w:t>
      </w:r>
    </w:p>
    <w:p>
      <w:pPr>
        <w:spacing w:after="0" w:line="367"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On July 1, 2009, the Company completed the acquisition of 100% of the issued and outstanding common stock of KICO (formerly known as Commercial Mutual Insurance Company (“CMIC”)) pursuant to the conversion of CMIC from an advance premium cooperative to a stock property and casualty insurance company. Pursuant to the plan of conversion, the Company acquired a 100% equity interest in KICO, in consideration for the exchange of $3,750,000 principal amount of surplus notes of CMIC. In addition, the Company forgave all accrued and unpaid interest on the surplus notes as of the date of conversion. As of the date of acquisition, unpaid accrued interest on the surplus notes along with the accretion of the discount on the original purchase of the surplus notes totaled $2,921,319 (together “Untaxed Interest”). As of the date of acquisition, the deferred tax liability on the Untaxed Interest was $1,169,000. A temporary difference with an indefinite life exists when the parent has a lower carrying value of its subsidiary for income tax purposes. The deferred tax liability was reduced to $759,543 upon the reduction of federal income tax rates as of December 31, 2017. The Company is required to maintain its deferred tax liability of $759,543 related to this temporary difference until the stock of KICO is sold, or the assets of KICO are sold or KICO and the parent are merged.</w:t>
      </w:r>
    </w:p>
    <w:p>
      <w:pPr>
        <w:spacing w:after="0" w:line="10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assessing the valuation of deferred tax assets, the Company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No valuation allowance against deferred tax assets has been established, except for NOL limitations, as the Company believes it is more likely than not the deferred tax assets will be realized based on the historical taxable income of KICO, or by offset to deferred tax liabilities.</w:t>
      </w:r>
    </w:p>
    <w:p>
      <w:pPr>
        <w:spacing w:after="0" w:line="16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Company had no material unrecognized tax benefit and no adjustments to liabilities or operations were required. There were no interest or penalties related to income taxes that have been accrued or recognized as of and for the three months ended March 31, 2019 and 2018. If any had been recognized these would have been reported in income tax expense.</w:t>
      </w:r>
    </w:p>
    <w:p>
      <w:pPr>
        <w:spacing w:after="0" w:line="18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Generally, taxing authorities may examine the Company’s tax returns for the three years from the date of filing. The Company’s tax returns for the years ended December 31, 2015 through December 31, 2018 remain subject to examination. The Company’s federal income tax return for the year ended December 31, 2016 has been examined by the Internal Revenue Service and was accepted as filed.</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10 – (Loss)/Earnings Per Common Share</w:t>
      </w:r>
    </w:p>
    <w:p>
      <w:pPr>
        <w:spacing w:after="0" w:line="16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Basic net (loss)/earnings per common share is computed by dividing (loss)/income available to common shareholders by the weighted-average number of common shares outstanding. Diluted (loss)/earnings per common share reflect, in periods in which they have a dilutive effect, the impact of common shares issuable upon exercise of stock options as well as non-vested restricted stock awards. The computation of diluted (loss)/earnings per common share excludes those options with an exercise price in excess of the average market price of the Company’s common shares during the periods presented.</w:t>
      </w:r>
    </w:p>
    <w:p>
      <w:pPr>
        <w:spacing w:after="0" w:line="104"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The computation of diluted (loss)/earnings per common share excludes outstanding options in periods where the exercise of such options would be anti-dilutive. For the three months ended March 31, 2019 and 2018, no options were included in the computation of diluted (loss)/earnings per common share would have been anti-dilutive for the relevant periods and, as a result, the weighted average number of common shares used in the calculation of diluted earnings per common share has not been adjusted for the effect of such options.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25106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ectPr>
          <w:pgSz w:w="11900" w:h="16838" w:orient="portrait"/>
          <w:cols w:equalWidth="0" w:num="1">
            <w:col w:w="11420"/>
          </w:cols>
          <w:pgMar w:left="240" w:top="497" w:right="239" w:bottom="1440" w:gutter="0" w:footer="0" w:header="0"/>
        </w:sectPr>
      </w:pPr>
    </w:p>
    <w:bookmarkStart w:id="36" w:name="page37"/>
    <w:bookmarkEnd w:id="36"/>
    <w:p>
      <w:pPr>
        <w:spacing w:after="0"/>
        <w:rPr>
          <w:sz w:val="20"/>
          <w:szCs w:val="20"/>
          <w:color w:val="auto"/>
        </w:rPr>
      </w:pPr>
      <w:r>
        <w:rPr>
          <w:rFonts w:ascii="Arial" w:cs="Arial" w:eastAsia="Arial" w:hAnsi="Arial"/>
          <w:sz w:val="16"/>
          <w:szCs w:val="16"/>
          <w:color w:val="auto"/>
        </w:rPr>
        <w:t>The reconciliation of the weighted average number of common shares used in the calculation of basic and diluted (loss)/earnings per common share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9120" w:type="dxa"/>
            <w:vAlign w:val="bottom"/>
          </w:tcPr>
          <w:p>
            <w:pPr>
              <w:spacing w:after="0"/>
              <w:rPr>
                <w:sz w:val="16"/>
                <w:szCs w:val="16"/>
                <w:color w:val="auto"/>
              </w:rPr>
            </w:pPr>
          </w:p>
        </w:tc>
        <w:tc>
          <w:tcPr>
            <w:tcW w:w="2280" w:type="dxa"/>
            <w:vAlign w:val="bottom"/>
            <w:gridSpan w:val="2"/>
          </w:tcPr>
          <w:p>
            <w:pPr>
              <w:jc w:val="right"/>
              <w:ind w:right="418"/>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9120" w:type="dxa"/>
            <w:vAlign w:val="bottom"/>
          </w:tcPr>
          <w:p>
            <w:pPr>
              <w:spacing w:after="0"/>
              <w:rPr>
                <w:sz w:val="17"/>
                <w:szCs w:val="17"/>
                <w:color w:val="auto"/>
              </w:rPr>
            </w:pPr>
          </w:p>
        </w:tc>
        <w:tc>
          <w:tcPr>
            <w:tcW w:w="2280" w:type="dxa"/>
            <w:vAlign w:val="bottom"/>
            <w:tcBorders>
              <w:bottom w:val="single" w:sz="8" w:color="auto"/>
            </w:tcBorders>
            <w:gridSpan w:val="2"/>
          </w:tcPr>
          <w:p>
            <w:pPr>
              <w:jc w:val="right"/>
              <w:ind w:right="738"/>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9120" w:type="dxa"/>
            <w:vAlign w:val="bottom"/>
          </w:tcPr>
          <w:p>
            <w:pPr>
              <w:spacing w:after="0"/>
              <w:rPr>
                <w:sz w:val="18"/>
                <w:szCs w:val="18"/>
                <w:color w:val="auto"/>
              </w:rPr>
            </w:pPr>
          </w:p>
        </w:tc>
        <w:tc>
          <w:tcPr>
            <w:tcW w:w="122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2019</w:t>
            </w:r>
          </w:p>
        </w:tc>
        <w:tc>
          <w:tcPr>
            <w:tcW w:w="1060" w:type="dxa"/>
            <w:vAlign w:val="bottom"/>
            <w:tcBorders>
              <w:bottom w:val="single" w:sz="8" w:color="auto"/>
            </w:tcBorders>
          </w:tcPr>
          <w:p>
            <w:pPr>
              <w:jc w:val="right"/>
              <w:ind w:right="338"/>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35"/>
        </w:trPr>
        <w:tc>
          <w:tcPr>
            <w:tcW w:w="20" w:type="dxa"/>
            <w:vAlign w:val="bottom"/>
            <w:vMerge w:val="restart"/>
          </w:tcPr>
          <w:p>
            <w:pPr>
              <w:spacing w:after="0"/>
              <w:rPr>
                <w:sz w:val="20"/>
                <w:szCs w:val="20"/>
                <w:color w:val="auto"/>
              </w:rPr>
            </w:pPr>
          </w:p>
        </w:tc>
        <w:tc>
          <w:tcPr>
            <w:tcW w:w="9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7"/>
                <w:szCs w:val="17"/>
                <w:color w:val="auto"/>
              </w:rPr>
              <w:t>Weighted average number of shares outstanding</w:t>
            </w:r>
          </w:p>
        </w:tc>
        <w:tc>
          <w:tcPr>
            <w:tcW w:w="1220" w:type="dxa"/>
            <w:vAlign w:val="bottom"/>
            <w:shd w:val="clear" w:color="auto" w:fill="CCEEFF"/>
          </w:tcPr>
          <w:p>
            <w:pPr>
              <w:jc w:val="right"/>
              <w:ind w:right="101"/>
              <w:spacing w:after="0"/>
              <w:rPr>
                <w:sz w:val="20"/>
                <w:szCs w:val="20"/>
                <w:color w:val="auto"/>
              </w:rPr>
            </w:pPr>
            <w:r>
              <w:rPr>
                <w:rFonts w:ascii="Arial" w:cs="Arial" w:eastAsia="Arial" w:hAnsi="Arial"/>
                <w:sz w:val="17"/>
                <w:szCs w:val="17"/>
                <w:color w:val="auto"/>
              </w:rPr>
              <w:t>10,757,843</w:t>
            </w:r>
          </w:p>
        </w:tc>
        <w:tc>
          <w:tcPr>
            <w:tcW w:w="1060" w:type="dxa"/>
            <w:vAlign w:val="bottom"/>
            <w:shd w:val="clear" w:color="auto" w:fill="CCEEFF"/>
          </w:tcPr>
          <w:p>
            <w:pPr>
              <w:jc w:val="right"/>
              <w:ind w:right="38"/>
              <w:spacing w:after="0"/>
              <w:rPr>
                <w:sz w:val="20"/>
                <w:szCs w:val="20"/>
                <w:color w:val="auto"/>
              </w:rPr>
            </w:pPr>
            <w:r>
              <w:rPr>
                <w:rFonts w:ascii="Arial" w:cs="Arial" w:eastAsia="Arial" w:hAnsi="Arial"/>
                <w:sz w:val="17"/>
                <w:szCs w:val="17"/>
                <w:color w:val="auto"/>
              </w:rPr>
              <w:t>10,669,992</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9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7"/>
                <w:szCs w:val="17"/>
                <w:color w:val="auto"/>
              </w:rPr>
              <w:t>Effect of dilutive securities, common share equivalents:</w:t>
            </w:r>
          </w:p>
        </w:tc>
        <w:tc>
          <w:tcPr>
            <w:tcW w:w="1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120" w:type="dxa"/>
            <w:vAlign w:val="bottom"/>
          </w:tcPr>
          <w:p>
            <w:pPr>
              <w:ind w:left="140"/>
              <w:spacing w:after="0"/>
              <w:rPr>
                <w:sz w:val="20"/>
                <w:szCs w:val="20"/>
                <w:color w:val="auto"/>
              </w:rPr>
            </w:pPr>
            <w:r>
              <w:rPr>
                <w:rFonts w:ascii="Arial" w:cs="Arial" w:eastAsia="Arial" w:hAnsi="Arial"/>
                <w:sz w:val="17"/>
                <w:szCs w:val="17"/>
                <w:color w:val="auto"/>
              </w:rPr>
              <w:t>Stock options</w:t>
            </w:r>
          </w:p>
        </w:tc>
        <w:tc>
          <w:tcPr>
            <w:tcW w:w="1220" w:type="dxa"/>
            <w:vAlign w:val="bottom"/>
          </w:tcPr>
          <w:p>
            <w:pPr>
              <w:jc w:val="right"/>
              <w:ind w:right="101"/>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38"/>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91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Restricted stock awards</w:t>
            </w:r>
          </w:p>
        </w:tc>
        <w:tc>
          <w:tcPr>
            <w:tcW w:w="122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9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7"/>
                <w:szCs w:val="17"/>
                <w:color w:val="auto"/>
              </w:rPr>
              <w:t>Weighted average number of shares outstanding,</w:t>
            </w:r>
          </w:p>
        </w:tc>
        <w:tc>
          <w:tcPr>
            <w:tcW w:w="1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120" w:type="dxa"/>
            <w:vAlign w:val="bottom"/>
          </w:tcPr>
          <w:p>
            <w:pPr>
              <w:ind w:left="140"/>
              <w:spacing w:after="0"/>
              <w:rPr>
                <w:sz w:val="20"/>
                <w:szCs w:val="20"/>
                <w:color w:val="auto"/>
              </w:rPr>
            </w:pPr>
            <w:r>
              <w:rPr>
                <w:rFonts w:ascii="Arial" w:cs="Arial" w:eastAsia="Arial" w:hAnsi="Arial"/>
                <w:sz w:val="17"/>
                <w:szCs w:val="17"/>
                <w:color w:val="auto"/>
              </w:rPr>
              <w:t>used for computing diluted (losses)/earnings per share</w:t>
            </w:r>
          </w:p>
        </w:tc>
        <w:tc>
          <w:tcPr>
            <w:tcW w:w="1220" w:type="dxa"/>
            <w:vAlign w:val="bottom"/>
            <w:tcBorders>
              <w:bottom w:val="single" w:sz="8" w:color="auto"/>
            </w:tcBorders>
          </w:tcPr>
          <w:p>
            <w:pPr>
              <w:jc w:val="right"/>
              <w:ind w:right="101"/>
              <w:spacing w:after="0"/>
              <w:rPr>
                <w:sz w:val="20"/>
                <w:szCs w:val="20"/>
                <w:color w:val="auto"/>
              </w:rPr>
            </w:pPr>
            <w:r>
              <w:rPr>
                <w:rFonts w:ascii="Arial" w:cs="Arial" w:eastAsia="Arial" w:hAnsi="Arial"/>
                <w:sz w:val="17"/>
                <w:szCs w:val="17"/>
                <w:color w:val="auto"/>
              </w:rPr>
              <w:t>10,757,843</w:t>
            </w:r>
          </w:p>
        </w:tc>
        <w:tc>
          <w:tcPr>
            <w:tcW w:w="1060" w:type="dxa"/>
            <w:vAlign w:val="bottom"/>
            <w:tcBorders>
              <w:bottom w:val="single" w:sz="8" w:color="auto"/>
            </w:tcBorders>
          </w:tcPr>
          <w:p>
            <w:pPr>
              <w:jc w:val="right"/>
              <w:ind w:right="38"/>
              <w:spacing w:after="0"/>
              <w:rPr>
                <w:sz w:val="20"/>
                <w:szCs w:val="20"/>
                <w:color w:val="auto"/>
              </w:rPr>
            </w:pPr>
            <w:r>
              <w:rPr>
                <w:rFonts w:ascii="Arial" w:cs="Arial" w:eastAsia="Arial" w:hAnsi="Arial"/>
                <w:sz w:val="17"/>
                <w:szCs w:val="17"/>
                <w:color w:val="auto"/>
              </w:rPr>
              <w:t>10,669,992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11 - Commitments and Contingencies</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Litigation</w:t>
      </w:r>
    </w:p>
    <w:p>
      <w:pPr>
        <w:spacing w:after="0" w:line="223"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From time to time, the Company is involved in various legal proceedings in the ordinary course of business. For example, to the extent a claim is asserted by a third party in a lawsuit against one of the Company’s insureds covered by a particular policy, the Company may have a duty to defend the insured party against the claim. These claims may relate to bodily injury, property damage or other compensable injuries as set forth in the policy. Such proceedings are considered in estimating the liability for loss and LAE expenses. The Company is not subject to any other pending legal proceedings that management believes are likely to have a material adverse effect on the condensed consolidated financial statements.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Office Lease</w:t>
      </w:r>
    </w:p>
    <w:p>
      <w:pPr>
        <w:spacing w:after="0" w:line="22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Company enters into lease agreements for real estate that is primarily used for office space in the ordinary course of business. These leases are accounted for as operating leases, whereby lease expense is recognized on a straight-line basis over the term of the lease. See note 2 - Accounting Policies for additional information regarding the accounting for leases.</w:t>
      </w:r>
    </w:p>
    <w:p>
      <w:pPr>
        <w:spacing w:after="0" w:line="180"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The Company is a party to a non-cancellable operating lease, dated March 27, 2015, for its office facility for KICO located in Valley Stream, New York. In June 2016, the Company entered into a lease modification agreement. The original lease had a term of seven years and nine months. The lease modification increased the space occupied by KICO and extended the lease term to seven years and nine months to be measured from the additional premises commencement date. The additional premises commencement date was September 19, 2016, and additional rent was payable beginning March 19, 2017. The original lease commencement date was July 1, 2015 and rent commencement began January 1, 2016.</w:t>
      </w:r>
    </w:p>
    <w:p>
      <w:pPr>
        <w:spacing w:after="0" w:line="185" w:lineRule="exact"/>
        <w:rPr>
          <w:sz w:val="20"/>
          <w:szCs w:val="20"/>
          <w:color w:val="auto"/>
        </w:rPr>
      </w:pPr>
    </w:p>
    <w:p>
      <w:pPr>
        <w:jc w:val="both"/>
        <w:spacing w:after="0" w:line="351" w:lineRule="auto"/>
        <w:rPr>
          <w:sz w:val="20"/>
          <w:szCs w:val="20"/>
          <w:color w:val="auto"/>
        </w:rPr>
      </w:pPr>
      <w:r>
        <w:rPr>
          <w:rFonts w:ascii="Arial" w:cs="Arial" w:eastAsia="Arial" w:hAnsi="Arial"/>
          <w:sz w:val="15"/>
          <w:szCs w:val="15"/>
          <w:color w:val="auto"/>
        </w:rPr>
        <w:t>In addition to the base rental costs, occupancy lease agreements generally provide for rent escalations resulting from increased assessments from real estate taxes and other charges. This lease is accounted for as an operating lease, whereby lease expense is recognized on a straight-line basis over the term of the lease.</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25106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37" w:name="page38"/>
    <w:bookmarkEnd w:id="37"/>
    <w:p>
      <w:pPr>
        <w:spacing w:after="0"/>
        <w:rPr>
          <w:sz w:val="20"/>
          <w:szCs w:val="20"/>
          <w:color w:val="auto"/>
        </w:rPr>
      </w:pPr>
      <w:r>
        <w:rPr>
          <w:rFonts w:ascii="Arial" w:cs="Arial" w:eastAsia="Arial" w:hAnsi="Arial"/>
          <w:sz w:val="15"/>
          <w:szCs w:val="15"/>
          <w:color w:val="auto"/>
        </w:rPr>
        <w:t>Additional information regarding the Company's real estate operating lease is as follows:</w:t>
      </w:r>
    </w:p>
    <w:p>
      <w:pPr>
        <w:sectPr>
          <w:pgSz w:w="11900" w:h="16838" w:orient="portrait"/>
          <w:cols w:equalWidth="0" w:num="1">
            <w:col w:w="11440"/>
          </w:cols>
          <w:pgMar w:left="240" w:top="497" w:right="219" w:bottom="1440" w:gutter="0" w:footer="0" w:header="0"/>
        </w:sectPr>
      </w:pPr>
    </w:p>
    <w:p>
      <w:pPr>
        <w:spacing w:after="0" w:line="306" w:lineRule="exact"/>
        <w:rPr>
          <w:sz w:val="20"/>
          <w:szCs w:val="20"/>
          <w:color w:val="auto"/>
        </w:rPr>
      </w:pPr>
    </w:p>
    <w:p>
      <w:pPr>
        <w:ind w:left="1260"/>
        <w:spacing w:after="0"/>
        <w:rPr>
          <w:sz w:val="20"/>
          <w:szCs w:val="20"/>
          <w:color w:val="auto"/>
        </w:rPr>
      </w:pPr>
      <w:r>
        <w:rPr>
          <w:rFonts w:ascii="Arial" w:cs="Arial" w:eastAsia="Arial" w:hAnsi="Arial"/>
          <w:sz w:val="17"/>
          <w:szCs w:val="17"/>
          <w:b w:val="1"/>
          <w:bCs w:val="1"/>
          <w:color w:val="auto"/>
        </w:rPr>
        <w:t>Lease cost</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March 31,</w:t>
      </w:r>
    </w:p>
    <w:p>
      <w:pPr>
        <w:spacing w:after="0" w:line="17"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auto"/>
        </w:rPr>
        <w:t>2019</w:t>
      </w:r>
    </w:p>
    <w:p>
      <w:pPr>
        <w:spacing w:after="0" w:line="1" w:lineRule="exact"/>
        <w:rPr>
          <w:sz w:val="20"/>
          <w:szCs w:val="20"/>
          <w:color w:val="auto"/>
        </w:rPr>
      </w:pPr>
    </w:p>
    <w:p>
      <w:pPr>
        <w:sectPr>
          <w:pgSz w:w="11900" w:h="16838" w:orient="portrait"/>
          <w:cols w:equalWidth="0" w:num="2">
            <w:col w:w="9880" w:space="720"/>
            <w:col w:w="840"/>
          </w:cols>
          <w:pgMar w:left="240" w:top="497" w:right="219" w:bottom="1440" w:gutter="0" w:footer="0" w:header="0"/>
          <w:type w:val="continuous"/>
        </w:sectPr>
      </w:pPr>
    </w:p>
    <w:tbl>
      <w:tblPr>
        <w:tblLayout w:type="fixed"/>
        <w:tblInd w:w="1260" w:type="dxa"/>
        <w:tblCellMar>
          <w:top w:w="0" w:type="dxa"/>
          <w:left w:w="0" w:type="dxa"/>
          <w:bottom w:w="0" w:type="dxa"/>
          <w:right w:w="0" w:type="dxa"/>
        </w:tblCellMar>
      </w:tblPr>
      <w:tr>
        <w:trPr>
          <w:trHeight w:val="242"/>
        </w:trPr>
        <w:tc>
          <w:tcPr>
            <w:tcW w:w="9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21"/>
                <w:szCs w:val="21"/>
                <w:color w:val="auto"/>
              </w:rPr>
              <w:t>Operating lease</w:t>
            </w:r>
          </w:p>
        </w:tc>
        <w:tc>
          <w:tcPr>
            <w:tcW w:w="1000" w:type="dxa"/>
            <w:vAlign w:val="bottom"/>
            <w:tcBorders>
              <w:top w:val="single" w:sz="8" w:color="auto"/>
            </w:tcBorders>
            <w:shd w:val="clear" w:color="auto" w:fill="CCEEFF"/>
          </w:tcPr>
          <w:p>
            <w:pPr>
              <w:jc w:val="right"/>
              <w:ind w:right="35"/>
              <w:spacing w:after="0"/>
              <w:rPr>
                <w:sz w:val="20"/>
                <w:szCs w:val="20"/>
                <w:color w:val="auto"/>
              </w:rPr>
            </w:pPr>
            <w:r>
              <w:rPr>
                <w:rFonts w:ascii="Arial" w:cs="Arial" w:eastAsia="Arial" w:hAnsi="Arial"/>
                <w:sz w:val="21"/>
                <w:szCs w:val="21"/>
                <w:color w:val="auto"/>
              </w:rPr>
              <w:t>$ 41,342</w:t>
            </w:r>
          </w:p>
        </w:tc>
        <w:tc>
          <w:tcPr>
            <w:tcW w:w="20" w:type="dxa"/>
            <w:vAlign w:val="bottom"/>
          </w:tcPr>
          <w:p>
            <w:pPr>
              <w:spacing w:after="0"/>
              <w:rPr>
                <w:sz w:val="21"/>
                <w:szCs w:val="21"/>
                <w:color w:val="auto"/>
              </w:rPr>
            </w:pPr>
          </w:p>
        </w:tc>
      </w:tr>
      <w:tr>
        <w:trPr>
          <w:trHeight w:val="242"/>
        </w:trPr>
        <w:tc>
          <w:tcPr>
            <w:tcW w:w="9160" w:type="dxa"/>
            <w:vAlign w:val="bottom"/>
          </w:tcPr>
          <w:p>
            <w:pPr>
              <w:spacing w:after="0" w:line="235" w:lineRule="exact"/>
              <w:rPr>
                <w:sz w:val="20"/>
                <w:szCs w:val="20"/>
                <w:color w:val="auto"/>
              </w:rPr>
            </w:pPr>
            <w:r>
              <w:rPr>
                <w:rFonts w:ascii="Arial" w:cs="Arial" w:eastAsia="Arial" w:hAnsi="Arial"/>
                <w:sz w:val="21"/>
                <w:szCs w:val="21"/>
                <w:color w:val="auto"/>
              </w:rPr>
              <w:t>Short-term leases</w:t>
            </w:r>
          </w:p>
        </w:tc>
        <w:tc>
          <w:tcPr>
            <w:tcW w:w="1000" w:type="dxa"/>
            <w:vAlign w:val="bottom"/>
            <w:tcBorders>
              <w:bottom w:val="single" w:sz="8" w:color="auto"/>
            </w:tcBorders>
          </w:tcPr>
          <w:p>
            <w:pPr>
              <w:jc w:val="right"/>
              <w:ind w:right="35"/>
              <w:spacing w:after="0" w:line="235" w:lineRule="exact"/>
              <w:rPr>
                <w:sz w:val="20"/>
                <w:szCs w:val="20"/>
                <w:color w:val="auto"/>
              </w:rPr>
            </w:pPr>
            <w:r>
              <w:rPr>
                <w:rFonts w:ascii="Arial" w:cs="Arial" w:eastAsia="Arial" w:hAnsi="Arial"/>
                <w:sz w:val="21"/>
                <w:szCs w:val="21"/>
                <w:color w:val="auto"/>
              </w:rPr>
              <w:t>-</w:t>
            </w:r>
          </w:p>
        </w:tc>
        <w:tc>
          <w:tcPr>
            <w:tcW w:w="20" w:type="dxa"/>
            <w:vAlign w:val="bottom"/>
          </w:tcPr>
          <w:p>
            <w:pPr>
              <w:spacing w:after="0"/>
              <w:rPr>
                <w:sz w:val="21"/>
                <w:szCs w:val="21"/>
                <w:color w:val="auto"/>
              </w:rPr>
            </w:pPr>
          </w:p>
        </w:tc>
      </w:tr>
      <w:tr>
        <w:trPr>
          <w:trHeight w:val="275"/>
        </w:trPr>
        <w:tc>
          <w:tcPr>
            <w:tcW w:w="9160" w:type="dxa"/>
            <w:vAlign w:val="bottom"/>
            <w:tcBorders>
              <w:bottom w:val="single" w:sz="8" w:color="CCEEFF"/>
            </w:tcBorders>
            <w:shd w:val="clear" w:color="auto" w:fill="CCEEFF"/>
          </w:tcPr>
          <w:p>
            <w:pPr>
              <w:ind w:left="160"/>
              <w:spacing w:after="0" w:line="235" w:lineRule="exact"/>
              <w:rPr>
                <w:sz w:val="20"/>
                <w:szCs w:val="20"/>
                <w:color w:val="auto"/>
              </w:rPr>
            </w:pPr>
            <w:r>
              <w:rPr>
                <w:rFonts w:ascii="Arial" w:cs="Arial" w:eastAsia="Arial" w:hAnsi="Arial"/>
                <w:sz w:val="21"/>
                <w:szCs w:val="21"/>
                <w:color w:val="auto"/>
              </w:rPr>
              <w:t>Total lease cost (1)</w:t>
            </w:r>
          </w:p>
        </w:tc>
        <w:tc>
          <w:tcPr>
            <w:tcW w:w="1000" w:type="dxa"/>
            <w:vAlign w:val="bottom"/>
            <w:tcBorders>
              <w:bottom w:val="single" w:sz="8" w:color="auto"/>
            </w:tcBorders>
            <w:shd w:val="clear" w:color="auto" w:fill="CCEEFF"/>
          </w:tcPr>
          <w:p>
            <w:pPr>
              <w:jc w:val="right"/>
              <w:ind w:right="35"/>
              <w:spacing w:after="0" w:line="235" w:lineRule="exact"/>
              <w:rPr>
                <w:sz w:val="20"/>
                <w:szCs w:val="20"/>
                <w:color w:val="auto"/>
              </w:rPr>
            </w:pPr>
            <w:r>
              <w:rPr>
                <w:rFonts w:ascii="Arial" w:cs="Arial" w:eastAsia="Arial" w:hAnsi="Arial"/>
                <w:sz w:val="21"/>
                <w:szCs w:val="21"/>
                <w:color w:val="auto"/>
              </w:rPr>
              <w:t>$ 41,342</w:t>
            </w:r>
          </w:p>
        </w:tc>
        <w:tc>
          <w:tcPr>
            <w:tcW w:w="20" w:type="dxa"/>
            <w:vAlign w:val="bottom"/>
          </w:tcPr>
          <w:p>
            <w:pPr>
              <w:spacing w:after="0"/>
              <w:rPr>
                <w:sz w:val="23"/>
                <w:szCs w:val="23"/>
                <w:color w:val="auto"/>
              </w:rPr>
            </w:pPr>
          </w:p>
        </w:tc>
      </w:tr>
      <w:tr>
        <w:trPr>
          <w:trHeight w:val="228"/>
        </w:trPr>
        <w:tc>
          <w:tcPr>
            <w:tcW w:w="9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5"/>
        </w:trPr>
        <w:tc>
          <w:tcPr>
            <w:tcW w:w="9160" w:type="dxa"/>
            <w:vAlign w:val="bottom"/>
            <w:shd w:val="clear" w:color="auto" w:fill="CCEEFF"/>
          </w:tcPr>
          <w:p>
            <w:pPr>
              <w:spacing w:after="0" w:line="235" w:lineRule="exact"/>
              <w:rPr>
                <w:sz w:val="20"/>
                <w:szCs w:val="20"/>
                <w:color w:val="auto"/>
              </w:rPr>
            </w:pPr>
            <w:r>
              <w:rPr>
                <w:rFonts w:ascii="Arial" w:cs="Arial" w:eastAsia="Arial" w:hAnsi="Arial"/>
                <w:sz w:val="21"/>
                <w:szCs w:val="21"/>
                <w:b w:val="1"/>
                <w:bCs w:val="1"/>
                <w:color w:val="auto"/>
              </w:rPr>
              <w:t>Other information on operating lease</w:t>
            </w:r>
          </w:p>
        </w:tc>
        <w:tc>
          <w:tcPr>
            <w:tcW w:w="100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r>
      <w:tr>
        <w:trPr>
          <w:trHeight w:val="235"/>
        </w:trPr>
        <w:tc>
          <w:tcPr>
            <w:tcW w:w="9160" w:type="dxa"/>
            <w:vAlign w:val="bottom"/>
          </w:tcPr>
          <w:p>
            <w:pPr>
              <w:spacing w:after="0" w:line="235" w:lineRule="exact"/>
              <w:rPr>
                <w:sz w:val="20"/>
                <w:szCs w:val="20"/>
                <w:color w:val="auto"/>
              </w:rPr>
            </w:pPr>
            <w:r>
              <w:rPr>
                <w:rFonts w:ascii="Arial" w:cs="Arial" w:eastAsia="Arial" w:hAnsi="Arial"/>
                <w:sz w:val="21"/>
                <w:szCs w:val="21"/>
                <w:color w:val="auto"/>
              </w:rPr>
              <w:t>Cash payments included in the measurement of lease</w:t>
            </w: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5"/>
        </w:trPr>
        <w:tc>
          <w:tcPr>
            <w:tcW w:w="9160" w:type="dxa"/>
            <w:vAlign w:val="bottom"/>
            <w:shd w:val="clear" w:color="auto" w:fill="CCEEFF"/>
          </w:tcPr>
          <w:p>
            <w:pPr>
              <w:ind w:left="160"/>
              <w:spacing w:after="0" w:line="235" w:lineRule="exact"/>
              <w:rPr>
                <w:sz w:val="20"/>
                <w:szCs w:val="20"/>
                <w:color w:val="auto"/>
              </w:rPr>
            </w:pPr>
            <w:r>
              <w:rPr>
                <w:rFonts w:ascii="Arial" w:cs="Arial" w:eastAsia="Arial" w:hAnsi="Arial"/>
                <w:sz w:val="21"/>
                <w:szCs w:val="21"/>
                <w:color w:val="auto"/>
              </w:rPr>
              <w:t>liability reported in operating cash flows</w:t>
            </w:r>
          </w:p>
        </w:tc>
        <w:tc>
          <w:tcPr>
            <w:tcW w:w="1000" w:type="dxa"/>
            <w:vAlign w:val="bottom"/>
            <w:shd w:val="clear" w:color="auto" w:fill="CCEEFF"/>
          </w:tcPr>
          <w:p>
            <w:pPr>
              <w:jc w:val="right"/>
              <w:ind w:right="35"/>
              <w:spacing w:after="0" w:line="235" w:lineRule="exact"/>
              <w:rPr>
                <w:sz w:val="20"/>
                <w:szCs w:val="20"/>
                <w:color w:val="auto"/>
              </w:rPr>
            </w:pPr>
            <w:r>
              <w:rPr>
                <w:rFonts w:ascii="Arial" w:cs="Arial" w:eastAsia="Arial" w:hAnsi="Arial"/>
                <w:sz w:val="21"/>
                <w:szCs w:val="21"/>
                <w:color w:val="auto"/>
              </w:rPr>
              <w:t>$ 41,379</w:t>
            </w:r>
          </w:p>
        </w:tc>
        <w:tc>
          <w:tcPr>
            <w:tcW w:w="20" w:type="dxa"/>
            <w:vAlign w:val="bottom"/>
          </w:tcPr>
          <w:p>
            <w:pPr>
              <w:spacing w:after="0"/>
              <w:rPr>
                <w:sz w:val="20"/>
                <w:szCs w:val="20"/>
                <w:color w:val="auto"/>
              </w:rPr>
            </w:pPr>
          </w:p>
        </w:tc>
      </w:tr>
      <w:tr>
        <w:trPr>
          <w:trHeight w:val="235"/>
        </w:trPr>
        <w:tc>
          <w:tcPr>
            <w:tcW w:w="9160" w:type="dxa"/>
            <w:vAlign w:val="bottom"/>
          </w:tcPr>
          <w:p>
            <w:pPr>
              <w:spacing w:after="0" w:line="235" w:lineRule="exact"/>
              <w:rPr>
                <w:sz w:val="20"/>
                <w:szCs w:val="20"/>
                <w:color w:val="auto"/>
              </w:rPr>
            </w:pPr>
            <w:r>
              <w:rPr>
                <w:rFonts w:ascii="Arial" w:cs="Arial" w:eastAsia="Arial" w:hAnsi="Arial"/>
                <w:sz w:val="21"/>
                <w:szCs w:val="21"/>
                <w:color w:val="auto"/>
              </w:rPr>
              <w:t>Discount rate</w:t>
            </w:r>
          </w:p>
        </w:tc>
        <w:tc>
          <w:tcPr>
            <w:tcW w:w="1000" w:type="dxa"/>
            <w:vAlign w:val="bottom"/>
          </w:tcPr>
          <w:p>
            <w:pPr>
              <w:jc w:val="right"/>
              <w:spacing w:after="0" w:line="235" w:lineRule="exact"/>
              <w:rPr>
                <w:sz w:val="20"/>
                <w:szCs w:val="20"/>
                <w:color w:val="auto"/>
              </w:rPr>
            </w:pPr>
            <w:r>
              <w:rPr>
                <w:rFonts w:ascii="Arial" w:cs="Arial" w:eastAsia="Arial" w:hAnsi="Arial"/>
                <w:sz w:val="21"/>
                <w:szCs w:val="21"/>
                <w:color w:val="auto"/>
              </w:rPr>
              <w:t>5.50%</w:t>
            </w:r>
          </w:p>
        </w:tc>
        <w:tc>
          <w:tcPr>
            <w:tcW w:w="20" w:type="dxa"/>
            <w:vAlign w:val="bottom"/>
          </w:tcPr>
          <w:p>
            <w:pPr>
              <w:spacing w:after="0"/>
              <w:rPr>
                <w:sz w:val="20"/>
                <w:szCs w:val="20"/>
                <w:color w:val="auto"/>
              </w:rPr>
            </w:pPr>
          </w:p>
        </w:tc>
      </w:tr>
      <w:tr>
        <w:trPr>
          <w:trHeight w:val="235"/>
        </w:trPr>
        <w:tc>
          <w:tcPr>
            <w:tcW w:w="9160" w:type="dxa"/>
            <w:vAlign w:val="bottom"/>
            <w:shd w:val="clear" w:color="auto" w:fill="CCEEFF"/>
          </w:tcPr>
          <w:p>
            <w:pPr>
              <w:spacing w:after="0" w:line="235" w:lineRule="exact"/>
              <w:rPr>
                <w:sz w:val="20"/>
                <w:szCs w:val="20"/>
                <w:color w:val="auto"/>
              </w:rPr>
            </w:pPr>
            <w:r>
              <w:rPr>
                <w:rFonts w:ascii="Arial" w:cs="Arial" w:eastAsia="Arial" w:hAnsi="Arial"/>
                <w:sz w:val="21"/>
                <w:szCs w:val="21"/>
                <w:color w:val="auto"/>
              </w:rPr>
              <w:t>Remaining lease term in years</w:t>
            </w:r>
          </w:p>
        </w:tc>
        <w:tc>
          <w:tcPr>
            <w:tcW w:w="1000" w:type="dxa"/>
            <w:vAlign w:val="bottom"/>
            <w:shd w:val="clear" w:color="auto" w:fill="CCEEFF"/>
          </w:tcPr>
          <w:p>
            <w:pPr>
              <w:jc w:val="right"/>
              <w:spacing w:after="0" w:line="235" w:lineRule="exact"/>
              <w:rPr>
                <w:sz w:val="20"/>
                <w:szCs w:val="20"/>
                <w:color w:val="auto"/>
              </w:rPr>
            </w:pPr>
            <w:r>
              <w:rPr>
                <w:rFonts w:ascii="Arial" w:cs="Arial" w:eastAsia="Arial" w:hAnsi="Arial"/>
                <w:sz w:val="21"/>
                <w:szCs w:val="21"/>
                <w:color w:val="auto"/>
              </w:rPr>
              <w:t>5 years</w:t>
            </w:r>
          </w:p>
        </w:tc>
        <w:tc>
          <w:tcPr>
            <w:tcW w:w="20" w:type="dxa"/>
            <w:vAlign w:val="bottom"/>
          </w:tcPr>
          <w:p>
            <w:pPr>
              <w:spacing w:after="0"/>
              <w:rPr>
                <w:sz w:val="20"/>
                <w:szCs w:val="20"/>
                <w:color w:val="auto"/>
              </w:rPr>
            </w:pPr>
          </w:p>
        </w:tc>
      </w:tr>
    </w:tbl>
    <w:p>
      <w:pPr>
        <w:spacing w:after="0" w:line="201" w:lineRule="exact"/>
        <w:rPr>
          <w:sz w:val="20"/>
          <w:szCs w:val="20"/>
          <w:color w:val="auto"/>
        </w:rPr>
      </w:pPr>
    </w:p>
    <w:p>
      <w:pPr>
        <w:ind w:left="40"/>
        <w:spacing w:after="0"/>
        <w:rPr>
          <w:sz w:val="20"/>
          <w:szCs w:val="20"/>
          <w:color w:val="auto"/>
        </w:rPr>
      </w:pPr>
      <w:r>
        <w:rPr>
          <w:rFonts w:ascii="Arial" w:cs="Arial" w:eastAsia="Arial" w:hAnsi="Arial"/>
          <w:sz w:val="17"/>
          <w:szCs w:val="17"/>
          <w:color w:val="auto"/>
        </w:rPr>
        <w:t>(1) Included in the condensed consolidated statements of operations and comprehensive loss within other underwriting expenses.</w:t>
      </w:r>
    </w:p>
    <w:p>
      <w:pPr>
        <w:spacing w:after="0" w:line="210" w:lineRule="exact"/>
        <w:rPr>
          <w:sz w:val="20"/>
          <w:szCs w:val="20"/>
          <w:color w:val="auto"/>
        </w:rPr>
      </w:pPr>
    </w:p>
    <w:p>
      <w:pPr>
        <w:spacing w:after="0"/>
        <w:rPr>
          <w:sz w:val="20"/>
          <w:szCs w:val="20"/>
          <w:color w:val="auto"/>
        </w:rPr>
      </w:pPr>
      <w:r>
        <w:rPr>
          <w:rFonts w:ascii="Arial" w:cs="Arial" w:eastAsia="Arial" w:hAnsi="Arial"/>
          <w:sz w:val="21"/>
          <w:szCs w:val="21"/>
          <w:color w:val="auto"/>
        </w:rPr>
        <w:t>The following table presents contractual maturities of the Company's lease liabilities as of March 31, 2019:</w:t>
      </w:r>
    </w:p>
    <w:p>
      <w:pPr>
        <w:spacing w:after="0" w:line="316" w:lineRule="exact"/>
        <w:rPr>
          <w:sz w:val="20"/>
          <w:szCs w:val="20"/>
          <w:color w:val="auto"/>
        </w:rPr>
      </w:pPr>
    </w:p>
    <w:tbl>
      <w:tblPr>
        <w:tblLayout w:type="fixed"/>
        <w:tblInd w:w="286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4840" w:type="dxa"/>
            <w:vAlign w:val="bottom"/>
          </w:tcPr>
          <w:p>
            <w:pPr>
              <w:jc w:val="center"/>
              <w:spacing w:after="0"/>
              <w:rPr>
                <w:sz w:val="20"/>
                <w:szCs w:val="20"/>
                <w:color w:val="auto"/>
              </w:rPr>
            </w:pPr>
            <w:r>
              <w:rPr>
                <w:rFonts w:ascii="Arial" w:cs="Arial" w:eastAsia="Arial" w:hAnsi="Arial"/>
                <w:sz w:val="14"/>
                <w:szCs w:val="14"/>
                <w:b w:val="1"/>
                <w:bCs w:val="1"/>
                <w:color w:val="auto"/>
                <w:w w:val="95"/>
              </w:rPr>
              <w:t>For the Year</w:t>
            </w:r>
          </w:p>
        </w:tc>
        <w:tc>
          <w:tcPr>
            <w:tcW w:w="860" w:type="dxa"/>
            <w:vAlign w:val="bottom"/>
          </w:tcPr>
          <w:p>
            <w:pPr>
              <w:spacing w:after="0"/>
              <w:rPr>
                <w:sz w:val="16"/>
                <w:szCs w:val="16"/>
                <w:color w:val="auto"/>
              </w:rPr>
            </w:pPr>
          </w:p>
        </w:tc>
      </w:tr>
      <w:tr>
        <w:trPr>
          <w:trHeight w:val="235"/>
        </w:trPr>
        <w:tc>
          <w:tcPr>
            <w:tcW w:w="20" w:type="dxa"/>
            <w:vAlign w:val="bottom"/>
          </w:tcPr>
          <w:p>
            <w:pPr>
              <w:spacing w:after="0"/>
              <w:rPr>
                <w:sz w:val="20"/>
                <w:szCs w:val="20"/>
                <w:color w:val="auto"/>
              </w:rPr>
            </w:pPr>
          </w:p>
        </w:tc>
        <w:tc>
          <w:tcPr>
            <w:tcW w:w="4840" w:type="dxa"/>
            <w:vAlign w:val="bottom"/>
          </w:tcPr>
          <w:p>
            <w:pPr>
              <w:jc w:val="center"/>
              <w:spacing w:after="0"/>
              <w:rPr>
                <w:sz w:val="20"/>
                <w:szCs w:val="20"/>
                <w:color w:val="auto"/>
              </w:rPr>
            </w:pPr>
            <w:r>
              <w:rPr>
                <w:rFonts w:ascii="Arial" w:cs="Arial" w:eastAsia="Arial" w:hAnsi="Arial"/>
                <w:sz w:val="14"/>
                <w:szCs w:val="14"/>
                <w:b w:val="1"/>
                <w:bCs w:val="1"/>
                <w:color w:val="auto"/>
                <w:w w:val="96"/>
              </w:rPr>
              <w:t>Ending</w:t>
            </w:r>
          </w:p>
        </w:tc>
        <w:tc>
          <w:tcPr>
            <w:tcW w:w="860" w:type="dxa"/>
            <w:vAlign w:val="bottom"/>
          </w:tcPr>
          <w:p>
            <w:pPr>
              <w:spacing w:after="0"/>
              <w:rPr>
                <w:sz w:val="20"/>
                <w:szCs w:val="20"/>
                <w:color w:val="auto"/>
              </w:rPr>
            </w:pPr>
          </w:p>
        </w:tc>
      </w:tr>
      <w:tr>
        <w:trPr>
          <w:trHeight w:val="226"/>
        </w:trPr>
        <w:tc>
          <w:tcPr>
            <w:tcW w:w="20" w:type="dxa"/>
            <w:vAlign w:val="bottom"/>
          </w:tcPr>
          <w:p>
            <w:pPr>
              <w:spacing w:after="0"/>
              <w:rPr>
                <w:sz w:val="19"/>
                <w:szCs w:val="19"/>
                <w:color w:val="auto"/>
              </w:rPr>
            </w:pPr>
          </w:p>
        </w:tc>
        <w:tc>
          <w:tcPr>
            <w:tcW w:w="4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86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Total</w:t>
            </w:r>
          </w:p>
        </w:tc>
      </w:tr>
      <w:tr>
        <w:trPr>
          <w:trHeight w:val="209"/>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7"/>
                <w:szCs w:val="17"/>
                <w:color w:val="auto"/>
              </w:rPr>
              <w:t>2019 (remainder of 2019)</w:t>
            </w:r>
          </w:p>
        </w:tc>
        <w:tc>
          <w:tcPr>
            <w:tcW w:w="86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w w:val="98"/>
              </w:rPr>
              <w:t>$128,482</w:t>
            </w:r>
          </w:p>
        </w:tc>
      </w:tr>
      <w:tr>
        <w:trPr>
          <w:trHeight w:val="209"/>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7"/>
                <w:szCs w:val="17"/>
                <w:color w:val="auto"/>
              </w:rPr>
              <w:t>2020</w:t>
            </w:r>
          </w:p>
        </w:tc>
        <w:tc>
          <w:tcPr>
            <w:tcW w:w="860" w:type="dxa"/>
            <w:vAlign w:val="bottom"/>
          </w:tcPr>
          <w:p>
            <w:pPr>
              <w:jc w:val="right"/>
              <w:ind w:right="56"/>
              <w:spacing w:after="0"/>
              <w:rPr>
                <w:sz w:val="20"/>
                <w:szCs w:val="20"/>
                <w:color w:val="auto"/>
              </w:rPr>
            </w:pPr>
            <w:r>
              <w:rPr>
                <w:rFonts w:ascii="Arial" w:cs="Arial" w:eastAsia="Arial" w:hAnsi="Arial"/>
                <w:sz w:val="17"/>
                <w:szCs w:val="17"/>
                <w:color w:val="auto"/>
              </w:rPr>
              <w:t>175,806</w:t>
            </w:r>
          </w:p>
        </w:tc>
      </w:tr>
      <w:tr>
        <w:trPr>
          <w:trHeight w:val="209"/>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7"/>
                <w:szCs w:val="17"/>
                <w:color w:val="auto"/>
              </w:rPr>
              <w:t>2021</w:t>
            </w:r>
          </w:p>
        </w:tc>
        <w:tc>
          <w:tcPr>
            <w:tcW w:w="86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181,959</w:t>
            </w:r>
          </w:p>
        </w:tc>
      </w:tr>
      <w:tr>
        <w:trPr>
          <w:trHeight w:val="209"/>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7"/>
                <w:szCs w:val="17"/>
                <w:color w:val="auto"/>
              </w:rPr>
              <w:t>2022</w:t>
            </w:r>
          </w:p>
        </w:tc>
        <w:tc>
          <w:tcPr>
            <w:tcW w:w="860" w:type="dxa"/>
            <w:vAlign w:val="bottom"/>
          </w:tcPr>
          <w:p>
            <w:pPr>
              <w:jc w:val="right"/>
              <w:ind w:right="56"/>
              <w:spacing w:after="0"/>
              <w:rPr>
                <w:sz w:val="20"/>
                <w:szCs w:val="20"/>
                <w:color w:val="auto"/>
              </w:rPr>
            </w:pPr>
            <w:r>
              <w:rPr>
                <w:rFonts w:ascii="Arial" w:cs="Arial" w:eastAsia="Arial" w:hAnsi="Arial"/>
                <w:sz w:val="17"/>
                <w:szCs w:val="17"/>
                <w:color w:val="auto"/>
              </w:rPr>
              <w:t>188,328</w:t>
            </w:r>
          </w:p>
        </w:tc>
      </w:tr>
      <w:tr>
        <w:trPr>
          <w:trHeight w:val="209"/>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7"/>
                <w:szCs w:val="17"/>
                <w:color w:val="auto"/>
              </w:rPr>
              <w:t>2023</w:t>
            </w:r>
          </w:p>
        </w:tc>
        <w:tc>
          <w:tcPr>
            <w:tcW w:w="86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194,919</w:t>
            </w:r>
          </w:p>
        </w:tc>
      </w:tr>
      <w:tr>
        <w:trPr>
          <w:trHeight w:val="215"/>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7"/>
                <w:szCs w:val="17"/>
                <w:color w:val="auto"/>
              </w:rPr>
              <w:t>Thereafter</w:t>
            </w:r>
          </w:p>
        </w:tc>
        <w:tc>
          <w:tcPr>
            <w:tcW w:w="86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color w:val="auto"/>
              </w:rPr>
              <w:t>49,145</w:t>
            </w:r>
          </w:p>
        </w:tc>
      </w:tr>
      <w:tr>
        <w:trPr>
          <w:trHeight w:val="209"/>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7"/>
                <w:szCs w:val="17"/>
                <w:color w:val="auto"/>
              </w:rPr>
              <w:t>Total undiscounted lease payments</w:t>
            </w:r>
          </w:p>
        </w:tc>
        <w:tc>
          <w:tcPr>
            <w:tcW w:w="86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918,639</w:t>
            </w:r>
          </w:p>
        </w:tc>
      </w:tr>
      <w:tr>
        <w:trPr>
          <w:trHeight w:val="215"/>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7"/>
                <w:szCs w:val="17"/>
                <w:color w:val="auto"/>
              </w:rPr>
              <w:t>Less: present value adjustment</w:t>
            </w:r>
          </w:p>
        </w:tc>
        <w:tc>
          <w:tcPr>
            <w:tcW w:w="86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color w:val="auto"/>
              </w:rPr>
              <w:t>76,904</w:t>
            </w:r>
          </w:p>
        </w:tc>
      </w:tr>
      <w:tr>
        <w:trPr>
          <w:trHeight w:val="249"/>
        </w:trPr>
        <w:tc>
          <w:tcPr>
            <w:tcW w:w="20" w:type="dxa"/>
            <w:vAlign w:val="bottom"/>
          </w:tcPr>
          <w:p>
            <w:pPr>
              <w:spacing w:after="0"/>
              <w:rPr>
                <w:sz w:val="21"/>
                <w:szCs w:val="21"/>
                <w:color w:val="auto"/>
              </w:rPr>
            </w:pPr>
          </w:p>
        </w:tc>
        <w:tc>
          <w:tcPr>
            <w:tcW w:w="48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Operating lease liability</w:t>
            </w:r>
          </w:p>
        </w:tc>
        <w:tc>
          <w:tcPr>
            <w:tcW w:w="86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color w:val="auto"/>
                <w:w w:val="98"/>
              </w:rPr>
              <w:t>$841,735</w:t>
            </w:r>
          </w:p>
        </w:tc>
      </w:tr>
    </w:tbl>
    <w:p>
      <w:pPr>
        <w:spacing w:after="0" w:line="253" w:lineRule="exact"/>
        <w:rPr>
          <w:sz w:val="20"/>
          <w:szCs w:val="20"/>
          <w:color w:val="auto"/>
        </w:rPr>
      </w:pPr>
    </w:p>
    <w:p>
      <w:pPr>
        <w:jc w:val="both"/>
        <w:ind w:right="20" w:firstLine="157"/>
        <w:spacing w:after="0" w:line="281" w:lineRule="auto"/>
        <w:rPr>
          <w:sz w:val="20"/>
          <w:szCs w:val="20"/>
          <w:color w:val="auto"/>
        </w:rPr>
      </w:pPr>
      <w:r>
        <w:rPr>
          <w:rFonts w:ascii="Arial" w:cs="Arial" w:eastAsia="Arial" w:hAnsi="Arial"/>
          <w:sz w:val="17"/>
          <w:szCs w:val="17"/>
          <w:color w:val="auto"/>
        </w:rPr>
        <w:t>Rent expense for the three months ended March 31, 2018 amounted to $41,342, and is included in the condensed consolidated statements of operations and comprehensive loss within other underwriting expenses.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12 – Deferred Compensation Plan</w:t>
      </w:r>
    </w:p>
    <w:p>
      <w:pPr>
        <w:spacing w:after="0" w:line="227" w:lineRule="exact"/>
        <w:rPr>
          <w:sz w:val="20"/>
          <w:szCs w:val="20"/>
          <w:color w:val="auto"/>
        </w:rPr>
      </w:pPr>
    </w:p>
    <w:p>
      <w:pPr>
        <w:jc w:val="both"/>
        <w:ind w:right="20"/>
        <w:spacing w:after="0" w:line="277" w:lineRule="auto"/>
        <w:rPr>
          <w:sz w:val="20"/>
          <w:szCs w:val="20"/>
          <w:color w:val="auto"/>
        </w:rPr>
      </w:pPr>
      <w:r>
        <w:rPr>
          <w:rFonts w:ascii="Arial" w:cs="Arial" w:eastAsia="Arial" w:hAnsi="Arial"/>
          <w:sz w:val="16"/>
          <w:szCs w:val="16"/>
          <w:color w:val="auto"/>
        </w:rPr>
        <w:t>On June 18, 2018, the Company adopted the Kingstone Companies, Inc. Deferred Compensation Plan (the "Deferred Compensation Plan"). The Deferred Compensation Plan is offered to a select group (“Participants”), consisting of management and highly compensated employees as a method of recognizing and retaining such Participants. The Deferred Compensation Plan provides for eligible Participants to elect to defer up to 75% of their base compensation and up to 100% of bonuses and other compensation and to have such deferred amounts deemed to be invested in specified investment options. In addition to the Participant deferrals, the Company may choose to make matching contributions to some or all of the Participants in the Deferred Compensation Plan to the extent the Participant did not receive the maximum matching or non-elective contributions permissible under the Company’s 401(k) Plan due to limitations under the Internal Revenue Code or the 401(k) Plan. Participants may elect to receive payment of their account balances in a single cash payment or in annual installments for a period of up to ten years. The first payroll subject to the Deferred Compensation Plan was in July 2018. The deferred compensation liability as of March 31, 2019 and December 31, 2018 amounted to $440,045 and $298,638, respectively and is recorded in accounts payable, accrued expenses and other liabilities in the consolidated balance sheets. The Company did not make any voluntary contributions for the three months ended March 31, 2019.</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13 – Subsequent Events</w:t>
      </w:r>
    </w:p>
    <w:p>
      <w:pPr>
        <w:spacing w:after="0" w:line="162" w:lineRule="exact"/>
        <w:rPr>
          <w:sz w:val="20"/>
          <w:szCs w:val="20"/>
          <w:color w:val="auto"/>
        </w:rPr>
      </w:pPr>
    </w:p>
    <w:p>
      <w:pPr>
        <w:jc w:val="both"/>
        <w:ind w:right="20"/>
        <w:spacing w:after="0" w:line="281" w:lineRule="auto"/>
        <w:rPr>
          <w:sz w:val="20"/>
          <w:szCs w:val="20"/>
          <w:color w:val="auto"/>
        </w:rPr>
      </w:pPr>
      <w:r>
        <w:rPr>
          <w:rFonts w:ascii="Arial" w:cs="Arial" w:eastAsia="Arial" w:hAnsi="Arial"/>
          <w:sz w:val="17"/>
          <w:szCs w:val="17"/>
          <w:color w:val="auto"/>
        </w:rPr>
        <w:t>The Company has evaluated events that occurred subsequent to March 31, 2019 through the date these condensed consolidated financial statements were issued for matters that required disclosure or adjustment in these condensed consolidated financial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Dividends Declared</w:t>
      </w:r>
    </w:p>
    <w:p>
      <w:pPr>
        <w:spacing w:after="0" w:line="223" w:lineRule="exact"/>
        <w:rPr>
          <w:sz w:val="20"/>
          <w:szCs w:val="20"/>
          <w:color w:val="auto"/>
        </w:rPr>
      </w:pPr>
    </w:p>
    <w:p>
      <w:pPr>
        <w:jc w:val="both"/>
        <w:ind w:right="20"/>
        <w:spacing w:after="0" w:line="281" w:lineRule="auto"/>
        <w:rPr>
          <w:sz w:val="20"/>
          <w:szCs w:val="20"/>
          <w:color w:val="auto"/>
        </w:rPr>
      </w:pPr>
      <w:r>
        <w:rPr>
          <w:rFonts w:ascii="Arial" w:cs="Arial" w:eastAsia="Arial" w:hAnsi="Arial"/>
          <w:sz w:val="17"/>
          <w:szCs w:val="17"/>
          <w:color w:val="auto"/>
        </w:rPr>
        <w:t>On May 8, 2019, the Company’s Board of Directors approved a quarterly dividend of $0.10 per share payable in cash on June 14, 2019 to stockholders of record as of the close of business on May 31, 2019 (see Note 8).</w:t>
      </w:r>
    </w:p>
    <w:p>
      <w:pPr>
        <w:spacing w:after="0" w:line="327"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25106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ectPr>
          <w:pgSz w:w="11900" w:h="16838" w:orient="portrait"/>
          <w:cols w:equalWidth="0" w:num="1">
            <w:col w:w="11440"/>
          </w:cols>
          <w:pgMar w:left="240" w:top="497" w:right="219" w:bottom="1440" w:gutter="0" w:footer="0" w:header="0"/>
          <w:type w:val="continuous"/>
        </w:sectPr>
      </w:pPr>
    </w:p>
    <w:bookmarkStart w:id="38" w:name="page39"/>
    <w:bookmarkEnd w:id="38"/>
    <w:p>
      <w:pPr>
        <w:ind w:right="1920"/>
        <w:spacing w:after="0" w:line="436" w:lineRule="auto"/>
        <w:rPr>
          <w:sz w:val="20"/>
          <w:szCs w:val="20"/>
          <w:color w:val="auto"/>
        </w:rPr>
      </w:pPr>
      <w:r>
        <w:rPr>
          <w:rFonts w:ascii="Arial" w:cs="Arial" w:eastAsia="Arial" w:hAnsi="Arial"/>
          <w:sz w:val="17"/>
          <w:szCs w:val="17"/>
          <w:b w:val="1"/>
          <w:bCs w:val="1"/>
          <w:u w:val="single" w:color="auto"/>
          <w:color w:val="auto"/>
        </w:rPr>
        <w:t>ITEM 2</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MANAGEMENT’S DISCUSSION AND ANALYSIS OF FINANCIAL CONDITION AND RESULTS OF OPERATIONS</w:t>
      </w:r>
      <w:r>
        <w:rPr>
          <w:rFonts w:ascii="Arial" w:cs="Arial" w:eastAsia="Arial" w:hAnsi="Arial"/>
          <w:sz w:val="17"/>
          <w:szCs w:val="17"/>
          <w:color w:val="auto"/>
        </w:rPr>
        <w:t>.</w:t>
      </w:r>
      <w:r>
        <w:rPr>
          <w:rFonts w:ascii="Arial" w:cs="Arial" w:eastAsia="Arial" w:hAnsi="Arial"/>
          <w:sz w:val="17"/>
          <w:szCs w:val="17"/>
          <w:b w:val="1"/>
          <w:bCs w:val="1"/>
          <w:color w:val="auto"/>
        </w:rPr>
        <w:t xml:space="preserve"> Overview</w:t>
      </w:r>
    </w:p>
    <w:p>
      <w:pPr>
        <w:jc w:val="both"/>
        <w:ind w:firstLine="628"/>
        <w:spacing w:after="0" w:line="263" w:lineRule="auto"/>
        <w:rPr>
          <w:sz w:val="20"/>
          <w:szCs w:val="20"/>
          <w:color w:val="auto"/>
        </w:rPr>
      </w:pPr>
      <w:r>
        <w:rPr>
          <w:rFonts w:ascii="Arial" w:cs="Arial" w:eastAsia="Arial" w:hAnsi="Arial"/>
          <w:sz w:val="17"/>
          <w:szCs w:val="17"/>
          <w:color w:val="auto"/>
        </w:rPr>
        <w:t>We offer property and casualty insurance products to individuals and small businesses through our wholly owned subsidiary, Kingstone Insurance Company (“KICO”). KICO’s insureds are located primarily in downstate New York, consisting of New York City, Long Island and Westchester County, although we are actively writing business in New Jersey, Rhode Island, Massachusetts, Connecticut and Pennsylvania. We are licensed in the States of New York, New Jersey, Rhode Island, Massachusetts, Pennsylvania, Connecticut, Maine, and New Hampshire. For the three months ended March 31, 2019 and 2018, 91.4% and 97.2% of KICO’s direct written premiums came from the New York policies.</w:t>
      </w:r>
    </w:p>
    <w:p>
      <w:pPr>
        <w:spacing w:after="0" w:line="119" w:lineRule="exact"/>
        <w:rPr>
          <w:sz w:val="20"/>
          <w:szCs w:val="20"/>
          <w:color w:val="auto"/>
        </w:rPr>
      </w:pPr>
    </w:p>
    <w:p>
      <w:pPr>
        <w:jc w:val="both"/>
        <w:ind w:firstLine="628"/>
        <w:spacing w:after="0" w:line="303" w:lineRule="auto"/>
        <w:rPr>
          <w:sz w:val="20"/>
          <w:szCs w:val="20"/>
          <w:color w:val="auto"/>
        </w:rPr>
      </w:pPr>
      <w:r>
        <w:rPr>
          <w:rFonts w:ascii="Arial" w:cs="Arial" w:eastAsia="Arial" w:hAnsi="Arial"/>
          <w:sz w:val="15"/>
          <w:szCs w:val="15"/>
          <w:color w:val="auto"/>
        </w:rPr>
        <w:t>We derive substantially all of our revenue from KICO, which includes revenues from earned premiums, ceding commissions from quota share reinsurance, net investment income generated from its portfolio, and net realized gains and losses on investment securities. All of KICO’s insurance policies are written for a one-year term. Earned premiums represent premiums received from insureds, which are recognized as revenue over the period of time that insurance coverage is provided (i.e., ratably over the one-year life of the policy). A significant period of time can elapse from the receipt of insurance premiums to the payment of insurance claims. During this time, KICO invests the premiums, earns investment income and generates net realized and unrealized investment gains and losses on investments. Our holding company earns investment income from its cash holdings and may also generate net realized and unrealized investment gains and losses on future investments.</w:t>
      </w:r>
    </w:p>
    <w:p>
      <w:pPr>
        <w:spacing w:after="0" w:line="93" w:lineRule="exact"/>
        <w:rPr>
          <w:sz w:val="20"/>
          <w:szCs w:val="20"/>
          <w:color w:val="auto"/>
        </w:rPr>
      </w:pPr>
    </w:p>
    <w:p>
      <w:pPr>
        <w:jc w:val="both"/>
        <w:ind w:firstLine="628"/>
        <w:spacing w:after="0" w:line="311" w:lineRule="auto"/>
        <w:rPr>
          <w:sz w:val="20"/>
          <w:szCs w:val="20"/>
          <w:color w:val="auto"/>
        </w:rPr>
      </w:pPr>
      <w:r>
        <w:rPr>
          <w:rFonts w:ascii="Arial" w:cs="Arial" w:eastAsia="Arial" w:hAnsi="Arial"/>
          <w:sz w:val="15"/>
          <w:szCs w:val="15"/>
          <w:color w:val="auto"/>
        </w:rPr>
        <w:t>Our expenses include the insurance underwriting expenses of KICO and other operating expenses. Insurance companies incur a significant amount of their total expenses from losses incurred by policyholders, which are commonly referred to as claims. In settling these claims, various loss adjustment expenses (“LAE”) are incurred such as insurance adjusters’ fees and legal expenses. In addition, insurance companies incur policy acquisition costs. Policy acquisition costs include commissions paid to producers, premium taxes, and other expenses related to the underwriting process, including employees’ compensation and benefits.</w:t>
      </w:r>
    </w:p>
    <w:p>
      <w:pPr>
        <w:spacing w:after="0" w:line="87" w:lineRule="exact"/>
        <w:rPr>
          <w:sz w:val="20"/>
          <w:szCs w:val="20"/>
          <w:color w:val="auto"/>
        </w:rPr>
      </w:pPr>
    </w:p>
    <w:p>
      <w:pPr>
        <w:jc w:val="both"/>
        <w:ind w:firstLine="628"/>
        <w:spacing w:after="0" w:line="281" w:lineRule="auto"/>
        <w:rPr>
          <w:sz w:val="20"/>
          <w:szCs w:val="20"/>
          <w:color w:val="auto"/>
        </w:rPr>
      </w:pPr>
      <w:r>
        <w:rPr>
          <w:rFonts w:ascii="Arial" w:cs="Arial" w:eastAsia="Arial" w:hAnsi="Arial"/>
          <w:sz w:val="17"/>
          <w:szCs w:val="17"/>
          <w:color w:val="auto"/>
        </w:rPr>
        <w:t>Other operating expenses include our corporate expenses as a holding company. These expenses include legal and auditing fees, executive employment costs, and other costs directly associated with being a public company.</w:t>
      </w:r>
    </w:p>
    <w:p>
      <w:pPr>
        <w:spacing w:after="0" w:line="1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Product Lines</w:t>
      </w:r>
    </w:p>
    <w:p>
      <w:pPr>
        <w:spacing w:after="0" w:line="16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Our active product lines include the following:</w:t>
      </w:r>
    </w:p>
    <w:p>
      <w:pPr>
        <w:spacing w:after="0" w:line="158" w:lineRule="exact"/>
        <w:rPr>
          <w:sz w:val="20"/>
          <w:szCs w:val="20"/>
          <w:color w:val="auto"/>
        </w:rPr>
      </w:pPr>
    </w:p>
    <w:p>
      <w:pPr>
        <w:jc w:val="both"/>
        <w:ind w:firstLine="628"/>
        <w:spacing w:after="0" w:line="281" w:lineRule="auto"/>
        <w:rPr>
          <w:sz w:val="20"/>
          <w:szCs w:val="20"/>
          <w:color w:val="auto"/>
        </w:rPr>
      </w:pPr>
      <w:r>
        <w:rPr>
          <w:rFonts w:ascii="Arial" w:cs="Arial" w:eastAsia="Arial" w:hAnsi="Arial"/>
          <w:sz w:val="17"/>
          <w:szCs w:val="17"/>
          <w:b w:val="1"/>
          <w:bCs w:val="1"/>
          <w:i w:val="1"/>
          <w:iCs w:val="1"/>
          <w:color w:val="auto"/>
        </w:rPr>
        <w:t xml:space="preserve">Personal lines: </w:t>
      </w:r>
      <w:r>
        <w:rPr>
          <w:rFonts w:ascii="Arial" w:cs="Arial" w:eastAsia="Arial" w:hAnsi="Arial"/>
          <w:sz w:val="17"/>
          <w:szCs w:val="17"/>
          <w:color w:val="auto"/>
        </w:rPr>
        <w:t>Our largest line of business is personal lines, consisting of homeowners, dwelling fire, cooperative/condominium, renters, and personal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umbrella policies.</w:t>
      </w:r>
    </w:p>
    <w:p>
      <w:pPr>
        <w:spacing w:after="0" w:line="105" w:lineRule="exact"/>
        <w:rPr>
          <w:sz w:val="20"/>
          <w:szCs w:val="20"/>
          <w:color w:val="auto"/>
        </w:rPr>
      </w:pPr>
    </w:p>
    <w:p>
      <w:pPr>
        <w:jc w:val="both"/>
        <w:ind w:firstLine="683"/>
        <w:spacing w:after="0" w:line="265" w:lineRule="auto"/>
        <w:rPr>
          <w:sz w:val="20"/>
          <w:szCs w:val="20"/>
          <w:color w:val="auto"/>
        </w:rPr>
      </w:pPr>
      <w:r>
        <w:rPr>
          <w:rFonts w:ascii="Arial" w:cs="Arial" w:eastAsia="Arial" w:hAnsi="Arial"/>
          <w:sz w:val="17"/>
          <w:szCs w:val="17"/>
          <w:b w:val="1"/>
          <w:bCs w:val="1"/>
          <w:i w:val="1"/>
          <w:iCs w:val="1"/>
          <w:color w:val="auto"/>
        </w:rPr>
        <w:t xml:space="preserve">Commercial liability: </w:t>
      </w:r>
      <w:r>
        <w:rPr>
          <w:rFonts w:ascii="Arial" w:cs="Arial" w:eastAsia="Arial" w:hAnsi="Arial"/>
          <w:sz w:val="17"/>
          <w:szCs w:val="17"/>
          <w:color w:val="auto"/>
        </w:rPr>
        <w:t>We offer businessowners policies, which consist primarily of small business retail, service, and office risks, with limited residential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exposure. We also write artisan’s liability policies for small independent contractors with smaller sized workforces. In addition, we write special multi-peril policies for larger and more specialized businessowners risks, including those with limited residential exposures. Further, we offer commercial umbrella policies written above our supporting commercial lines policies.</w:t>
      </w:r>
    </w:p>
    <w:p>
      <w:pPr>
        <w:spacing w:after="0" w:line="118" w:lineRule="exact"/>
        <w:rPr>
          <w:sz w:val="20"/>
          <w:szCs w:val="20"/>
          <w:color w:val="auto"/>
        </w:rPr>
      </w:pPr>
    </w:p>
    <w:p>
      <w:pPr>
        <w:jc w:val="both"/>
        <w:ind w:firstLine="628"/>
        <w:spacing w:after="0" w:line="281" w:lineRule="auto"/>
        <w:rPr>
          <w:sz w:val="20"/>
          <w:szCs w:val="20"/>
          <w:color w:val="auto"/>
        </w:rPr>
      </w:pPr>
      <w:r>
        <w:rPr>
          <w:rFonts w:ascii="Arial" w:cs="Arial" w:eastAsia="Arial" w:hAnsi="Arial"/>
          <w:sz w:val="17"/>
          <w:szCs w:val="17"/>
          <w:b w:val="1"/>
          <w:bCs w:val="1"/>
          <w:i w:val="1"/>
          <w:iCs w:val="1"/>
          <w:color w:val="auto"/>
        </w:rPr>
        <w:t xml:space="preserve">Livery physical damage: </w:t>
      </w:r>
      <w:r>
        <w:rPr>
          <w:rFonts w:ascii="Arial" w:cs="Arial" w:eastAsia="Arial" w:hAnsi="Arial"/>
          <w:sz w:val="17"/>
          <w:szCs w:val="17"/>
          <w:color w:val="auto"/>
        </w:rPr>
        <w:t>We write for-hire vehicle physical damage only policies for livery and car service vehicles and taxicabs. These policies insure only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physical damage portion of insurance for such vehicles, with no liability coverage included.</w:t>
      </w:r>
    </w:p>
    <w:p>
      <w:pPr>
        <w:spacing w:after="0" w:line="105"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 xml:space="preserve">Other: </w:t>
      </w:r>
      <w:r>
        <w:rPr>
          <w:rFonts w:ascii="Arial" w:cs="Arial" w:eastAsia="Arial" w:hAnsi="Arial"/>
          <w:sz w:val="17"/>
          <w:szCs w:val="17"/>
          <w:color w:val="auto"/>
        </w:rPr>
        <w:t>We write canine legal liability policies and have a small participation in mandatory state joint underwriting associations.</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Key Measures</w:t>
      </w:r>
    </w:p>
    <w:p>
      <w:pPr>
        <w:spacing w:after="0" w:line="16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We utilize the following key measures in analyzing the results of our insurance underwriting business:</w:t>
      </w:r>
    </w:p>
    <w:p>
      <w:pPr>
        <w:spacing w:after="0" w:line="158" w:lineRule="exact"/>
        <w:rPr>
          <w:sz w:val="20"/>
          <w:szCs w:val="20"/>
          <w:color w:val="auto"/>
        </w:rPr>
      </w:pPr>
    </w:p>
    <w:p>
      <w:pPr>
        <w:jc w:val="both"/>
        <w:ind w:firstLine="628"/>
        <w:spacing w:after="0" w:line="281" w:lineRule="auto"/>
        <w:rPr>
          <w:sz w:val="20"/>
          <w:szCs w:val="20"/>
          <w:color w:val="auto"/>
        </w:rPr>
      </w:pPr>
      <w:r>
        <w:rPr>
          <w:rFonts w:ascii="Arial" w:cs="Arial" w:eastAsia="Arial" w:hAnsi="Arial"/>
          <w:sz w:val="17"/>
          <w:szCs w:val="17"/>
          <w:b w:val="1"/>
          <w:bCs w:val="1"/>
          <w:i w:val="1"/>
          <w:iCs w:val="1"/>
          <w:color w:val="auto"/>
        </w:rPr>
        <w:t xml:space="preserve">Net loss ratio: </w:t>
      </w:r>
      <w:r>
        <w:rPr>
          <w:rFonts w:ascii="Arial" w:cs="Arial" w:eastAsia="Arial" w:hAnsi="Arial"/>
          <w:sz w:val="17"/>
          <w:szCs w:val="17"/>
          <w:color w:val="auto"/>
        </w:rPr>
        <w:t>The net loss ratio is a measure of the underwriting profitability of an insurance company’s business. Expressed as a percentage, this is the ratio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net losses and loss adjustment expenses (“LAE”) incurred to net premiums earned.</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25106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ectPr>
          <w:pgSz w:w="11900" w:h="16838" w:orient="portrait"/>
          <w:cols w:equalWidth="0" w:num="1">
            <w:col w:w="11420"/>
          </w:cols>
          <w:pgMar w:left="240" w:top="493" w:right="239" w:bottom="1440" w:gutter="0" w:footer="0" w:header="0"/>
        </w:sectPr>
      </w:pPr>
    </w:p>
    <w:bookmarkStart w:id="39" w:name="page40"/>
    <w:bookmarkEnd w:id="39"/>
    <w:p>
      <w:pPr>
        <w:jc w:val="both"/>
        <w:ind w:firstLine="628"/>
        <w:spacing w:after="0" w:line="269" w:lineRule="auto"/>
        <w:rPr>
          <w:sz w:val="20"/>
          <w:szCs w:val="20"/>
          <w:color w:val="auto"/>
        </w:rPr>
      </w:pPr>
      <w:r>
        <w:rPr>
          <w:rFonts w:ascii="Arial" w:cs="Arial" w:eastAsia="Arial" w:hAnsi="Arial"/>
          <w:sz w:val="17"/>
          <w:szCs w:val="17"/>
          <w:b w:val="1"/>
          <w:bCs w:val="1"/>
          <w:i w:val="1"/>
          <w:iCs w:val="1"/>
          <w:color w:val="auto"/>
        </w:rPr>
        <w:t xml:space="preserve">Net underwriting expense ratio: </w:t>
      </w:r>
      <w:r>
        <w:rPr>
          <w:rFonts w:ascii="Arial" w:cs="Arial" w:eastAsia="Arial" w:hAnsi="Arial"/>
          <w:sz w:val="17"/>
          <w:szCs w:val="17"/>
          <w:color w:val="auto"/>
        </w:rPr>
        <w:t>The net underwriting expense ratio is a measure of an insurance company’s operational efficiency in administering its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business. Expressed as a percentage, this is the ratio of the sum of acquisition costs (the most significant being commissions paid to our producers) and other underwriting expenses less ceding commission revenue less other income to net premiums earned.</w:t>
      </w:r>
    </w:p>
    <w:p>
      <w:pPr>
        <w:spacing w:after="0" w:line="114" w:lineRule="exact"/>
        <w:rPr>
          <w:sz w:val="20"/>
          <w:szCs w:val="20"/>
          <w:color w:val="auto"/>
        </w:rPr>
      </w:pPr>
    </w:p>
    <w:p>
      <w:pPr>
        <w:jc w:val="both"/>
        <w:ind w:firstLine="628"/>
        <w:spacing w:after="0" w:line="269" w:lineRule="auto"/>
        <w:rPr>
          <w:sz w:val="20"/>
          <w:szCs w:val="20"/>
          <w:color w:val="auto"/>
        </w:rPr>
      </w:pPr>
      <w:r>
        <w:rPr>
          <w:rFonts w:ascii="Arial" w:cs="Arial" w:eastAsia="Arial" w:hAnsi="Arial"/>
          <w:sz w:val="17"/>
          <w:szCs w:val="17"/>
          <w:b w:val="1"/>
          <w:bCs w:val="1"/>
          <w:i w:val="1"/>
          <w:iCs w:val="1"/>
          <w:color w:val="auto"/>
        </w:rPr>
        <w:t xml:space="preserve">Net combined ratio: </w:t>
      </w:r>
      <w:r>
        <w:rPr>
          <w:rFonts w:ascii="Arial" w:cs="Arial" w:eastAsia="Arial" w:hAnsi="Arial"/>
          <w:sz w:val="17"/>
          <w:szCs w:val="17"/>
          <w:color w:val="auto"/>
        </w:rPr>
        <w:t>The net combined ratio is a measure of an insurance company’s overall underwriting profit. This is the sum of the net loss and net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underwriting expense ratios. If the net combined ratio is at or above 100 percent, an insurance company cannot be profitable without investment income, and may not be profitable if investment income is insufficient.</w:t>
      </w:r>
    </w:p>
    <w:p>
      <w:pPr>
        <w:spacing w:after="0" w:line="114" w:lineRule="exact"/>
        <w:rPr>
          <w:sz w:val="20"/>
          <w:szCs w:val="20"/>
          <w:color w:val="auto"/>
        </w:rPr>
      </w:pPr>
    </w:p>
    <w:p>
      <w:pPr>
        <w:jc w:val="both"/>
        <w:ind w:firstLine="628"/>
        <w:spacing w:after="0" w:line="265" w:lineRule="auto"/>
        <w:rPr>
          <w:sz w:val="20"/>
          <w:szCs w:val="20"/>
          <w:color w:val="auto"/>
        </w:rPr>
      </w:pPr>
      <w:r>
        <w:rPr>
          <w:rFonts w:ascii="Arial" w:cs="Arial" w:eastAsia="Arial" w:hAnsi="Arial"/>
          <w:sz w:val="17"/>
          <w:szCs w:val="17"/>
          <w:b w:val="1"/>
          <w:bCs w:val="1"/>
          <w:i w:val="1"/>
          <w:iCs w:val="1"/>
          <w:color w:val="auto"/>
        </w:rPr>
        <w:t xml:space="preserve">Underwriting income: </w:t>
      </w:r>
      <w:r>
        <w:rPr>
          <w:rFonts w:ascii="Arial" w:cs="Arial" w:eastAsia="Arial" w:hAnsi="Arial"/>
          <w:sz w:val="17"/>
          <w:szCs w:val="17"/>
          <w:color w:val="auto"/>
        </w:rPr>
        <w:t>Underwriting income is net pre-tax income attributable to our insurance underwriting business before investment activity. It excludes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net investment income, net realized gains from investments, and depreciation and amortization (net premiums earned less expenses included in combined ratio). Underwriting income is a measure of an insurance company’s overall operating profitability before items such as investment income, depreciation and amortization, interest expense and income taxes.</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 and Estimates</w:t>
      </w:r>
    </w:p>
    <w:p>
      <w:pPr>
        <w:spacing w:after="0" w:line="162" w:lineRule="exact"/>
        <w:rPr>
          <w:sz w:val="20"/>
          <w:szCs w:val="20"/>
          <w:color w:val="auto"/>
        </w:rPr>
      </w:pPr>
    </w:p>
    <w:p>
      <w:pPr>
        <w:jc w:val="both"/>
        <w:ind w:firstLine="314"/>
        <w:spacing w:after="0" w:line="278" w:lineRule="auto"/>
        <w:rPr>
          <w:sz w:val="20"/>
          <w:szCs w:val="20"/>
          <w:color w:val="auto"/>
        </w:rPr>
      </w:pPr>
      <w:r>
        <w:rPr>
          <w:rFonts w:ascii="Arial" w:cs="Arial" w:eastAsia="Arial" w:hAnsi="Arial"/>
          <w:sz w:val="16"/>
          <w:szCs w:val="16"/>
          <w:color w:val="auto"/>
        </w:rPr>
        <w:t>Our condensed consolidated financial statements include the accounts of Kingstone Companies, Inc. and all majority-owned and controlled subsidiaries. The preparation of financial statements in conformity with accounting principles generally accepted in the United States requires our management to make estimates and assumptions in certain circumstances that affect amounts reported in our condensed consolidated financial statements and related notes. In preparing these condensed consolidated financial statements, our management has utilized information, including our past history, industry standards, the current economic environment, and other factors, in forming its estimates and judgments for certain amounts included in the condensed consolidated financial statements, giving due consideration to materiality. It is possible that the ultimate outcome as anticipated by our management in formulating its estimates in these financial statements may not materialize. Application of the critical accounting policies involves the exercise of judgment and use of assumptions as to future uncertainties and, as a result, actual results could differ from these estimates. In addition, other companies may utilize different estimates, which may impact the comparability of our results of operations to those of similar companies.</w:t>
      </w:r>
    </w:p>
    <w:p>
      <w:pPr>
        <w:spacing w:after="0" w:line="109" w:lineRule="exact"/>
        <w:rPr>
          <w:sz w:val="20"/>
          <w:szCs w:val="20"/>
          <w:color w:val="auto"/>
        </w:rPr>
      </w:pPr>
    </w:p>
    <w:p>
      <w:pPr>
        <w:jc w:val="both"/>
        <w:ind w:firstLine="314"/>
        <w:spacing w:after="0" w:line="265" w:lineRule="auto"/>
        <w:rPr>
          <w:sz w:val="20"/>
          <w:szCs w:val="20"/>
          <w:color w:val="auto"/>
        </w:rPr>
      </w:pPr>
      <w:r>
        <w:rPr>
          <w:rFonts w:ascii="Arial" w:cs="Arial" w:eastAsia="Arial" w:hAnsi="Arial"/>
          <w:sz w:val="17"/>
          <w:szCs w:val="17"/>
          <w:color w:val="auto"/>
        </w:rPr>
        <w:t>We believe that the most critical accounting policies relate to the reporting of reserves for loss and LAE, including losses that have occurred but have not yet been reported prior to the reporting date, amounts recoverable from reinsurers, deferred ceding commission revenue, deferred policy acquisition costs, deferred income taxes, the impairment of investment securities, intangible assets and the valuation of stock-based compensation. See Note 2 to the condensed consolidated financial statements - “Accounting Policies” for information related to updated accounting policies.</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Outlook</w:t>
      </w:r>
    </w:p>
    <w:p>
      <w:pPr>
        <w:spacing w:after="0" w:line="162" w:lineRule="exact"/>
        <w:rPr>
          <w:sz w:val="20"/>
          <w:szCs w:val="20"/>
          <w:color w:val="auto"/>
        </w:rPr>
      </w:pPr>
    </w:p>
    <w:p>
      <w:pPr>
        <w:jc w:val="both"/>
        <w:ind w:firstLine="628"/>
        <w:spacing w:after="0" w:line="269" w:lineRule="auto"/>
        <w:rPr>
          <w:sz w:val="20"/>
          <w:szCs w:val="20"/>
          <w:color w:val="auto"/>
        </w:rPr>
      </w:pPr>
      <w:r>
        <w:rPr>
          <w:rFonts w:ascii="Arial" w:cs="Arial" w:eastAsia="Arial" w:hAnsi="Arial"/>
          <w:sz w:val="17"/>
          <w:szCs w:val="17"/>
          <w:color w:val="auto"/>
        </w:rPr>
        <w:t>Although first quarter results were disappointing due to weather related catastrophe events and a re-evaluation of our claims reserves, we were pleased with our continuing year over year growth. We anticipate launching homeowners products in Maine during 2019, which will add to our already expanding market share in the Northeast.</w:t>
      </w:r>
    </w:p>
    <w:p>
      <w:pPr>
        <w:spacing w:after="0" w:line="114" w:lineRule="exact"/>
        <w:rPr>
          <w:sz w:val="20"/>
          <w:szCs w:val="20"/>
          <w:color w:val="auto"/>
        </w:rPr>
      </w:pPr>
    </w:p>
    <w:p>
      <w:pPr>
        <w:jc w:val="both"/>
        <w:ind w:firstLine="628"/>
        <w:spacing w:after="0" w:line="281" w:lineRule="auto"/>
        <w:rPr>
          <w:sz w:val="20"/>
          <w:szCs w:val="20"/>
          <w:color w:val="auto"/>
        </w:rPr>
      </w:pPr>
      <w:r>
        <w:rPr>
          <w:rFonts w:ascii="Arial" w:cs="Arial" w:eastAsia="Arial" w:hAnsi="Arial"/>
          <w:sz w:val="17"/>
          <w:szCs w:val="17"/>
          <w:color w:val="auto"/>
        </w:rPr>
        <w:t>Turning to fiscal year 2019 expectations, based on our current view of the marketplace, and including the disappointing first quarter results, we expect the following:</w:t>
      </w:r>
    </w:p>
    <w:p>
      <w:pPr>
        <w:spacing w:after="0" w:line="10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A GAAP combined ratio, excluding catastrophe losses, between 88% and 91%.</w:t>
      </w:r>
    </w:p>
    <w:p>
      <w:pPr>
        <w:spacing w:after="0" w:line="158" w:lineRule="exact"/>
        <w:rPr>
          <w:sz w:val="20"/>
          <w:szCs w:val="20"/>
          <w:color w:val="auto"/>
        </w:rPr>
      </w:pPr>
    </w:p>
    <w:p>
      <w:pPr>
        <w:ind w:left="1260" w:hanging="314"/>
        <w:spacing w:after="0"/>
        <w:tabs>
          <w:tab w:leader="none" w:pos="12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This assumes no additional prior-year casualty reserve development; and</w:t>
      </w:r>
    </w:p>
    <w:p>
      <w:pPr>
        <w:spacing w:after="0" w:line="157" w:lineRule="exact"/>
        <w:rPr>
          <w:rFonts w:ascii="Arial" w:cs="Arial" w:eastAsia="Arial" w:hAnsi="Arial"/>
          <w:sz w:val="17"/>
          <w:szCs w:val="17"/>
          <w:color w:val="auto"/>
        </w:rPr>
      </w:pPr>
    </w:p>
    <w:p>
      <w:pPr>
        <w:ind w:left="1260" w:hanging="314"/>
        <w:spacing w:after="0"/>
        <w:tabs>
          <w:tab w:leader="none" w:pos="12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Catastrophe losses of approximately 4.0 to 5.0 points.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25106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ectPr>
          <w:pgSz w:w="11900" w:h="16838" w:orient="portrait"/>
          <w:cols w:equalWidth="0" w:num="1">
            <w:col w:w="11420"/>
          </w:cols>
          <w:pgMar w:left="240" w:top="497" w:right="239" w:bottom="1440" w:gutter="0" w:footer="0" w:header="0"/>
        </w:sectPr>
      </w:pPr>
    </w:p>
    <w:bookmarkStart w:id="40" w:name="page41"/>
    <w:bookmarkEnd w:id="40"/>
    <w:p>
      <w:pPr>
        <w:spacing w:after="0"/>
        <w:rPr>
          <w:sz w:val="20"/>
          <w:szCs w:val="20"/>
          <w:color w:val="auto"/>
        </w:rPr>
      </w:pPr>
      <w:r>
        <w:rPr>
          <w:rFonts w:ascii="Arial" w:cs="Arial" w:eastAsia="Arial" w:hAnsi="Arial"/>
          <w:sz w:val="17"/>
          <w:szCs w:val="17"/>
          <w:b w:val="1"/>
          <w:bCs w:val="1"/>
          <w:color w:val="auto"/>
        </w:rPr>
        <w:t>Consolidated Results of Operations</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Three Months Ended March 31, 2019 Compared to Three Months Ended March 31, 2018</w:t>
      </w:r>
    </w:p>
    <w:p>
      <w:pPr>
        <w:spacing w:after="0" w:line="15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following table summarizes the changes in the results of our operations (in thousands) for the periods indicated: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686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 in thousands)</w:t>
            </w:r>
          </w:p>
        </w:tc>
        <w:tc>
          <w:tcPr>
            <w:tcW w:w="3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gridSpan w:val="4"/>
          </w:tcPr>
          <w:p>
            <w:pPr>
              <w:jc w:val="right"/>
              <w:ind w:right="115"/>
              <w:spacing w:after="0"/>
              <w:rPr>
                <w:sz w:val="20"/>
                <w:szCs w:val="20"/>
                <w:color w:val="auto"/>
              </w:rPr>
            </w:pPr>
            <w:r>
              <w:rPr>
                <w:rFonts w:ascii="Arial" w:cs="Arial" w:eastAsia="Arial" w:hAnsi="Arial"/>
                <w:sz w:val="14"/>
                <w:szCs w:val="14"/>
                <w:b w:val="1"/>
                <w:bCs w:val="1"/>
                <w:color w:val="auto"/>
                <w:w w:val="99"/>
              </w:rPr>
              <w:t>Three months ended March 31,</w:t>
            </w:r>
          </w:p>
        </w:tc>
        <w:tc>
          <w:tcPr>
            <w:tcW w:w="114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6860" w:type="dxa"/>
            <w:vAlign w:val="bottom"/>
            <w:gridSpan w:val="2"/>
            <w:vMerge w:val="continue"/>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jc w:val="right"/>
              <w:ind w:right="375"/>
              <w:spacing w:after="0"/>
              <w:rPr>
                <w:sz w:val="20"/>
                <w:szCs w:val="20"/>
                <w:color w:val="auto"/>
              </w:rPr>
            </w:pPr>
            <w:r>
              <w:rPr>
                <w:rFonts w:ascii="Arial" w:cs="Arial" w:eastAsia="Arial" w:hAnsi="Arial"/>
                <w:sz w:val="14"/>
                <w:szCs w:val="14"/>
                <w:b w:val="1"/>
                <w:bCs w:val="1"/>
                <w:color w:val="auto"/>
              </w:rPr>
              <w:t>2019</w:t>
            </w:r>
          </w:p>
        </w:tc>
        <w:tc>
          <w:tcPr>
            <w:tcW w:w="300" w:type="dxa"/>
            <w:vAlign w:val="bottom"/>
          </w:tcPr>
          <w:p>
            <w:pPr>
              <w:spacing w:after="0"/>
              <w:rPr>
                <w:sz w:val="20"/>
                <w:szCs w:val="20"/>
                <w:color w:val="auto"/>
              </w:rPr>
            </w:pPr>
          </w:p>
        </w:tc>
        <w:tc>
          <w:tcPr>
            <w:tcW w:w="840" w:type="dxa"/>
            <w:vAlign w:val="bottom"/>
          </w:tcPr>
          <w:p>
            <w:pPr>
              <w:jc w:val="right"/>
              <w:ind w:right="355"/>
              <w:spacing w:after="0"/>
              <w:rPr>
                <w:sz w:val="20"/>
                <w:szCs w:val="20"/>
                <w:color w:val="auto"/>
              </w:rPr>
            </w:pPr>
            <w:r>
              <w:rPr>
                <w:rFonts w:ascii="Arial" w:cs="Arial" w:eastAsia="Arial" w:hAnsi="Arial"/>
                <w:sz w:val="14"/>
                <w:szCs w:val="14"/>
                <w:b w:val="1"/>
                <w:bCs w:val="1"/>
                <w:color w:val="auto"/>
              </w:rPr>
              <w:t>2018</w:t>
            </w:r>
          </w:p>
        </w:tc>
        <w:tc>
          <w:tcPr>
            <w:tcW w:w="260" w:type="dxa"/>
            <w:vAlign w:val="bottom"/>
          </w:tcPr>
          <w:p>
            <w:pPr>
              <w:spacing w:after="0"/>
              <w:rPr>
                <w:sz w:val="20"/>
                <w:szCs w:val="20"/>
                <w:color w:val="auto"/>
              </w:rPr>
            </w:pPr>
          </w:p>
        </w:tc>
        <w:tc>
          <w:tcPr>
            <w:tcW w:w="880" w:type="dxa"/>
            <w:vAlign w:val="bottom"/>
          </w:tcPr>
          <w:p>
            <w:pPr>
              <w:jc w:val="right"/>
              <w:ind w:right="275"/>
              <w:spacing w:after="0"/>
              <w:rPr>
                <w:sz w:val="20"/>
                <w:szCs w:val="20"/>
                <w:color w:val="auto"/>
              </w:rPr>
            </w:pPr>
            <w:r>
              <w:rPr>
                <w:rFonts w:ascii="Arial" w:cs="Arial" w:eastAsia="Arial" w:hAnsi="Arial"/>
                <w:sz w:val="14"/>
                <w:szCs w:val="14"/>
                <w:b w:val="1"/>
                <w:bCs w:val="1"/>
                <w:color w:val="auto"/>
                <w:w w:val="97"/>
              </w:rPr>
              <w:t>Change</w:t>
            </w:r>
          </w:p>
        </w:tc>
        <w:tc>
          <w:tcPr>
            <w:tcW w:w="1180" w:type="dxa"/>
            <w:vAlign w:val="bottom"/>
            <w:gridSpan w:val="2"/>
          </w:tcPr>
          <w:p>
            <w:pPr>
              <w:ind w:left="320"/>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68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6860" w:type="dxa"/>
            <w:vAlign w:val="bottom"/>
            <w:gridSpan w:val="2"/>
          </w:tcPr>
          <w:p>
            <w:pPr>
              <w:spacing w:after="0"/>
              <w:rPr>
                <w:sz w:val="20"/>
                <w:szCs w:val="20"/>
                <w:color w:val="auto"/>
              </w:rPr>
            </w:pPr>
            <w:r>
              <w:rPr>
                <w:rFonts w:ascii="Arial" w:cs="Arial" w:eastAsia="Arial" w:hAnsi="Arial"/>
                <w:sz w:val="17"/>
                <w:szCs w:val="17"/>
                <w:b w:val="1"/>
                <w:bCs w:val="1"/>
                <w:color w:val="auto"/>
              </w:rPr>
              <w:t>Revenues</w:t>
            </w: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Direct written premiums</w:t>
            </w:r>
          </w:p>
        </w:tc>
        <w:tc>
          <w:tcPr>
            <w:tcW w:w="3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37,489</w:t>
            </w:r>
          </w:p>
        </w:tc>
        <w:tc>
          <w:tcPr>
            <w:tcW w:w="300" w:type="dxa"/>
            <w:vAlign w:val="bottom"/>
            <w:shd w:val="clear" w:color="auto" w:fill="CCEEFF"/>
          </w:tcPr>
          <w:p>
            <w:pPr>
              <w:jc w:val="right"/>
              <w:ind w:right="19"/>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31,526</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5,963</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840" w:type="dxa"/>
            <w:vAlign w:val="bottom"/>
          </w:tcPr>
          <w:p>
            <w:pPr>
              <w:ind w:left="140"/>
              <w:spacing w:after="0"/>
              <w:rPr>
                <w:sz w:val="20"/>
                <w:szCs w:val="20"/>
                <w:color w:val="auto"/>
              </w:rPr>
            </w:pPr>
            <w:r>
              <w:rPr>
                <w:rFonts w:ascii="Arial" w:cs="Arial" w:eastAsia="Arial" w:hAnsi="Arial"/>
                <w:sz w:val="17"/>
                <w:szCs w:val="17"/>
                <w:color w:val="auto"/>
              </w:rPr>
              <w:t>Assumed written premiums</w:t>
            </w: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n/a%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84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37,489</w:t>
            </w:r>
          </w:p>
        </w:tc>
        <w:tc>
          <w:tcPr>
            <w:tcW w:w="3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31,526</w:t>
            </w: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5,963</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18.9%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840" w:type="dxa"/>
            <w:vAlign w:val="bottom"/>
          </w:tcPr>
          <w:p>
            <w:pPr>
              <w:ind w:left="140"/>
              <w:spacing w:after="0"/>
              <w:rPr>
                <w:sz w:val="20"/>
                <w:szCs w:val="20"/>
                <w:color w:val="auto"/>
              </w:rPr>
            </w:pPr>
            <w:r>
              <w:rPr>
                <w:rFonts w:ascii="Arial" w:cs="Arial" w:eastAsia="Arial" w:hAnsi="Arial"/>
                <w:sz w:val="17"/>
                <w:szCs w:val="17"/>
                <w:color w:val="auto"/>
              </w:rPr>
              <w:t>Ceded written premiums</w:t>
            </w: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840" w:type="dxa"/>
            <w:vAlign w:val="bottom"/>
            <w:shd w:val="clear" w:color="auto" w:fill="CCEEFF"/>
          </w:tcPr>
          <w:p>
            <w:pPr>
              <w:ind w:left="300"/>
              <w:spacing w:after="0"/>
              <w:rPr>
                <w:sz w:val="20"/>
                <w:szCs w:val="20"/>
                <w:color w:val="auto"/>
              </w:rPr>
            </w:pPr>
            <w:r>
              <w:rPr>
                <w:rFonts w:ascii="Arial" w:cs="Arial" w:eastAsia="Arial" w:hAnsi="Arial"/>
                <w:sz w:val="17"/>
                <w:szCs w:val="17"/>
                <w:color w:val="auto"/>
              </w:rPr>
              <w:t>Ceded to quota share treaties (1)</w:t>
            </w: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2,659</w:t>
            </w: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4,406</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(1,747)</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840" w:type="dxa"/>
            <w:vAlign w:val="bottom"/>
          </w:tcPr>
          <w:p>
            <w:pPr>
              <w:ind w:left="300"/>
              <w:spacing w:after="0"/>
              <w:rPr>
                <w:sz w:val="20"/>
                <w:szCs w:val="20"/>
                <w:color w:val="auto"/>
              </w:rPr>
            </w:pPr>
            <w:r>
              <w:rPr>
                <w:rFonts w:ascii="Arial" w:cs="Arial" w:eastAsia="Arial" w:hAnsi="Arial"/>
                <w:sz w:val="17"/>
                <w:szCs w:val="17"/>
                <w:color w:val="auto"/>
              </w:rPr>
              <w:t>Ceded to excess of loss treaties</w:t>
            </w:r>
          </w:p>
        </w:tc>
        <w:tc>
          <w:tcPr>
            <w:tcW w:w="300" w:type="dxa"/>
            <w:vAlign w:val="bottom"/>
          </w:tcPr>
          <w:p>
            <w:pPr>
              <w:spacing w:after="0"/>
              <w:rPr>
                <w:sz w:val="18"/>
                <w:szCs w:val="18"/>
                <w:color w:val="auto"/>
              </w:rPr>
            </w:pPr>
          </w:p>
        </w:tc>
        <w:tc>
          <w:tcPr>
            <w:tcW w:w="840" w:type="dxa"/>
            <w:vAlign w:val="bottom"/>
          </w:tcPr>
          <w:p>
            <w:pPr>
              <w:jc w:val="right"/>
              <w:ind w:right="75"/>
              <w:spacing w:after="0"/>
              <w:rPr>
                <w:sz w:val="20"/>
                <w:szCs w:val="20"/>
                <w:color w:val="auto"/>
              </w:rPr>
            </w:pPr>
            <w:r>
              <w:rPr>
                <w:rFonts w:ascii="Arial" w:cs="Arial" w:eastAsia="Arial" w:hAnsi="Arial"/>
                <w:sz w:val="17"/>
                <w:szCs w:val="17"/>
                <w:color w:val="auto"/>
              </w:rPr>
              <w:t>404</w:t>
            </w:r>
          </w:p>
        </w:tc>
        <w:tc>
          <w:tcPr>
            <w:tcW w:w="300" w:type="dxa"/>
            <w:vAlign w:val="bottom"/>
          </w:tcPr>
          <w:p>
            <w:pPr>
              <w:spacing w:after="0"/>
              <w:rPr>
                <w:sz w:val="18"/>
                <w:szCs w:val="18"/>
                <w:color w:val="auto"/>
              </w:rPr>
            </w:pPr>
          </w:p>
        </w:tc>
        <w:tc>
          <w:tcPr>
            <w:tcW w:w="840" w:type="dxa"/>
            <w:vAlign w:val="bottom"/>
          </w:tcPr>
          <w:p>
            <w:pPr>
              <w:jc w:val="right"/>
              <w:ind w:right="75"/>
              <w:spacing w:after="0"/>
              <w:rPr>
                <w:sz w:val="20"/>
                <w:szCs w:val="20"/>
                <w:color w:val="auto"/>
              </w:rPr>
            </w:pPr>
            <w:r>
              <w:rPr>
                <w:rFonts w:ascii="Arial" w:cs="Arial" w:eastAsia="Arial" w:hAnsi="Arial"/>
                <w:sz w:val="17"/>
                <w:szCs w:val="17"/>
                <w:color w:val="auto"/>
              </w:rPr>
              <w:t>288</w:t>
            </w:r>
          </w:p>
        </w:tc>
        <w:tc>
          <w:tcPr>
            <w:tcW w:w="260" w:type="dxa"/>
            <w:vAlign w:val="bottom"/>
          </w:tcPr>
          <w:p>
            <w:pPr>
              <w:spacing w:after="0"/>
              <w:rPr>
                <w:sz w:val="18"/>
                <w:szCs w:val="18"/>
                <w:color w:val="auto"/>
              </w:rPr>
            </w:pPr>
          </w:p>
        </w:tc>
        <w:tc>
          <w:tcPr>
            <w:tcW w:w="880" w:type="dxa"/>
            <w:vAlign w:val="bottom"/>
          </w:tcPr>
          <w:p>
            <w:pPr>
              <w:jc w:val="right"/>
              <w:ind w:right="75"/>
              <w:spacing w:after="0"/>
              <w:rPr>
                <w:sz w:val="20"/>
                <w:szCs w:val="20"/>
                <w:color w:val="auto"/>
              </w:rPr>
            </w:pPr>
            <w:r>
              <w:rPr>
                <w:rFonts w:ascii="Arial" w:cs="Arial" w:eastAsia="Arial" w:hAnsi="Arial"/>
                <w:sz w:val="17"/>
                <w:szCs w:val="17"/>
                <w:color w:val="auto"/>
              </w:rPr>
              <w:t>116</w:t>
            </w:r>
          </w:p>
        </w:tc>
        <w:tc>
          <w:tcPr>
            <w:tcW w:w="1140" w:type="dxa"/>
            <w:vAlign w:val="bottom"/>
          </w:tcPr>
          <w:p>
            <w:pPr>
              <w:jc w:val="right"/>
              <w:spacing w:after="0"/>
              <w:rPr>
                <w:sz w:val="20"/>
                <w:szCs w:val="20"/>
                <w:color w:val="auto"/>
              </w:rPr>
            </w:pPr>
            <w:r>
              <w:rPr>
                <w:rFonts w:ascii="Arial" w:cs="Arial" w:eastAsia="Arial" w:hAnsi="Arial"/>
                <w:sz w:val="17"/>
                <w:szCs w:val="17"/>
                <w:color w:val="auto"/>
              </w:rPr>
              <w:t>40.3%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84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7"/>
                <w:szCs w:val="17"/>
                <w:color w:val="auto"/>
              </w:rPr>
              <w:t>Ceded to catastrophe treaties</w:t>
            </w:r>
          </w:p>
        </w:tc>
        <w:tc>
          <w:tcPr>
            <w:tcW w:w="3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4,065</w:t>
            </w:r>
          </w:p>
        </w:tc>
        <w:tc>
          <w:tcPr>
            <w:tcW w:w="3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3,132</w:t>
            </w: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933</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29.8%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840" w:type="dxa"/>
            <w:vAlign w:val="bottom"/>
          </w:tcPr>
          <w:p>
            <w:pPr>
              <w:ind w:left="140"/>
              <w:spacing w:after="0"/>
              <w:rPr>
                <w:sz w:val="20"/>
                <w:szCs w:val="20"/>
                <w:color w:val="auto"/>
              </w:rPr>
            </w:pPr>
            <w:r>
              <w:rPr>
                <w:rFonts w:ascii="Arial" w:cs="Arial" w:eastAsia="Arial" w:hAnsi="Arial"/>
                <w:sz w:val="17"/>
                <w:szCs w:val="17"/>
                <w:color w:val="auto"/>
              </w:rPr>
              <w:t>Total ceded written premiums</w:t>
            </w: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7,128</w:t>
            </w: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7,826</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(698)</w:t>
            </w:r>
          </w:p>
        </w:tc>
        <w:tc>
          <w:tcPr>
            <w:tcW w:w="1140" w:type="dxa"/>
            <w:vAlign w:val="bottom"/>
          </w:tcPr>
          <w:p>
            <w:pPr>
              <w:jc w:val="right"/>
              <w:spacing w:after="0"/>
              <w:rPr>
                <w:sz w:val="20"/>
                <w:szCs w:val="20"/>
                <w:color w:val="auto"/>
              </w:rPr>
            </w:pPr>
            <w:r>
              <w:rPr>
                <w:rFonts w:ascii="Arial" w:cs="Arial" w:eastAsia="Arial" w:hAnsi="Arial"/>
                <w:sz w:val="17"/>
                <w:szCs w:val="17"/>
                <w:color w:val="auto"/>
              </w:rPr>
              <w:t>(8.9)%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840" w:type="dxa"/>
            <w:vAlign w:val="bottom"/>
          </w:tcPr>
          <w:p>
            <w:pPr>
              <w:ind w:left="140"/>
              <w:spacing w:after="0"/>
              <w:rPr>
                <w:sz w:val="20"/>
                <w:szCs w:val="20"/>
                <w:color w:val="auto"/>
              </w:rPr>
            </w:pPr>
            <w:r>
              <w:rPr>
                <w:rFonts w:ascii="Arial" w:cs="Arial" w:eastAsia="Arial" w:hAnsi="Arial"/>
                <w:sz w:val="17"/>
                <w:szCs w:val="17"/>
                <w:color w:val="auto"/>
              </w:rPr>
              <w:t>Net written premiums</w:t>
            </w: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30,361</w:t>
            </w: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23,700</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6,661</w:t>
            </w:r>
          </w:p>
        </w:tc>
        <w:tc>
          <w:tcPr>
            <w:tcW w:w="1140" w:type="dxa"/>
            <w:vAlign w:val="bottom"/>
          </w:tcPr>
          <w:p>
            <w:pPr>
              <w:jc w:val="right"/>
              <w:spacing w:after="0"/>
              <w:rPr>
                <w:sz w:val="20"/>
                <w:szCs w:val="20"/>
                <w:color w:val="auto"/>
              </w:rPr>
            </w:pPr>
            <w:r>
              <w:rPr>
                <w:rFonts w:ascii="Arial" w:cs="Arial" w:eastAsia="Arial" w:hAnsi="Arial"/>
                <w:sz w:val="17"/>
                <w:szCs w:val="17"/>
                <w:color w:val="auto"/>
              </w:rPr>
              <w:t>28.1%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840" w:type="dxa"/>
            <w:vAlign w:val="bottom"/>
          </w:tcPr>
          <w:p>
            <w:pPr>
              <w:ind w:left="140"/>
              <w:spacing w:after="0"/>
              <w:rPr>
                <w:sz w:val="20"/>
                <w:szCs w:val="20"/>
                <w:color w:val="auto"/>
              </w:rPr>
            </w:pPr>
            <w:r>
              <w:rPr>
                <w:rFonts w:ascii="Arial" w:cs="Arial" w:eastAsia="Arial" w:hAnsi="Arial"/>
                <w:sz w:val="17"/>
                <w:szCs w:val="17"/>
                <w:color w:val="auto"/>
              </w:rPr>
              <w:t>Change in unearned premiums</w:t>
            </w: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840" w:type="dxa"/>
            <w:vAlign w:val="bottom"/>
            <w:shd w:val="clear" w:color="auto" w:fill="CCEEFF"/>
          </w:tcPr>
          <w:p>
            <w:pPr>
              <w:ind w:left="300"/>
              <w:spacing w:after="0"/>
              <w:rPr>
                <w:sz w:val="20"/>
                <w:szCs w:val="20"/>
                <w:color w:val="auto"/>
              </w:rPr>
            </w:pPr>
            <w:r>
              <w:rPr>
                <w:rFonts w:ascii="Arial" w:cs="Arial" w:eastAsia="Arial" w:hAnsi="Arial"/>
                <w:sz w:val="17"/>
                <w:szCs w:val="17"/>
                <w:color w:val="auto"/>
              </w:rPr>
              <w:t>Direct and assumed</w:t>
            </w: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(628)</w:t>
            </w: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(1,007)</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379</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840" w:type="dxa"/>
            <w:vAlign w:val="bottom"/>
          </w:tcPr>
          <w:p>
            <w:pPr>
              <w:ind w:left="300"/>
              <w:spacing w:after="0"/>
              <w:rPr>
                <w:sz w:val="20"/>
                <w:szCs w:val="20"/>
                <w:color w:val="auto"/>
              </w:rPr>
            </w:pPr>
            <w:r>
              <w:rPr>
                <w:rFonts w:ascii="Arial" w:cs="Arial" w:eastAsia="Arial" w:hAnsi="Arial"/>
                <w:sz w:val="17"/>
                <w:szCs w:val="17"/>
                <w:color w:val="auto"/>
              </w:rPr>
              <w:t>Ceded to quota share treaties</w:t>
            </w: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(137)</w:t>
            </w: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144</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(281)</w:t>
            </w:r>
          </w:p>
        </w:tc>
        <w:tc>
          <w:tcPr>
            <w:tcW w:w="1140" w:type="dxa"/>
            <w:vAlign w:val="bottom"/>
          </w:tcPr>
          <w:p>
            <w:pPr>
              <w:jc w:val="right"/>
              <w:spacing w:after="0"/>
              <w:rPr>
                <w:sz w:val="20"/>
                <w:szCs w:val="20"/>
                <w:color w:val="auto"/>
              </w:rPr>
            </w:pPr>
            <w:r>
              <w:rPr>
                <w:rFonts w:ascii="Arial" w:cs="Arial" w:eastAsia="Arial" w:hAnsi="Arial"/>
                <w:sz w:val="17"/>
                <w:szCs w:val="17"/>
                <w:color w:val="auto"/>
              </w:rPr>
              <w:t>(195.1)%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8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Change in net unearned premiums</w:t>
            </w:r>
          </w:p>
        </w:tc>
        <w:tc>
          <w:tcPr>
            <w:tcW w:w="3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(765)</w:t>
            </w:r>
          </w:p>
        </w:tc>
        <w:tc>
          <w:tcPr>
            <w:tcW w:w="3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(863)</w:t>
            </w: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98</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8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Premiums earned</w:t>
            </w: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840" w:type="dxa"/>
            <w:vAlign w:val="bottom"/>
          </w:tcPr>
          <w:p>
            <w:pPr>
              <w:ind w:left="300"/>
              <w:spacing w:after="0"/>
              <w:rPr>
                <w:sz w:val="20"/>
                <w:szCs w:val="20"/>
                <w:color w:val="auto"/>
              </w:rPr>
            </w:pPr>
            <w:r>
              <w:rPr>
                <w:rFonts w:ascii="Arial" w:cs="Arial" w:eastAsia="Arial" w:hAnsi="Arial"/>
                <w:sz w:val="17"/>
                <w:szCs w:val="17"/>
                <w:color w:val="auto"/>
              </w:rPr>
              <w:t>Direct and assumed</w:t>
            </w:r>
          </w:p>
        </w:tc>
        <w:tc>
          <w:tcPr>
            <w:tcW w:w="300" w:type="dxa"/>
            <w:vAlign w:val="bottom"/>
          </w:tcPr>
          <w:p>
            <w:pPr>
              <w:spacing w:after="0"/>
              <w:rPr>
                <w:sz w:val="18"/>
                <w:szCs w:val="18"/>
                <w:color w:val="auto"/>
              </w:rPr>
            </w:pPr>
          </w:p>
        </w:tc>
        <w:tc>
          <w:tcPr>
            <w:tcW w:w="840" w:type="dxa"/>
            <w:vAlign w:val="bottom"/>
          </w:tcPr>
          <w:p>
            <w:pPr>
              <w:jc w:val="right"/>
              <w:ind w:right="75"/>
              <w:spacing w:after="0"/>
              <w:rPr>
                <w:sz w:val="20"/>
                <w:szCs w:val="20"/>
                <w:color w:val="auto"/>
              </w:rPr>
            </w:pPr>
            <w:r>
              <w:rPr>
                <w:rFonts w:ascii="Arial" w:cs="Arial" w:eastAsia="Arial" w:hAnsi="Arial"/>
                <w:sz w:val="17"/>
                <w:szCs w:val="17"/>
                <w:color w:val="auto"/>
              </w:rPr>
              <w:t>36,861</w:t>
            </w:r>
          </w:p>
        </w:tc>
        <w:tc>
          <w:tcPr>
            <w:tcW w:w="300" w:type="dxa"/>
            <w:vAlign w:val="bottom"/>
          </w:tcPr>
          <w:p>
            <w:pPr>
              <w:spacing w:after="0"/>
              <w:rPr>
                <w:sz w:val="18"/>
                <w:szCs w:val="18"/>
                <w:color w:val="auto"/>
              </w:rPr>
            </w:pPr>
          </w:p>
        </w:tc>
        <w:tc>
          <w:tcPr>
            <w:tcW w:w="840" w:type="dxa"/>
            <w:vAlign w:val="bottom"/>
          </w:tcPr>
          <w:p>
            <w:pPr>
              <w:jc w:val="right"/>
              <w:ind w:right="75"/>
              <w:spacing w:after="0"/>
              <w:rPr>
                <w:sz w:val="20"/>
                <w:szCs w:val="20"/>
                <w:color w:val="auto"/>
              </w:rPr>
            </w:pPr>
            <w:r>
              <w:rPr>
                <w:rFonts w:ascii="Arial" w:cs="Arial" w:eastAsia="Arial" w:hAnsi="Arial"/>
                <w:sz w:val="17"/>
                <w:szCs w:val="17"/>
                <w:color w:val="auto"/>
              </w:rPr>
              <w:t>30,520</w:t>
            </w:r>
          </w:p>
        </w:tc>
        <w:tc>
          <w:tcPr>
            <w:tcW w:w="260" w:type="dxa"/>
            <w:vAlign w:val="bottom"/>
          </w:tcPr>
          <w:p>
            <w:pPr>
              <w:spacing w:after="0"/>
              <w:rPr>
                <w:sz w:val="18"/>
                <w:szCs w:val="18"/>
                <w:color w:val="auto"/>
              </w:rPr>
            </w:pPr>
          </w:p>
        </w:tc>
        <w:tc>
          <w:tcPr>
            <w:tcW w:w="880" w:type="dxa"/>
            <w:vAlign w:val="bottom"/>
          </w:tcPr>
          <w:p>
            <w:pPr>
              <w:jc w:val="right"/>
              <w:ind w:right="75"/>
              <w:spacing w:after="0"/>
              <w:rPr>
                <w:sz w:val="20"/>
                <w:szCs w:val="20"/>
                <w:color w:val="auto"/>
              </w:rPr>
            </w:pPr>
            <w:r>
              <w:rPr>
                <w:rFonts w:ascii="Arial" w:cs="Arial" w:eastAsia="Arial" w:hAnsi="Arial"/>
                <w:sz w:val="17"/>
                <w:szCs w:val="17"/>
                <w:color w:val="auto"/>
              </w:rPr>
              <w:t>6,341</w:t>
            </w:r>
          </w:p>
        </w:tc>
        <w:tc>
          <w:tcPr>
            <w:tcW w:w="1140" w:type="dxa"/>
            <w:vAlign w:val="bottom"/>
          </w:tcPr>
          <w:p>
            <w:pPr>
              <w:jc w:val="right"/>
              <w:spacing w:after="0"/>
              <w:rPr>
                <w:sz w:val="20"/>
                <w:szCs w:val="20"/>
                <w:color w:val="auto"/>
              </w:rPr>
            </w:pPr>
            <w:r>
              <w:rPr>
                <w:rFonts w:ascii="Arial" w:cs="Arial" w:eastAsia="Arial" w:hAnsi="Arial"/>
                <w:sz w:val="17"/>
                <w:szCs w:val="17"/>
                <w:color w:val="auto"/>
              </w:rPr>
              <w:t>20.8%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84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7"/>
                <w:szCs w:val="17"/>
                <w:color w:val="auto"/>
              </w:rPr>
              <w:t>Ceded to reinsurance treaties</w:t>
            </w:r>
          </w:p>
        </w:tc>
        <w:tc>
          <w:tcPr>
            <w:tcW w:w="3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(7,265)</w:t>
            </w:r>
          </w:p>
        </w:tc>
        <w:tc>
          <w:tcPr>
            <w:tcW w:w="3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(7,682)</w:t>
            </w: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417</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840" w:type="dxa"/>
            <w:vAlign w:val="bottom"/>
          </w:tcPr>
          <w:p>
            <w:pPr>
              <w:ind w:left="140"/>
              <w:spacing w:after="0"/>
              <w:rPr>
                <w:sz w:val="20"/>
                <w:szCs w:val="20"/>
                <w:color w:val="auto"/>
              </w:rPr>
            </w:pPr>
            <w:r>
              <w:rPr>
                <w:rFonts w:ascii="Arial" w:cs="Arial" w:eastAsia="Arial" w:hAnsi="Arial"/>
                <w:sz w:val="17"/>
                <w:szCs w:val="17"/>
                <w:color w:val="auto"/>
              </w:rPr>
              <w:t>Net premiums earned</w:t>
            </w:r>
          </w:p>
        </w:tc>
        <w:tc>
          <w:tcPr>
            <w:tcW w:w="300" w:type="dxa"/>
            <w:vAlign w:val="bottom"/>
          </w:tcPr>
          <w:p>
            <w:pPr>
              <w:spacing w:after="0"/>
              <w:rPr>
                <w:sz w:val="18"/>
                <w:szCs w:val="18"/>
                <w:color w:val="auto"/>
              </w:rPr>
            </w:pPr>
          </w:p>
        </w:tc>
        <w:tc>
          <w:tcPr>
            <w:tcW w:w="840" w:type="dxa"/>
            <w:vAlign w:val="bottom"/>
          </w:tcPr>
          <w:p>
            <w:pPr>
              <w:jc w:val="right"/>
              <w:ind w:right="75"/>
              <w:spacing w:after="0"/>
              <w:rPr>
                <w:sz w:val="20"/>
                <w:szCs w:val="20"/>
                <w:color w:val="auto"/>
              </w:rPr>
            </w:pPr>
            <w:r>
              <w:rPr>
                <w:rFonts w:ascii="Arial" w:cs="Arial" w:eastAsia="Arial" w:hAnsi="Arial"/>
                <w:sz w:val="17"/>
                <w:szCs w:val="17"/>
                <w:color w:val="auto"/>
              </w:rPr>
              <w:t>29,596</w:t>
            </w:r>
          </w:p>
        </w:tc>
        <w:tc>
          <w:tcPr>
            <w:tcW w:w="300" w:type="dxa"/>
            <w:vAlign w:val="bottom"/>
          </w:tcPr>
          <w:p>
            <w:pPr>
              <w:spacing w:after="0"/>
              <w:rPr>
                <w:sz w:val="18"/>
                <w:szCs w:val="18"/>
                <w:color w:val="auto"/>
              </w:rPr>
            </w:pPr>
          </w:p>
        </w:tc>
        <w:tc>
          <w:tcPr>
            <w:tcW w:w="840" w:type="dxa"/>
            <w:vAlign w:val="bottom"/>
          </w:tcPr>
          <w:p>
            <w:pPr>
              <w:jc w:val="right"/>
              <w:ind w:right="75"/>
              <w:spacing w:after="0"/>
              <w:rPr>
                <w:sz w:val="20"/>
                <w:szCs w:val="20"/>
                <w:color w:val="auto"/>
              </w:rPr>
            </w:pPr>
            <w:r>
              <w:rPr>
                <w:rFonts w:ascii="Arial" w:cs="Arial" w:eastAsia="Arial" w:hAnsi="Arial"/>
                <w:sz w:val="17"/>
                <w:szCs w:val="17"/>
                <w:color w:val="auto"/>
              </w:rPr>
              <w:t>22,838</w:t>
            </w:r>
          </w:p>
        </w:tc>
        <w:tc>
          <w:tcPr>
            <w:tcW w:w="260" w:type="dxa"/>
            <w:vAlign w:val="bottom"/>
          </w:tcPr>
          <w:p>
            <w:pPr>
              <w:spacing w:after="0"/>
              <w:rPr>
                <w:sz w:val="18"/>
                <w:szCs w:val="18"/>
                <w:color w:val="auto"/>
              </w:rPr>
            </w:pPr>
          </w:p>
        </w:tc>
        <w:tc>
          <w:tcPr>
            <w:tcW w:w="880" w:type="dxa"/>
            <w:vAlign w:val="bottom"/>
          </w:tcPr>
          <w:p>
            <w:pPr>
              <w:jc w:val="right"/>
              <w:ind w:right="75"/>
              <w:spacing w:after="0"/>
              <w:rPr>
                <w:sz w:val="20"/>
                <w:szCs w:val="20"/>
                <w:color w:val="auto"/>
              </w:rPr>
            </w:pPr>
            <w:r>
              <w:rPr>
                <w:rFonts w:ascii="Arial" w:cs="Arial" w:eastAsia="Arial" w:hAnsi="Arial"/>
                <w:sz w:val="17"/>
                <w:szCs w:val="17"/>
                <w:color w:val="auto"/>
              </w:rPr>
              <w:t>6,758</w:t>
            </w:r>
          </w:p>
        </w:tc>
        <w:tc>
          <w:tcPr>
            <w:tcW w:w="1140" w:type="dxa"/>
            <w:vAlign w:val="bottom"/>
          </w:tcPr>
          <w:p>
            <w:pPr>
              <w:jc w:val="right"/>
              <w:spacing w:after="0"/>
              <w:rPr>
                <w:sz w:val="20"/>
                <w:szCs w:val="20"/>
                <w:color w:val="auto"/>
              </w:rPr>
            </w:pPr>
            <w:r>
              <w:rPr>
                <w:rFonts w:ascii="Arial" w:cs="Arial" w:eastAsia="Arial" w:hAnsi="Arial"/>
                <w:sz w:val="17"/>
                <w:szCs w:val="17"/>
                <w:color w:val="auto"/>
              </w:rPr>
              <w:t>29.6%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8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Ceding commission revenue</w:t>
            </w: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840" w:type="dxa"/>
            <w:vAlign w:val="bottom"/>
          </w:tcPr>
          <w:p>
            <w:pPr>
              <w:ind w:left="300"/>
              <w:spacing w:after="0"/>
              <w:rPr>
                <w:sz w:val="20"/>
                <w:szCs w:val="20"/>
                <w:color w:val="auto"/>
              </w:rPr>
            </w:pPr>
            <w:r>
              <w:rPr>
                <w:rFonts w:ascii="Arial" w:cs="Arial" w:eastAsia="Arial" w:hAnsi="Arial"/>
                <w:sz w:val="17"/>
                <w:szCs w:val="17"/>
                <w:color w:val="auto"/>
              </w:rPr>
              <w:t>Excluding the effect of catastrophes</w:t>
            </w:r>
          </w:p>
        </w:tc>
        <w:tc>
          <w:tcPr>
            <w:tcW w:w="300" w:type="dxa"/>
            <w:vAlign w:val="bottom"/>
          </w:tcPr>
          <w:p>
            <w:pPr>
              <w:spacing w:after="0"/>
              <w:rPr>
                <w:sz w:val="18"/>
                <w:szCs w:val="18"/>
                <w:color w:val="auto"/>
              </w:rPr>
            </w:pPr>
          </w:p>
        </w:tc>
        <w:tc>
          <w:tcPr>
            <w:tcW w:w="840" w:type="dxa"/>
            <w:vAlign w:val="bottom"/>
          </w:tcPr>
          <w:p>
            <w:pPr>
              <w:jc w:val="right"/>
              <w:ind w:right="75"/>
              <w:spacing w:after="0"/>
              <w:rPr>
                <w:sz w:val="20"/>
                <w:szCs w:val="20"/>
                <w:color w:val="auto"/>
              </w:rPr>
            </w:pPr>
            <w:r>
              <w:rPr>
                <w:rFonts w:ascii="Arial" w:cs="Arial" w:eastAsia="Arial" w:hAnsi="Arial"/>
                <w:sz w:val="17"/>
                <w:szCs w:val="17"/>
                <w:color w:val="auto"/>
              </w:rPr>
              <w:t>1,278</w:t>
            </w:r>
          </w:p>
        </w:tc>
        <w:tc>
          <w:tcPr>
            <w:tcW w:w="300" w:type="dxa"/>
            <w:vAlign w:val="bottom"/>
          </w:tcPr>
          <w:p>
            <w:pPr>
              <w:spacing w:after="0"/>
              <w:rPr>
                <w:sz w:val="18"/>
                <w:szCs w:val="18"/>
                <w:color w:val="auto"/>
              </w:rPr>
            </w:pPr>
          </w:p>
        </w:tc>
        <w:tc>
          <w:tcPr>
            <w:tcW w:w="840" w:type="dxa"/>
            <w:vAlign w:val="bottom"/>
          </w:tcPr>
          <w:p>
            <w:pPr>
              <w:jc w:val="right"/>
              <w:ind w:right="75"/>
              <w:spacing w:after="0"/>
              <w:rPr>
                <w:sz w:val="20"/>
                <w:szCs w:val="20"/>
                <w:color w:val="auto"/>
              </w:rPr>
            </w:pPr>
            <w:r>
              <w:rPr>
                <w:rFonts w:ascii="Arial" w:cs="Arial" w:eastAsia="Arial" w:hAnsi="Arial"/>
                <w:sz w:val="17"/>
                <w:szCs w:val="17"/>
                <w:color w:val="auto"/>
              </w:rPr>
              <w:t>2,029</w:t>
            </w:r>
          </w:p>
        </w:tc>
        <w:tc>
          <w:tcPr>
            <w:tcW w:w="260" w:type="dxa"/>
            <w:vAlign w:val="bottom"/>
          </w:tcPr>
          <w:p>
            <w:pPr>
              <w:spacing w:after="0"/>
              <w:rPr>
                <w:sz w:val="18"/>
                <w:szCs w:val="18"/>
                <w:color w:val="auto"/>
              </w:rPr>
            </w:pPr>
          </w:p>
        </w:tc>
        <w:tc>
          <w:tcPr>
            <w:tcW w:w="880" w:type="dxa"/>
            <w:vAlign w:val="bottom"/>
          </w:tcPr>
          <w:p>
            <w:pPr>
              <w:jc w:val="right"/>
              <w:ind w:right="15"/>
              <w:spacing w:after="0"/>
              <w:rPr>
                <w:sz w:val="20"/>
                <w:szCs w:val="20"/>
                <w:color w:val="auto"/>
              </w:rPr>
            </w:pPr>
            <w:r>
              <w:rPr>
                <w:rFonts w:ascii="Arial" w:cs="Arial" w:eastAsia="Arial" w:hAnsi="Arial"/>
                <w:sz w:val="17"/>
                <w:szCs w:val="17"/>
                <w:color w:val="auto"/>
              </w:rPr>
              <w:t>(751)</w:t>
            </w:r>
          </w:p>
        </w:tc>
        <w:tc>
          <w:tcPr>
            <w:tcW w:w="1140" w:type="dxa"/>
            <w:vAlign w:val="bottom"/>
          </w:tcPr>
          <w:p>
            <w:pPr>
              <w:jc w:val="right"/>
              <w:spacing w:after="0"/>
              <w:rPr>
                <w:sz w:val="20"/>
                <w:szCs w:val="20"/>
                <w:color w:val="auto"/>
              </w:rPr>
            </w:pPr>
            <w:r>
              <w:rPr>
                <w:rFonts w:ascii="Arial" w:cs="Arial" w:eastAsia="Arial" w:hAnsi="Arial"/>
                <w:sz w:val="17"/>
                <w:szCs w:val="17"/>
                <w:color w:val="auto"/>
              </w:rPr>
              <w:t>(37.0)%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84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7"/>
                <w:szCs w:val="17"/>
                <w:color w:val="auto"/>
              </w:rPr>
              <w:t>Effect of catastrophes</w:t>
            </w:r>
          </w:p>
        </w:tc>
        <w:tc>
          <w:tcPr>
            <w:tcW w:w="3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(334)</w:t>
            </w: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334</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n/a%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840" w:type="dxa"/>
            <w:vAlign w:val="bottom"/>
          </w:tcPr>
          <w:p>
            <w:pPr>
              <w:ind w:left="140"/>
              <w:spacing w:after="0"/>
              <w:rPr>
                <w:sz w:val="20"/>
                <w:szCs w:val="20"/>
                <w:color w:val="auto"/>
              </w:rPr>
            </w:pPr>
            <w:r>
              <w:rPr>
                <w:rFonts w:ascii="Arial" w:cs="Arial" w:eastAsia="Arial" w:hAnsi="Arial"/>
                <w:sz w:val="17"/>
                <w:szCs w:val="17"/>
                <w:color w:val="auto"/>
              </w:rPr>
              <w:t>Total ceding commission revenue</w:t>
            </w:r>
          </w:p>
        </w:tc>
        <w:tc>
          <w:tcPr>
            <w:tcW w:w="300" w:type="dxa"/>
            <w:vAlign w:val="bottom"/>
          </w:tcPr>
          <w:p>
            <w:pPr>
              <w:spacing w:after="0"/>
              <w:rPr>
                <w:sz w:val="18"/>
                <w:szCs w:val="18"/>
                <w:color w:val="auto"/>
              </w:rPr>
            </w:pPr>
          </w:p>
        </w:tc>
        <w:tc>
          <w:tcPr>
            <w:tcW w:w="840" w:type="dxa"/>
            <w:vAlign w:val="bottom"/>
          </w:tcPr>
          <w:p>
            <w:pPr>
              <w:jc w:val="right"/>
              <w:ind w:right="75"/>
              <w:spacing w:after="0"/>
              <w:rPr>
                <w:sz w:val="20"/>
                <w:szCs w:val="20"/>
                <w:color w:val="auto"/>
              </w:rPr>
            </w:pPr>
            <w:r>
              <w:rPr>
                <w:rFonts w:ascii="Arial" w:cs="Arial" w:eastAsia="Arial" w:hAnsi="Arial"/>
                <w:sz w:val="17"/>
                <w:szCs w:val="17"/>
                <w:color w:val="auto"/>
              </w:rPr>
              <w:t>1,278</w:t>
            </w:r>
          </w:p>
        </w:tc>
        <w:tc>
          <w:tcPr>
            <w:tcW w:w="300" w:type="dxa"/>
            <w:vAlign w:val="bottom"/>
          </w:tcPr>
          <w:p>
            <w:pPr>
              <w:spacing w:after="0"/>
              <w:rPr>
                <w:sz w:val="18"/>
                <w:szCs w:val="18"/>
                <w:color w:val="auto"/>
              </w:rPr>
            </w:pPr>
          </w:p>
        </w:tc>
        <w:tc>
          <w:tcPr>
            <w:tcW w:w="840" w:type="dxa"/>
            <w:vAlign w:val="bottom"/>
          </w:tcPr>
          <w:p>
            <w:pPr>
              <w:jc w:val="right"/>
              <w:ind w:right="75"/>
              <w:spacing w:after="0"/>
              <w:rPr>
                <w:sz w:val="20"/>
                <w:szCs w:val="20"/>
                <w:color w:val="auto"/>
              </w:rPr>
            </w:pPr>
            <w:r>
              <w:rPr>
                <w:rFonts w:ascii="Arial" w:cs="Arial" w:eastAsia="Arial" w:hAnsi="Arial"/>
                <w:sz w:val="17"/>
                <w:szCs w:val="17"/>
                <w:color w:val="auto"/>
              </w:rPr>
              <w:t>1,695</w:t>
            </w:r>
          </w:p>
        </w:tc>
        <w:tc>
          <w:tcPr>
            <w:tcW w:w="260" w:type="dxa"/>
            <w:vAlign w:val="bottom"/>
          </w:tcPr>
          <w:p>
            <w:pPr>
              <w:spacing w:after="0"/>
              <w:rPr>
                <w:sz w:val="18"/>
                <w:szCs w:val="18"/>
                <w:color w:val="auto"/>
              </w:rPr>
            </w:pPr>
          </w:p>
        </w:tc>
        <w:tc>
          <w:tcPr>
            <w:tcW w:w="880" w:type="dxa"/>
            <w:vAlign w:val="bottom"/>
          </w:tcPr>
          <w:p>
            <w:pPr>
              <w:jc w:val="right"/>
              <w:ind w:right="15"/>
              <w:spacing w:after="0"/>
              <w:rPr>
                <w:sz w:val="20"/>
                <w:szCs w:val="20"/>
                <w:color w:val="auto"/>
              </w:rPr>
            </w:pPr>
            <w:r>
              <w:rPr>
                <w:rFonts w:ascii="Arial" w:cs="Arial" w:eastAsia="Arial" w:hAnsi="Arial"/>
                <w:sz w:val="17"/>
                <w:szCs w:val="17"/>
                <w:color w:val="auto"/>
              </w:rPr>
              <w:t>(417)</w:t>
            </w:r>
          </w:p>
        </w:tc>
        <w:tc>
          <w:tcPr>
            <w:tcW w:w="1140" w:type="dxa"/>
            <w:vAlign w:val="bottom"/>
          </w:tcPr>
          <w:p>
            <w:pPr>
              <w:jc w:val="right"/>
              <w:spacing w:after="0"/>
              <w:rPr>
                <w:sz w:val="20"/>
                <w:szCs w:val="20"/>
                <w:color w:val="auto"/>
              </w:rPr>
            </w:pPr>
            <w:r>
              <w:rPr>
                <w:rFonts w:ascii="Arial" w:cs="Arial" w:eastAsia="Arial" w:hAnsi="Arial"/>
                <w:sz w:val="17"/>
                <w:szCs w:val="17"/>
                <w:color w:val="auto"/>
              </w:rPr>
              <w:t>(24.6)%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8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Net investment income</w:t>
            </w: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1,624</w:t>
            </w: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1,384</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240</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840" w:type="dxa"/>
            <w:vAlign w:val="bottom"/>
          </w:tcPr>
          <w:p>
            <w:pPr>
              <w:ind w:left="140"/>
              <w:spacing w:after="0"/>
              <w:rPr>
                <w:sz w:val="20"/>
                <w:szCs w:val="20"/>
                <w:color w:val="auto"/>
              </w:rPr>
            </w:pPr>
            <w:r>
              <w:rPr>
                <w:rFonts w:ascii="Arial" w:cs="Arial" w:eastAsia="Arial" w:hAnsi="Arial"/>
                <w:sz w:val="17"/>
                <w:szCs w:val="17"/>
                <w:color w:val="auto"/>
              </w:rPr>
              <w:t>Net gains (losses) on investments</w:t>
            </w:r>
          </w:p>
        </w:tc>
        <w:tc>
          <w:tcPr>
            <w:tcW w:w="300" w:type="dxa"/>
            <w:vAlign w:val="bottom"/>
          </w:tcPr>
          <w:p>
            <w:pPr>
              <w:spacing w:after="0"/>
              <w:rPr>
                <w:sz w:val="18"/>
                <w:szCs w:val="18"/>
                <w:color w:val="auto"/>
              </w:rPr>
            </w:pPr>
          </w:p>
        </w:tc>
        <w:tc>
          <w:tcPr>
            <w:tcW w:w="840" w:type="dxa"/>
            <w:vAlign w:val="bottom"/>
          </w:tcPr>
          <w:p>
            <w:pPr>
              <w:jc w:val="right"/>
              <w:ind w:right="75"/>
              <w:spacing w:after="0"/>
              <w:rPr>
                <w:sz w:val="20"/>
                <w:szCs w:val="20"/>
                <w:color w:val="auto"/>
              </w:rPr>
            </w:pPr>
            <w:r>
              <w:rPr>
                <w:rFonts w:ascii="Arial" w:cs="Arial" w:eastAsia="Arial" w:hAnsi="Arial"/>
                <w:sz w:val="17"/>
                <w:szCs w:val="17"/>
                <w:color w:val="auto"/>
              </w:rPr>
              <w:t>2,035</w:t>
            </w:r>
          </w:p>
        </w:tc>
        <w:tc>
          <w:tcPr>
            <w:tcW w:w="300" w:type="dxa"/>
            <w:vAlign w:val="bottom"/>
          </w:tcPr>
          <w:p>
            <w:pPr>
              <w:spacing w:after="0"/>
              <w:rPr>
                <w:sz w:val="18"/>
                <w:szCs w:val="18"/>
                <w:color w:val="auto"/>
              </w:rPr>
            </w:pPr>
          </w:p>
        </w:tc>
        <w:tc>
          <w:tcPr>
            <w:tcW w:w="840" w:type="dxa"/>
            <w:vAlign w:val="bottom"/>
          </w:tcPr>
          <w:p>
            <w:pPr>
              <w:jc w:val="right"/>
              <w:ind w:right="15"/>
              <w:spacing w:after="0"/>
              <w:rPr>
                <w:sz w:val="20"/>
                <w:szCs w:val="20"/>
                <w:color w:val="auto"/>
              </w:rPr>
            </w:pPr>
            <w:r>
              <w:rPr>
                <w:rFonts w:ascii="Arial" w:cs="Arial" w:eastAsia="Arial" w:hAnsi="Arial"/>
                <w:sz w:val="17"/>
                <w:szCs w:val="17"/>
                <w:color w:val="auto"/>
              </w:rPr>
              <w:t>(523)</w:t>
            </w:r>
          </w:p>
        </w:tc>
        <w:tc>
          <w:tcPr>
            <w:tcW w:w="260" w:type="dxa"/>
            <w:vAlign w:val="bottom"/>
          </w:tcPr>
          <w:p>
            <w:pPr>
              <w:spacing w:after="0"/>
              <w:rPr>
                <w:sz w:val="18"/>
                <w:szCs w:val="18"/>
                <w:color w:val="auto"/>
              </w:rPr>
            </w:pPr>
          </w:p>
        </w:tc>
        <w:tc>
          <w:tcPr>
            <w:tcW w:w="880" w:type="dxa"/>
            <w:vAlign w:val="bottom"/>
          </w:tcPr>
          <w:p>
            <w:pPr>
              <w:jc w:val="right"/>
              <w:ind w:right="75"/>
              <w:spacing w:after="0"/>
              <w:rPr>
                <w:sz w:val="20"/>
                <w:szCs w:val="20"/>
                <w:color w:val="auto"/>
              </w:rPr>
            </w:pPr>
            <w:r>
              <w:rPr>
                <w:rFonts w:ascii="Arial" w:cs="Arial" w:eastAsia="Arial" w:hAnsi="Arial"/>
                <w:sz w:val="17"/>
                <w:szCs w:val="17"/>
                <w:color w:val="auto"/>
              </w:rPr>
              <w:t>2,558</w:t>
            </w:r>
          </w:p>
        </w:tc>
        <w:tc>
          <w:tcPr>
            <w:tcW w:w="1140" w:type="dxa"/>
            <w:vAlign w:val="bottom"/>
          </w:tcPr>
          <w:p>
            <w:pPr>
              <w:jc w:val="right"/>
              <w:spacing w:after="0"/>
              <w:rPr>
                <w:sz w:val="20"/>
                <w:szCs w:val="20"/>
                <w:color w:val="auto"/>
              </w:rPr>
            </w:pPr>
            <w:r>
              <w:rPr>
                <w:rFonts w:ascii="Arial" w:cs="Arial" w:eastAsia="Arial" w:hAnsi="Arial"/>
                <w:sz w:val="17"/>
                <w:szCs w:val="17"/>
                <w:color w:val="auto"/>
              </w:rPr>
              <w:t>(489.1)%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8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Other income</w:t>
            </w:r>
          </w:p>
        </w:tc>
        <w:tc>
          <w:tcPr>
            <w:tcW w:w="3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366</w:t>
            </w:r>
          </w:p>
        </w:tc>
        <w:tc>
          <w:tcPr>
            <w:tcW w:w="3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308</w:t>
            </w: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58</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18.8%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840" w:type="dxa"/>
            <w:vAlign w:val="bottom"/>
          </w:tcPr>
          <w:p>
            <w:pPr>
              <w:ind w:left="300"/>
              <w:spacing w:after="0"/>
              <w:rPr>
                <w:sz w:val="20"/>
                <w:szCs w:val="20"/>
                <w:color w:val="auto"/>
              </w:rPr>
            </w:pPr>
            <w:r>
              <w:rPr>
                <w:rFonts w:ascii="Arial" w:cs="Arial" w:eastAsia="Arial" w:hAnsi="Arial"/>
                <w:sz w:val="17"/>
                <w:szCs w:val="17"/>
                <w:color w:val="auto"/>
              </w:rPr>
              <w:t>Total revenues</w:t>
            </w: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34,899</w:t>
            </w: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25,702</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9,197</w:t>
            </w:r>
          </w:p>
        </w:tc>
        <w:tc>
          <w:tcPr>
            <w:tcW w:w="1140" w:type="dxa"/>
            <w:vAlign w:val="bottom"/>
          </w:tcPr>
          <w:p>
            <w:pPr>
              <w:jc w:val="right"/>
              <w:spacing w:after="0"/>
              <w:rPr>
                <w:sz w:val="20"/>
                <w:szCs w:val="20"/>
                <w:color w:val="auto"/>
              </w:rPr>
            </w:pPr>
            <w:r>
              <w:rPr>
                <w:rFonts w:ascii="Arial" w:cs="Arial" w:eastAsia="Arial" w:hAnsi="Arial"/>
                <w:sz w:val="17"/>
                <w:szCs w:val="17"/>
                <w:color w:val="auto"/>
              </w:rPr>
              <w:t>35.8%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Expenses</w:t>
            </w: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840" w:type="dxa"/>
            <w:vAlign w:val="bottom"/>
          </w:tcPr>
          <w:p>
            <w:pPr>
              <w:ind w:left="140"/>
              <w:spacing w:after="0"/>
              <w:rPr>
                <w:sz w:val="20"/>
                <w:szCs w:val="20"/>
                <w:color w:val="auto"/>
              </w:rPr>
            </w:pPr>
            <w:r>
              <w:rPr>
                <w:rFonts w:ascii="Arial" w:cs="Arial" w:eastAsia="Arial" w:hAnsi="Arial"/>
                <w:sz w:val="17"/>
                <w:szCs w:val="17"/>
                <w:color w:val="auto"/>
              </w:rPr>
              <w:t>Loss and loss adjustment expenses</w:t>
            </w: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840" w:type="dxa"/>
            <w:vAlign w:val="bottom"/>
            <w:shd w:val="clear" w:color="auto" w:fill="CCEEFF"/>
          </w:tcPr>
          <w:p>
            <w:pPr>
              <w:ind w:left="300"/>
              <w:spacing w:after="0"/>
              <w:rPr>
                <w:sz w:val="20"/>
                <w:szCs w:val="20"/>
                <w:color w:val="auto"/>
              </w:rPr>
            </w:pPr>
            <w:r>
              <w:rPr>
                <w:rFonts w:ascii="Arial" w:cs="Arial" w:eastAsia="Arial" w:hAnsi="Arial"/>
                <w:sz w:val="17"/>
                <w:szCs w:val="17"/>
                <w:color w:val="auto"/>
              </w:rPr>
              <w:t>Direct and assumed:</w:t>
            </w: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840" w:type="dxa"/>
            <w:vAlign w:val="bottom"/>
          </w:tcPr>
          <w:p>
            <w:pPr>
              <w:ind w:left="300"/>
              <w:spacing w:after="0"/>
              <w:rPr>
                <w:sz w:val="20"/>
                <w:szCs w:val="20"/>
                <w:color w:val="auto"/>
              </w:rPr>
            </w:pPr>
            <w:r>
              <w:rPr>
                <w:rFonts w:ascii="Arial" w:cs="Arial" w:eastAsia="Arial" w:hAnsi="Arial"/>
                <w:sz w:val="17"/>
                <w:szCs w:val="17"/>
                <w:color w:val="auto"/>
              </w:rPr>
              <w:t>Loss and loss adjustment expenses excluding the effect of catastrophes</w:t>
            </w:r>
          </w:p>
        </w:tc>
        <w:tc>
          <w:tcPr>
            <w:tcW w:w="300" w:type="dxa"/>
            <w:vAlign w:val="bottom"/>
          </w:tcPr>
          <w:p>
            <w:pPr>
              <w:spacing w:after="0"/>
              <w:rPr>
                <w:sz w:val="18"/>
                <w:szCs w:val="18"/>
                <w:color w:val="auto"/>
              </w:rPr>
            </w:pPr>
          </w:p>
        </w:tc>
        <w:tc>
          <w:tcPr>
            <w:tcW w:w="840" w:type="dxa"/>
            <w:vAlign w:val="bottom"/>
          </w:tcPr>
          <w:p>
            <w:pPr>
              <w:jc w:val="right"/>
              <w:ind w:right="75"/>
              <w:spacing w:after="0"/>
              <w:rPr>
                <w:sz w:val="20"/>
                <w:szCs w:val="20"/>
                <w:color w:val="auto"/>
              </w:rPr>
            </w:pPr>
            <w:r>
              <w:rPr>
                <w:rFonts w:ascii="Arial" w:cs="Arial" w:eastAsia="Arial" w:hAnsi="Arial"/>
                <w:sz w:val="17"/>
                <w:szCs w:val="17"/>
                <w:color w:val="auto"/>
              </w:rPr>
              <w:t>26,643</w:t>
            </w:r>
          </w:p>
        </w:tc>
        <w:tc>
          <w:tcPr>
            <w:tcW w:w="300" w:type="dxa"/>
            <w:vAlign w:val="bottom"/>
          </w:tcPr>
          <w:p>
            <w:pPr>
              <w:spacing w:after="0"/>
              <w:rPr>
                <w:sz w:val="18"/>
                <w:szCs w:val="18"/>
                <w:color w:val="auto"/>
              </w:rPr>
            </w:pPr>
          </w:p>
        </w:tc>
        <w:tc>
          <w:tcPr>
            <w:tcW w:w="840" w:type="dxa"/>
            <w:vAlign w:val="bottom"/>
          </w:tcPr>
          <w:p>
            <w:pPr>
              <w:jc w:val="right"/>
              <w:ind w:right="75"/>
              <w:spacing w:after="0"/>
              <w:rPr>
                <w:sz w:val="20"/>
                <w:szCs w:val="20"/>
                <w:color w:val="auto"/>
              </w:rPr>
            </w:pPr>
            <w:r>
              <w:rPr>
                <w:rFonts w:ascii="Arial" w:cs="Arial" w:eastAsia="Arial" w:hAnsi="Arial"/>
                <w:sz w:val="17"/>
                <w:szCs w:val="17"/>
                <w:color w:val="auto"/>
              </w:rPr>
              <w:t>12,541</w:t>
            </w:r>
          </w:p>
        </w:tc>
        <w:tc>
          <w:tcPr>
            <w:tcW w:w="260" w:type="dxa"/>
            <w:vAlign w:val="bottom"/>
          </w:tcPr>
          <w:p>
            <w:pPr>
              <w:spacing w:after="0"/>
              <w:rPr>
                <w:sz w:val="18"/>
                <w:szCs w:val="18"/>
                <w:color w:val="auto"/>
              </w:rPr>
            </w:pPr>
          </w:p>
        </w:tc>
        <w:tc>
          <w:tcPr>
            <w:tcW w:w="880" w:type="dxa"/>
            <w:vAlign w:val="bottom"/>
          </w:tcPr>
          <w:p>
            <w:pPr>
              <w:jc w:val="right"/>
              <w:ind w:right="75"/>
              <w:spacing w:after="0"/>
              <w:rPr>
                <w:sz w:val="20"/>
                <w:szCs w:val="20"/>
                <w:color w:val="auto"/>
              </w:rPr>
            </w:pPr>
            <w:r>
              <w:rPr>
                <w:rFonts w:ascii="Arial" w:cs="Arial" w:eastAsia="Arial" w:hAnsi="Arial"/>
                <w:sz w:val="17"/>
                <w:szCs w:val="17"/>
                <w:color w:val="auto"/>
              </w:rPr>
              <w:t>14,102</w:t>
            </w:r>
          </w:p>
        </w:tc>
        <w:tc>
          <w:tcPr>
            <w:tcW w:w="1140" w:type="dxa"/>
            <w:vAlign w:val="bottom"/>
          </w:tcPr>
          <w:p>
            <w:pPr>
              <w:jc w:val="right"/>
              <w:spacing w:after="0"/>
              <w:rPr>
                <w:sz w:val="20"/>
                <w:szCs w:val="20"/>
                <w:color w:val="auto"/>
              </w:rPr>
            </w:pPr>
            <w:r>
              <w:rPr>
                <w:rFonts w:ascii="Arial" w:cs="Arial" w:eastAsia="Arial" w:hAnsi="Arial"/>
                <w:sz w:val="17"/>
                <w:szCs w:val="17"/>
                <w:color w:val="auto"/>
              </w:rPr>
              <w:t>112.4%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84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7"/>
                <w:szCs w:val="17"/>
                <w:color w:val="auto"/>
              </w:rPr>
              <w:t>Losses from catastrophes (2)</w:t>
            </w:r>
          </w:p>
        </w:tc>
        <w:tc>
          <w:tcPr>
            <w:tcW w:w="3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5,627</w:t>
            </w:r>
          </w:p>
        </w:tc>
        <w:tc>
          <w:tcPr>
            <w:tcW w:w="3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10,337</w:t>
            </w: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(4,710)</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(45.6)%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840" w:type="dxa"/>
            <w:vAlign w:val="bottom"/>
          </w:tcPr>
          <w:p>
            <w:pPr>
              <w:ind w:left="300"/>
              <w:spacing w:after="0"/>
              <w:rPr>
                <w:sz w:val="20"/>
                <w:szCs w:val="20"/>
                <w:color w:val="auto"/>
              </w:rPr>
            </w:pPr>
            <w:r>
              <w:rPr>
                <w:rFonts w:ascii="Arial" w:cs="Arial" w:eastAsia="Arial" w:hAnsi="Arial"/>
                <w:sz w:val="17"/>
                <w:szCs w:val="17"/>
                <w:color w:val="auto"/>
              </w:rPr>
              <w:t>Total direct and assumed loss and loss adjustment expenses</w:t>
            </w: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32,270</w:t>
            </w: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22,878</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9,392</w:t>
            </w:r>
          </w:p>
        </w:tc>
        <w:tc>
          <w:tcPr>
            <w:tcW w:w="1140" w:type="dxa"/>
            <w:vAlign w:val="bottom"/>
          </w:tcPr>
          <w:p>
            <w:pPr>
              <w:jc w:val="right"/>
              <w:spacing w:after="0"/>
              <w:rPr>
                <w:sz w:val="20"/>
                <w:szCs w:val="20"/>
                <w:color w:val="auto"/>
              </w:rPr>
            </w:pPr>
            <w:r>
              <w:rPr>
                <w:rFonts w:ascii="Arial" w:cs="Arial" w:eastAsia="Arial" w:hAnsi="Arial"/>
                <w:sz w:val="17"/>
                <w:szCs w:val="17"/>
                <w:color w:val="auto"/>
              </w:rPr>
              <w:t>41.1%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840" w:type="dxa"/>
            <w:vAlign w:val="bottom"/>
          </w:tcPr>
          <w:p>
            <w:pPr>
              <w:ind w:left="300"/>
              <w:spacing w:after="0"/>
              <w:rPr>
                <w:sz w:val="20"/>
                <w:szCs w:val="20"/>
                <w:color w:val="auto"/>
              </w:rPr>
            </w:pPr>
            <w:r>
              <w:rPr>
                <w:rFonts w:ascii="Arial" w:cs="Arial" w:eastAsia="Arial" w:hAnsi="Arial"/>
                <w:sz w:val="17"/>
                <w:szCs w:val="17"/>
                <w:color w:val="auto"/>
              </w:rPr>
              <w:t>Ceded loss and loss adjustment expenses:</w:t>
            </w: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840" w:type="dxa"/>
            <w:vAlign w:val="bottom"/>
            <w:shd w:val="clear" w:color="auto" w:fill="CCEEFF"/>
          </w:tcPr>
          <w:p>
            <w:pPr>
              <w:ind w:left="300"/>
              <w:spacing w:after="0"/>
              <w:rPr>
                <w:sz w:val="20"/>
                <w:szCs w:val="20"/>
                <w:color w:val="auto"/>
              </w:rPr>
            </w:pPr>
            <w:r>
              <w:rPr>
                <w:rFonts w:ascii="Arial" w:cs="Arial" w:eastAsia="Arial" w:hAnsi="Arial"/>
                <w:sz w:val="17"/>
                <w:szCs w:val="17"/>
                <w:color w:val="auto"/>
              </w:rPr>
              <w:t>Loss and loss adjustment expenses excluding the effect of catastrophes</w:t>
            </w: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2,572</w:t>
            </w: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821</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1,751</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213.3%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840" w:type="dxa"/>
            <w:vAlign w:val="bottom"/>
          </w:tcPr>
          <w:p>
            <w:pPr>
              <w:ind w:left="300"/>
              <w:spacing w:after="0"/>
              <w:rPr>
                <w:sz w:val="20"/>
                <w:szCs w:val="20"/>
                <w:color w:val="auto"/>
              </w:rPr>
            </w:pPr>
            <w:r>
              <w:rPr>
                <w:rFonts w:ascii="Arial" w:cs="Arial" w:eastAsia="Arial" w:hAnsi="Arial"/>
                <w:sz w:val="17"/>
                <w:szCs w:val="17"/>
                <w:color w:val="auto"/>
              </w:rPr>
              <w:t>Losses from catastrophes (2)</w:t>
            </w: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564</w:t>
            </w: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4,791</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(4,227)</w:t>
            </w:r>
          </w:p>
        </w:tc>
        <w:tc>
          <w:tcPr>
            <w:tcW w:w="1140" w:type="dxa"/>
            <w:vAlign w:val="bottom"/>
          </w:tcPr>
          <w:p>
            <w:pPr>
              <w:jc w:val="right"/>
              <w:spacing w:after="0"/>
              <w:rPr>
                <w:sz w:val="20"/>
                <w:szCs w:val="20"/>
                <w:color w:val="auto"/>
              </w:rPr>
            </w:pPr>
            <w:r>
              <w:rPr>
                <w:rFonts w:ascii="Arial" w:cs="Arial" w:eastAsia="Arial" w:hAnsi="Arial"/>
                <w:sz w:val="17"/>
                <w:szCs w:val="17"/>
                <w:color w:val="auto"/>
              </w:rPr>
              <w:t>(88.2)%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84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7"/>
                <w:szCs w:val="17"/>
                <w:color w:val="auto"/>
              </w:rPr>
              <w:t>Total ceded loss and loss adjustment expenses</w:t>
            </w:r>
          </w:p>
        </w:tc>
        <w:tc>
          <w:tcPr>
            <w:tcW w:w="3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3,136</w:t>
            </w:r>
          </w:p>
        </w:tc>
        <w:tc>
          <w:tcPr>
            <w:tcW w:w="3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5,612</w:t>
            </w: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(2,476)</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(44.1)%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840" w:type="dxa"/>
            <w:vAlign w:val="bottom"/>
            <w:shd w:val="clear" w:color="auto" w:fill="CCEEFF"/>
          </w:tcPr>
          <w:p>
            <w:pPr>
              <w:ind w:left="300"/>
              <w:spacing w:after="0"/>
              <w:rPr>
                <w:sz w:val="20"/>
                <w:szCs w:val="20"/>
                <w:color w:val="auto"/>
              </w:rPr>
            </w:pPr>
            <w:r>
              <w:rPr>
                <w:rFonts w:ascii="Arial" w:cs="Arial" w:eastAsia="Arial" w:hAnsi="Arial"/>
                <w:sz w:val="17"/>
                <w:szCs w:val="17"/>
                <w:color w:val="auto"/>
              </w:rPr>
              <w:t>Net loss and loss adjustment expenses:</w:t>
            </w: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840" w:type="dxa"/>
            <w:vAlign w:val="bottom"/>
          </w:tcPr>
          <w:p>
            <w:pPr>
              <w:ind w:left="300"/>
              <w:spacing w:after="0"/>
              <w:rPr>
                <w:sz w:val="20"/>
                <w:szCs w:val="20"/>
                <w:color w:val="auto"/>
              </w:rPr>
            </w:pPr>
            <w:r>
              <w:rPr>
                <w:rFonts w:ascii="Arial" w:cs="Arial" w:eastAsia="Arial" w:hAnsi="Arial"/>
                <w:sz w:val="17"/>
                <w:szCs w:val="17"/>
                <w:color w:val="auto"/>
              </w:rPr>
              <w:t>Loss and loss adjustment expenses excluding the effect of catastrophes</w:t>
            </w:r>
          </w:p>
        </w:tc>
        <w:tc>
          <w:tcPr>
            <w:tcW w:w="300" w:type="dxa"/>
            <w:vAlign w:val="bottom"/>
          </w:tcPr>
          <w:p>
            <w:pPr>
              <w:spacing w:after="0"/>
              <w:rPr>
                <w:sz w:val="18"/>
                <w:szCs w:val="18"/>
                <w:color w:val="auto"/>
              </w:rPr>
            </w:pPr>
          </w:p>
        </w:tc>
        <w:tc>
          <w:tcPr>
            <w:tcW w:w="840" w:type="dxa"/>
            <w:vAlign w:val="bottom"/>
          </w:tcPr>
          <w:p>
            <w:pPr>
              <w:jc w:val="right"/>
              <w:ind w:right="75"/>
              <w:spacing w:after="0"/>
              <w:rPr>
                <w:sz w:val="20"/>
                <w:szCs w:val="20"/>
                <w:color w:val="auto"/>
              </w:rPr>
            </w:pPr>
            <w:r>
              <w:rPr>
                <w:rFonts w:ascii="Arial" w:cs="Arial" w:eastAsia="Arial" w:hAnsi="Arial"/>
                <w:sz w:val="17"/>
                <w:szCs w:val="17"/>
                <w:color w:val="auto"/>
              </w:rPr>
              <w:t>24,071</w:t>
            </w:r>
          </w:p>
        </w:tc>
        <w:tc>
          <w:tcPr>
            <w:tcW w:w="300" w:type="dxa"/>
            <w:vAlign w:val="bottom"/>
          </w:tcPr>
          <w:p>
            <w:pPr>
              <w:spacing w:after="0"/>
              <w:rPr>
                <w:sz w:val="18"/>
                <w:szCs w:val="18"/>
                <w:color w:val="auto"/>
              </w:rPr>
            </w:pPr>
          </w:p>
        </w:tc>
        <w:tc>
          <w:tcPr>
            <w:tcW w:w="840" w:type="dxa"/>
            <w:vAlign w:val="bottom"/>
          </w:tcPr>
          <w:p>
            <w:pPr>
              <w:jc w:val="right"/>
              <w:ind w:right="75"/>
              <w:spacing w:after="0"/>
              <w:rPr>
                <w:sz w:val="20"/>
                <w:szCs w:val="20"/>
                <w:color w:val="auto"/>
              </w:rPr>
            </w:pPr>
            <w:r>
              <w:rPr>
                <w:rFonts w:ascii="Arial" w:cs="Arial" w:eastAsia="Arial" w:hAnsi="Arial"/>
                <w:sz w:val="17"/>
                <w:szCs w:val="17"/>
                <w:color w:val="auto"/>
              </w:rPr>
              <w:t>11,720</w:t>
            </w:r>
          </w:p>
        </w:tc>
        <w:tc>
          <w:tcPr>
            <w:tcW w:w="260" w:type="dxa"/>
            <w:vAlign w:val="bottom"/>
          </w:tcPr>
          <w:p>
            <w:pPr>
              <w:spacing w:after="0"/>
              <w:rPr>
                <w:sz w:val="18"/>
                <w:szCs w:val="18"/>
                <w:color w:val="auto"/>
              </w:rPr>
            </w:pPr>
          </w:p>
        </w:tc>
        <w:tc>
          <w:tcPr>
            <w:tcW w:w="880" w:type="dxa"/>
            <w:vAlign w:val="bottom"/>
          </w:tcPr>
          <w:p>
            <w:pPr>
              <w:jc w:val="right"/>
              <w:ind w:right="75"/>
              <w:spacing w:after="0"/>
              <w:rPr>
                <w:sz w:val="20"/>
                <w:szCs w:val="20"/>
                <w:color w:val="auto"/>
              </w:rPr>
            </w:pPr>
            <w:r>
              <w:rPr>
                <w:rFonts w:ascii="Arial" w:cs="Arial" w:eastAsia="Arial" w:hAnsi="Arial"/>
                <w:sz w:val="17"/>
                <w:szCs w:val="17"/>
                <w:color w:val="auto"/>
              </w:rPr>
              <w:t>12,351</w:t>
            </w:r>
          </w:p>
        </w:tc>
        <w:tc>
          <w:tcPr>
            <w:tcW w:w="1140" w:type="dxa"/>
            <w:vAlign w:val="bottom"/>
          </w:tcPr>
          <w:p>
            <w:pPr>
              <w:jc w:val="right"/>
              <w:spacing w:after="0"/>
              <w:rPr>
                <w:sz w:val="20"/>
                <w:szCs w:val="20"/>
                <w:color w:val="auto"/>
              </w:rPr>
            </w:pPr>
            <w:r>
              <w:rPr>
                <w:rFonts w:ascii="Arial" w:cs="Arial" w:eastAsia="Arial" w:hAnsi="Arial"/>
                <w:sz w:val="17"/>
                <w:szCs w:val="17"/>
                <w:color w:val="auto"/>
              </w:rPr>
              <w:t>105.4%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84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7"/>
                <w:szCs w:val="17"/>
                <w:color w:val="auto"/>
              </w:rPr>
              <w:t>Losses from catastrophes (2)</w:t>
            </w:r>
          </w:p>
        </w:tc>
        <w:tc>
          <w:tcPr>
            <w:tcW w:w="3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5,063</w:t>
            </w:r>
          </w:p>
        </w:tc>
        <w:tc>
          <w:tcPr>
            <w:tcW w:w="3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5,546</w:t>
            </w: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(483)</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840" w:type="dxa"/>
            <w:vAlign w:val="bottom"/>
          </w:tcPr>
          <w:p>
            <w:pPr>
              <w:ind w:left="300"/>
              <w:spacing w:after="0"/>
              <w:rPr>
                <w:sz w:val="20"/>
                <w:szCs w:val="20"/>
                <w:color w:val="auto"/>
              </w:rPr>
            </w:pPr>
            <w:r>
              <w:rPr>
                <w:rFonts w:ascii="Arial" w:cs="Arial" w:eastAsia="Arial" w:hAnsi="Arial"/>
                <w:sz w:val="17"/>
                <w:szCs w:val="17"/>
                <w:color w:val="auto"/>
              </w:rPr>
              <w:t>Net loss and loss adjustment expenses</w:t>
            </w: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29,134</w:t>
            </w: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17,266</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11,868</w:t>
            </w:r>
          </w:p>
        </w:tc>
        <w:tc>
          <w:tcPr>
            <w:tcW w:w="1140" w:type="dxa"/>
            <w:vAlign w:val="bottom"/>
          </w:tcPr>
          <w:p>
            <w:pPr>
              <w:jc w:val="right"/>
              <w:spacing w:after="0"/>
              <w:rPr>
                <w:sz w:val="20"/>
                <w:szCs w:val="20"/>
                <w:color w:val="auto"/>
              </w:rPr>
            </w:pPr>
            <w:r>
              <w:rPr>
                <w:rFonts w:ascii="Arial" w:cs="Arial" w:eastAsia="Arial" w:hAnsi="Arial"/>
                <w:sz w:val="17"/>
                <w:szCs w:val="17"/>
                <w:color w:val="auto"/>
              </w:rPr>
              <w:t>68.7%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840" w:type="dxa"/>
            <w:vAlign w:val="bottom"/>
          </w:tcPr>
          <w:p>
            <w:pPr>
              <w:ind w:left="140"/>
              <w:spacing w:after="0"/>
              <w:rPr>
                <w:sz w:val="20"/>
                <w:szCs w:val="20"/>
                <w:color w:val="auto"/>
              </w:rPr>
            </w:pPr>
            <w:r>
              <w:rPr>
                <w:rFonts w:ascii="Arial" w:cs="Arial" w:eastAsia="Arial" w:hAnsi="Arial"/>
                <w:sz w:val="17"/>
                <w:szCs w:val="17"/>
                <w:color w:val="auto"/>
              </w:rPr>
              <w:t>Commission expense</w:t>
            </w:r>
          </w:p>
        </w:tc>
        <w:tc>
          <w:tcPr>
            <w:tcW w:w="300" w:type="dxa"/>
            <w:vAlign w:val="bottom"/>
          </w:tcPr>
          <w:p>
            <w:pPr>
              <w:spacing w:after="0"/>
              <w:rPr>
                <w:sz w:val="18"/>
                <w:szCs w:val="18"/>
                <w:color w:val="auto"/>
              </w:rPr>
            </w:pPr>
          </w:p>
        </w:tc>
        <w:tc>
          <w:tcPr>
            <w:tcW w:w="840" w:type="dxa"/>
            <w:vAlign w:val="bottom"/>
          </w:tcPr>
          <w:p>
            <w:pPr>
              <w:jc w:val="right"/>
              <w:ind w:right="75"/>
              <w:spacing w:after="0"/>
              <w:rPr>
                <w:sz w:val="20"/>
                <w:szCs w:val="20"/>
                <w:color w:val="auto"/>
              </w:rPr>
            </w:pPr>
            <w:r>
              <w:rPr>
                <w:rFonts w:ascii="Arial" w:cs="Arial" w:eastAsia="Arial" w:hAnsi="Arial"/>
                <w:sz w:val="17"/>
                <w:szCs w:val="17"/>
                <w:color w:val="auto"/>
              </w:rPr>
              <w:t>6,853</w:t>
            </w:r>
          </w:p>
        </w:tc>
        <w:tc>
          <w:tcPr>
            <w:tcW w:w="300" w:type="dxa"/>
            <w:vAlign w:val="bottom"/>
          </w:tcPr>
          <w:p>
            <w:pPr>
              <w:spacing w:after="0"/>
              <w:rPr>
                <w:sz w:val="18"/>
                <w:szCs w:val="18"/>
                <w:color w:val="auto"/>
              </w:rPr>
            </w:pPr>
          </w:p>
        </w:tc>
        <w:tc>
          <w:tcPr>
            <w:tcW w:w="840" w:type="dxa"/>
            <w:vAlign w:val="bottom"/>
          </w:tcPr>
          <w:p>
            <w:pPr>
              <w:jc w:val="right"/>
              <w:ind w:right="75"/>
              <w:spacing w:after="0"/>
              <w:rPr>
                <w:sz w:val="20"/>
                <w:szCs w:val="20"/>
                <w:color w:val="auto"/>
              </w:rPr>
            </w:pPr>
            <w:r>
              <w:rPr>
                <w:rFonts w:ascii="Arial" w:cs="Arial" w:eastAsia="Arial" w:hAnsi="Arial"/>
                <w:sz w:val="17"/>
                <w:szCs w:val="17"/>
                <w:color w:val="auto"/>
              </w:rPr>
              <w:t>5,800</w:t>
            </w:r>
          </w:p>
        </w:tc>
        <w:tc>
          <w:tcPr>
            <w:tcW w:w="260" w:type="dxa"/>
            <w:vAlign w:val="bottom"/>
          </w:tcPr>
          <w:p>
            <w:pPr>
              <w:spacing w:after="0"/>
              <w:rPr>
                <w:sz w:val="18"/>
                <w:szCs w:val="18"/>
                <w:color w:val="auto"/>
              </w:rPr>
            </w:pPr>
          </w:p>
        </w:tc>
        <w:tc>
          <w:tcPr>
            <w:tcW w:w="880" w:type="dxa"/>
            <w:vAlign w:val="bottom"/>
          </w:tcPr>
          <w:p>
            <w:pPr>
              <w:jc w:val="right"/>
              <w:ind w:right="75"/>
              <w:spacing w:after="0"/>
              <w:rPr>
                <w:sz w:val="20"/>
                <w:szCs w:val="20"/>
                <w:color w:val="auto"/>
              </w:rPr>
            </w:pPr>
            <w:r>
              <w:rPr>
                <w:rFonts w:ascii="Arial" w:cs="Arial" w:eastAsia="Arial" w:hAnsi="Arial"/>
                <w:sz w:val="17"/>
                <w:szCs w:val="17"/>
                <w:color w:val="auto"/>
              </w:rPr>
              <w:t>1,053</w:t>
            </w:r>
          </w:p>
        </w:tc>
        <w:tc>
          <w:tcPr>
            <w:tcW w:w="1140" w:type="dxa"/>
            <w:vAlign w:val="bottom"/>
          </w:tcPr>
          <w:p>
            <w:pPr>
              <w:jc w:val="right"/>
              <w:spacing w:after="0"/>
              <w:rPr>
                <w:sz w:val="20"/>
                <w:szCs w:val="20"/>
                <w:color w:val="auto"/>
              </w:rPr>
            </w:pPr>
            <w:r>
              <w:rPr>
                <w:rFonts w:ascii="Arial" w:cs="Arial" w:eastAsia="Arial" w:hAnsi="Arial"/>
                <w:sz w:val="17"/>
                <w:szCs w:val="17"/>
                <w:color w:val="auto"/>
              </w:rPr>
              <w:t>18.2%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8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Other underwriting expenses</w:t>
            </w: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6,136</w:t>
            </w: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5,032</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1,104</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840" w:type="dxa"/>
            <w:vAlign w:val="bottom"/>
          </w:tcPr>
          <w:p>
            <w:pPr>
              <w:ind w:left="140"/>
              <w:spacing w:after="0"/>
              <w:rPr>
                <w:sz w:val="20"/>
                <w:szCs w:val="20"/>
                <w:color w:val="auto"/>
              </w:rPr>
            </w:pPr>
            <w:r>
              <w:rPr>
                <w:rFonts w:ascii="Arial" w:cs="Arial" w:eastAsia="Arial" w:hAnsi="Arial"/>
                <w:sz w:val="17"/>
                <w:szCs w:val="17"/>
                <w:color w:val="auto"/>
              </w:rPr>
              <w:t>Other operating expenses</w:t>
            </w:r>
          </w:p>
        </w:tc>
        <w:tc>
          <w:tcPr>
            <w:tcW w:w="300" w:type="dxa"/>
            <w:vAlign w:val="bottom"/>
          </w:tcPr>
          <w:p>
            <w:pPr>
              <w:spacing w:after="0"/>
              <w:rPr>
                <w:sz w:val="18"/>
                <w:szCs w:val="18"/>
                <w:color w:val="auto"/>
              </w:rPr>
            </w:pPr>
          </w:p>
        </w:tc>
        <w:tc>
          <w:tcPr>
            <w:tcW w:w="840" w:type="dxa"/>
            <w:vAlign w:val="bottom"/>
          </w:tcPr>
          <w:p>
            <w:pPr>
              <w:jc w:val="right"/>
              <w:ind w:right="75"/>
              <w:spacing w:after="0"/>
              <w:rPr>
                <w:sz w:val="20"/>
                <w:szCs w:val="20"/>
                <w:color w:val="auto"/>
              </w:rPr>
            </w:pPr>
            <w:r>
              <w:rPr>
                <w:rFonts w:ascii="Arial" w:cs="Arial" w:eastAsia="Arial" w:hAnsi="Arial"/>
                <w:sz w:val="17"/>
                <w:szCs w:val="17"/>
                <w:color w:val="auto"/>
              </w:rPr>
              <w:t>972</w:t>
            </w:r>
          </w:p>
        </w:tc>
        <w:tc>
          <w:tcPr>
            <w:tcW w:w="300" w:type="dxa"/>
            <w:vAlign w:val="bottom"/>
          </w:tcPr>
          <w:p>
            <w:pPr>
              <w:spacing w:after="0"/>
              <w:rPr>
                <w:sz w:val="18"/>
                <w:szCs w:val="18"/>
                <w:color w:val="auto"/>
              </w:rPr>
            </w:pPr>
          </w:p>
        </w:tc>
        <w:tc>
          <w:tcPr>
            <w:tcW w:w="840" w:type="dxa"/>
            <w:vAlign w:val="bottom"/>
          </w:tcPr>
          <w:p>
            <w:pPr>
              <w:jc w:val="right"/>
              <w:ind w:right="75"/>
              <w:spacing w:after="0"/>
              <w:rPr>
                <w:sz w:val="20"/>
                <w:szCs w:val="20"/>
                <w:color w:val="auto"/>
              </w:rPr>
            </w:pPr>
            <w:r>
              <w:rPr>
                <w:rFonts w:ascii="Arial" w:cs="Arial" w:eastAsia="Arial" w:hAnsi="Arial"/>
                <w:sz w:val="17"/>
                <w:szCs w:val="17"/>
                <w:color w:val="auto"/>
              </w:rPr>
              <w:t>247</w:t>
            </w:r>
          </w:p>
        </w:tc>
        <w:tc>
          <w:tcPr>
            <w:tcW w:w="260" w:type="dxa"/>
            <w:vAlign w:val="bottom"/>
          </w:tcPr>
          <w:p>
            <w:pPr>
              <w:spacing w:after="0"/>
              <w:rPr>
                <w:sz w:val="18"/>
                <w:szCs w:val="18"/>
                <w:color w:val="auto"/>
              </w:rPr>
            </w:pPr>
          </w:p>
        </w:tc>
        <w:tc>
          <w:tcPr>
            <w:tcW w:w="880" w:type="dxa"/>
            <w:vAlign w:val="bottom"/>
          </w:tcPr>
          <w:p>
            <w:pPr>
              <w:jc w:val="right"/>
              <w:ind w:right="75"/>
              <w:spacing w:after="0"/>
              <w:rPr>
                <w:sz w:val="20"/>
                <w:szCs w:val="20"/>
                <w:color w:val="auto"/>
              </w:rPr>
            </w:pPr>
            <w:r>
              <w:rPr>
                <w:rFonts w:ascii="Arial" w:cs="Arial" w:eastAsia="Arial" w:hAnsi="Arial"/>
                <w:sz w:val="17"/>
                <w:szCs w:val="17"/>
                <w:color w:val="auto"/>
              </w:rPr>
              <w:t>725</w:t>
            </w:r>
          </w:p>
        </w:tc>
        <w:tc>
          <w:tcPr>
            <w:tcW w:w="1140" w:type="dxa"/>
            <w:vAlign w:val="bottom"/>
          </w:tcPr>
          <w:p>
            <w:pPr>
              <w:jc w:val="right"/>
              <w:spacing w:after="0"/>
              <w:rPr>
                <w:sz w:val="20"/>
                <w:szCs w:val="20"/>
                <w:color w:val="auto"/>
              </w:rPr>
            </w:pPr>
            <w:r>
              <w:rPr>
                <w:rFonts w:ascii="Arial" w:cs="Arial" w:eastAsia="Arial" w:hAnsi="Arial"/>
                <w:sz w:val="17"/>
                <w:szCs w:val="17"/>
                <w:color w:val="auto"/>
              </w:rPr>
              <w:t>293.5%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8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Depreciation and amortization</w:t>
            </w: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602</w:t>
            </w: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409</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193</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840" w:type="dxa"/>
            <w:vAlign w:val="bottom"/>
          </w:tcPr>
          <w:p>
            <w:pPr>
              <w:ind w:left="140"/>
              <w:spacing w:after="0"/>
              <w:rPr>
                <w:sz w:val="20"/>
                <w:szCs w:val="20"/>
                <w:color w:val="auto"/>
              </w:rPr>
            </w:pPr>
            <w:r>
              <w:rPr>
                <w:rFonts w:ascii="Arial" w:cs="Arial" w:eastAsia="Arial" w:hAnsi="Arial"/>
                <w:sz w:val="17"/>
                <w:szCs w:val="17"/>
                <w:color w:val="auto"/>
              </w:rPr>
              <w:t>Interest expense</w:t>
            </w: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457</w:t>
            </w: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457</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84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7"/>
                <w:szCs w:val="17"/>
                <w:color w:val="auto"/>
              </w:rPr>
              <w:t>Total expenses</w:t>
            </w:r>
          </w:p>
        </w:tc>
        <w:tc>
          <w:tcPr>
            <w:tcW w:w="3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44,154</w:t>
            </w:r>
          </w:p>
        </w:tc>
        <w:tc>
          <w:tcPr>
            <w:tcW w:w="3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29,211</w:t>
            </w: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14,943</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51.2%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8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Loss from operations before taxes</w:t>
            </w: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(9,255)</w:t>
            </w: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(3,509)</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(5,746)</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163.8%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840" w:type="dxa"/>
            <w:vAlign w:val="bottom"/>
          </w:tcPr>
          <w:p>
            <w:pPr>
              <w:ind w:left="140"/>
              <w:spacing w:after="0"/>
              <w:rPr>
                <w:sz w:val="20"/>
                <w:szCs w:val="20"/>
                <w:color w:val="auto"/>
              </w:rPr>
            </w:pPr>
            <w:r>
              <w:rPr>
                <w:rFonts w:ascii="Arial" w:cs="Arial" w:eastAsia="Arial" w:hAnsi="Arial"/>
                <w:sz w:val="17"/>
                <w:szCs w:val="17"/>
                <w:color w:val="auto"/>
              </w:rPr>
              <w:t>Income tax benefit</w:t>
            </w: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(1,920)</w:t>
            </w: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(791)</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(1,129)</w:t>
            </w:r>
          </w:p>
        </w:tc>
        <w:tc>
          <w:tcPr>
            <w:tcW w:w="1140" w:type="dxa"/>
            <w:vAlign w:val="bottom"/>
          </w:tcPr>
          <w:p>
            <w:pPr>
              <w:jc w:val="right"/>
              <w:spacing w:after="0"/>
              <w:rPr>
                <w:sz w:val="20"/>
                <w:szCs w:val="20"/>
                <w:color w:val="auto"/>
              </w:rPr>
            </w:pPr>
            <w:r>
              <w:rPr>
                <w:rFonts w:ascii="Arial" w:cs="Arial" w:eastAsia="Arial" w:hAnsi="Arial"/>
                <w:sz w:val="17"/>
                <w:szCs w:val="17"/>
                <w:color w:val="auto"/>
              </w:rPr>
              <w:t>142.7%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6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Net loss</w:t>
            </w:r>
          </w:p>
        </w:tc>
        <w:tc>
          <w:tcPr>
            <w:tcW w:w="3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(7,335)</w:t>
            </w:r>
          </w:p>
        </w:tc>
        <w:tc>
          <w:tcPr>
            <w:tcW w:w="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(2,718)</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(4,617)</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169.9%</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560" w:hanging="241"/>
        <w:spacing w:after="0"/>
        <w:tabs>
          <w:tab w:leader="none" w:pos="5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Effective July 1, 2018, we decreased the quota share ceding rate in our personal lines quota share treaty from 20% to 10% (the “2018 cut-off”).</w:t>
      </w:r>
    </w:p>
    <w:p>
      <w:pPr>
        <w:spacing w:after="0" w:line="157" w:lineRule="exact"/>
        <w:rPr>
          <w:rFonts w:ascii="Arial" w:cs="Arial" w:eastAsia="Arial" w:hAnsi="Arial"/>
          <w:sz w:val="17"/>
          <w:szCs w:val="17"/>
          <w:color w:val="auto"/>
        </w:rPr>
      </w:pPr>
    </w:p>
    <w:p>
      <w:pPr>
        <w:jc w:val="both"/>
        <w:ind w:left="320" w:right="40" w:hanging="1"/>
        <w:spacing w:after="0" w:line="293" w:lineRule="auto"/>
        <w:tabs>
          <w:tab w:leader="none" w:pos="566"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three months ended March 31, 2019 and 2018 includes catastrophe losses, which are defined as losses from an event for which a catastrophe bulletin and related serial number has been issued by the Property Claims Services (PCS) unit of the Insurance Services Office (ISO). PCS catastrophe bulletins are issued for events that cause more than $25 million in total insured losses and affect a significant number of policyholders and insurers.</w:t>
      </w:r>
    </w:p>
    <w:p>
      <w:pPr>
        <w:spacing w:after="0" w:line="320"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25106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ectPr>
          <w:pgSz w:w="11900" w:h="16838" w:orient="portrait"/>
          <w:cols w:equalWidth="0" w:num="1">
            <w:col w:w="11460"/>
          </w:cols>
          <w:pgMar w:left="240" w:top="572" w:right="199" w:bottom="68"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177"/>
        </w:trPr>
        <w:tc>
          <w:tcPr>
            <w:tcW w:w="6860" w:type="dxa"/>
            <w:vAlign w:val="bottom"/>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b w:val="1"/>
                <w:bCs w:val="1"/>
                <w:color w:val="auto"/>
                <w:w w:val="96"/>
              </w:rPr>
              <w:t>Three months ended March 31,</w:t>
            </w:r>
          </w:p>
        </w:tc>
        <w:tc>
          <w:tcPr>
            <w:tcW w:w="114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r>
      <w:tr>
        <w:trPr>
          <w:trHeight w:val="144"/>
        </w:trPr>
        <w:tc>
          <w:tcPr>
            <w:tcW w:w="68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80" w:type="dxa"/>
            <w:vAlign w:val="bottom"/>
          </w:tcPr>
          <w:p>
            <w:pPr>
              <w:jc w:val="right"/>
              <w:ind w:right="180"/>
              <w:spacing w:after="0" w:line="144" w:lineRule="exact"/>
              <w:rPr>
                <w:sz w:val="20"/>
                <w:szCs w:val="20"/>
                <w:color w:val="auto"/>
              </w:rPr>
            </w:pPr>
            <w:r>
              <w:rPr>
                <w:rFonts w:ascii="Arial" w:cs="Arial" w:eastAsia="Arial" w:hAnsi="Arial"/>
                <w:sz w:val="14"/>
                <w:szCs w:val="14"/>
                <w:b w:val="1"/>
                <w:bCs w:val="1"/>
                <w:color w:val="auto"/>
              </w:rPr>
              <w:t>Percentage</w:t>
            </w:r>
          </w:p>
        </w:tc>
        <w:tc>
          <w:tcPr>
            <w:tcW w:w="1140" w:type="dxa"/>
            <w:vAlign w:val="bottom"/>
          </w:tcPr>
          <w:p>
            <w:pPr>
              <w:jc w:val="right"/>
              <w:ind w:right="280"/>
              <w:spacing w:after="0" w:line="144" w:lineRule="exact"/>
              <w:rPr>
                <w:sz w:val="20"/>
                <w:szCs w:val="20"/>
                <w:color w:val="auto"/>
              </w:rPr>
            </w:pPr>
            <w:r>
              <w:rPr>
                <w:rFonts w:ascii="Arial" w:cs="Arial" w:eastAsia="Arial" w:hAnsi="Arial"/>
                <w:sz w:val="14"/>
                <w:szCs w:val="14"/>
                <w:b w:val="1"/>
                <w:bCs w:val="1"/>
                <w:color w:val="auto"/>
              </w:rPr>
              <w:t>Percent</w:t>
            </w:r>
          </w:p>
        </w:tc>
        <w:tc>
          <w:tcPr>
            <w:tcW w:w="40" w:type="dxa"/>
            <w:vAlign w:val="bottom"/>
          </w:tcPr>
          <w:p>
            <w:pPr>
              <w:spacing w:after="0"/>
              <w:rPr>
                <w:sz w:val="12"/>
                <w:szCs w:val="12"/>
                <w:color w:val="auto"/>
              </w:rPr>
            </w:pPr>
          </w:p>
        </w:tc>
      </w:tr>
      <w:tr>
        <w:trPr>
          <w:trHeight w:val="177"/>
        </w:trPr>
        <w:tc>
          <w:tcPr>
            <w:tcW w:w="6860" w:type="dxa"/>
            <w:vAlign w:val="bottom"/>
          </w:tcPr>
          <w:p>
            <w:pPr>
              <w:spacing w:after="0"/>
              <w:rPr>
                <w:sz w:val="15"/>
                <w:szCs w:val="15"/>
                <w:color w:val="auto"/>
              </w:rPr>
            </w:pPr>
          </w:p>
        </w:tc>
        <w:tc>
          <w:tcPr>
            <w:tcW w:w="1200" w:type="dxa"/>
            <w:vAlign w:val="bottom"/>
          </w:tcPr>
          <w:p>
            <w:pPr>
              <w:jc w:val="right"/>
              <w:ind w:right="438"/>
              <w:spacing w:after="0"/>
              <w:rPr>
                <w:sz w:val="20"/>
                <w:szCs w:val="20"/>
                <w:color w:val="auto"/>
              </w:rPr>
            </w:pPr>
            <w:r>
              <w:rPr>
                <w:rFonts w:ascii="Arial" w:cs="Arial" w:eastAsia="Arial" w:hAnsi="Arial"/>
                <w:sz w:val="14"/>
                <w:szCs w:val="14"/>
                <w:b w:val="1"/>
                <w:bCs w:val="1"/>
                <w:color w:val="auto"/>
              </w:rPr>
              <w:t>2019</w:t>
            </w:r>
          </w:p>
        </w:tc>
        <w:tc>
          <w:tcPr>
            <w:tcW w:w="1140" w:type="dxa"/>
            <w:vAlign w:val="bottom"/>
          </w:tcPr>
          <w:p>
            <w:pPr>
              <w:jc w:val="right"/>
              <w:ind w:right="420"/>
              <w:spacing w:after="0"/>
              <w:rPr>
                <w:sz w:val="20"/>
                <w:szCs w:val="20"/>
                <w:color w:val="auto"/>
              </w:rPr>
            </w:pPr>
            <w:r>
              <w:rPr>
                <w:rFonts w:ascii="Arial" w:cs="Arial" w:eastAsia="Arial" w:hAnsi="Arial"/>
                <w:sz w:val="14"/>
                <w:szCs w:val="14"/>
                <w:b w:val="1"/>
                <w:bCs w:val="1"/>
                <w:color w:val="auto"/>
              </w:rPr>
              <w:t>2018</w:t>
            </w:r>
          </w:p>
        </w:tc>
        <w:tc>
          <w:tcPr>
            <w:tcW w:w="1080" w:type="dxa"/>
            <w:vAlign w:val="bottom"/>
          </w:tcPr>
          <w:p>
            <w:pPr>
              <w:jc w:val="right"/>
              <w:ind w:right="100"/>
              <w:spacing w:after="0"/>
              <w:rPr>
                <w:sz w:val="20"/>
                <w:szCs w:val="20"/>
                <w:color w:val="auto"/>
              </w:rPr>
            </w:pPr>
            <w:r>
              <w:rPr>
                <w:rFonts w:ascii="Arial" w:cs="Arial" w:eastAsia="Arial" w:hAnsi="Arial"/>
                <w:sz w:val="14"/>
                <w:szCs w:val="14"/>
                <w:b w:val="1"/>
                <w:bCs w:val="1"/>
                <w:color w:val="auto"/>
                <w:w w:val="97"/>
              </w:rPr>
              <w:t>Point Change</w:t>
            </w:r>
          </w:p>
        </w:tc>
        <w:tc>
          <w:tcPr>
            <w:tcW w:w="11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Change</w:t>
            </w:r>
          </w:p>
        </w:tc>
      </w:tr>
      <w:tr>
        <w:trPr>
          <w:trHeight w:val="470"/>
        </w:trPr>
        <w:tc>
          <w:tcPr>
            <w:tcW w:w="6860" w:type="dxa"/>
            <w:vAlign w:val="bottom"/>
          </w:tcPr>
          <w:p>
            <w:pPr>
              <w:spacing w:after="0"/>
              <w:rPr>
                <w:sz w:val="20"/>
                <w:szCs w:val="20"/>
                <w:color w:val="auto"/>
              </w:rPr>
            </w:pPr>
            <w:r>
              <w:rPr>
                <w:rFonts w:ascii="Arial" w:cs="Arial" w:eastAsia="Arial" w:hAnsi="Arial"/>
                <w:sz w:val="17"/>
                <w:szCs w:val="17"/>
                <w:b w:val="1"/>
                <w:bCs w:val="1"/>
                <w:color w:val="auto"/>
              </w:rPr>
              <w:t>Key ratios:</w:t>
            </w:r>
          </w:p>
        </w:tc>
        <w:tc>
          <w:tcPr>
            <w:tcW w:w="120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210"/>
        </w:trPr>
        <w:tc>
          <w:tcPr>
            <w:tcW w:w="68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Net loss ratio</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98.4%</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75.6%</w:t>
            </w:r>
          </w:p>
        </w:tc>
        <w:tc>
          <w:tcPr>
            <w:tcW w:w="1080" w:type="dxa"/>
            <w:vAlign w:val="bottom"/>
            <w:shd w:val="clear" w:color="auto" w:fill="CCEEFF"/>
          </w:tcPr>
          <w:p>
            <w:pPr>
              <w:jc w:val="right"/>
              <w:ind w:right="80"/>
              <w:spacing w:after="0"/>
              <w:rPr>
                <w:sz w:val="20"/>
                <w:szCs w:val="20"/>
                <w:color w:val="auto"/>
              </w:rPr>
            </w:pPr>
            <w:r>
              <w:rPr>
                <w:rFonts w:ascii="Arial" w:cs="Arial" w:eastAsia="Arial" w:hAnsi="Arial"/>
                <w:sz w:val="17"/>
                <w:szCs w:val="17"/>
                <w:color w:val="auto"/>
              </w:rPr>
              <w:t>22.8</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30.2%</w:t>
            </w:r>
          </w:p>
        </w:tc>
        <w:tc>
          <w:tcPr>
            <w:tcW w:w="40" w:type="dxa"/>
            <w:vAlign w:val="bottom"/>
          </w:tcPr>
          <w:p>
            <w:pPr>
              <w:spacing w:after="0"/>
              <w:rPr>
                <w:sz w:val="18"/>
                <w:szCs w:val="18"/>
                <w:color w:val="auto"/>
              </w:rPr>
            </w:pPr>
          </w:p>
        </w:tc>
      </w:tr>
      <w:tr>
        <w:trPr>
          <w:trHeight w:val="215"/>
        </w:trPr>
        <w:tc>
          <w:tcPr>
            <w:tcW w:w="6860" w:type="dxa"/>
            <w:vAlign w:val="bottom"/>
          </w:tcPr>
          <w:p>
            <w:pPr>
              <w:ind w:left="160"/>
              <w:spacing w:after="0"/>
              <w:rPr>
                <w:sz w:val="20"/>
                <w:szCs w:val="20"/>
                <w:color w:val="auto"/>
              </w:rPr>
            </w:pPr>
            <w:r>
              <w:rPr>
                <w:rFonts w:ascii="Arial" w:cs="Arial" w:eastAsia="Arial" w:hAnsi="Arial"/>
                <w:sz w:val="17"/>
                <w:szCs w:val="17"/>
                <w:color w:val="auto"/>
              </w:rPr>
              <w:t>Net underwriting expense ratio</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38.5%</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38.7%</w:t>
            </w:r>
          </w:p>
        </w:tc>
        <w:tc>
          <w:tcPr>
            <w:tcW w:w="1080" w:type="dxa"/>
            <w:vAlign w:val="bottom"/>
            <w:tcBorders>
              <w:bottom w:val="single" w:sz="8" w:color="auto"/>
            </w:tcBorders>
          </w:tcPr>
          <w:p>
            <w:pPr>
              <w:jc w:val="right"/>
              <w:ind w:right="20"/>
              <w:spacing w:after="0"/>
              <w:rPr>
                <w:sz w:val="20"/>
                <w:szCs w:val="20"/>
                <w:color w:val="auto"/>
              </w:rPr>
            </w:pPr>
            <w:r>
              <w:rPr>
                <w:rFonts w:ascii="Arial" w:cs="Arial" w:eastAsia="Arial" w:hAnsi="Arial"/>
                <w:sz w:val="17"/>
                <w:szCs w:val="17"/>
                <w:color w:val="auto"/>
              </w:rPr>
              <w:t>(0.2)</w:t>
            </w:r>
          </w:p>
        </w:tc>
        <w:tc>
          <w:tcPr>
            <w:tcW w:w="1140" w:type="dxa"/>
            <w:vAlign w:val="bottom"/>
          </w:tcPr>
          <w:p>
            <w:pPr>
              <w:jc w:val="right"/>
              <w:spacing w:after="0"/>
              <w:rPr>
                <w:sz w:val="20"/>
                <w:szCs w:val="20"/>
                <w:color w:val="auto"/>
              </w:rPr>
            </w:pPr>
            <w:r>
              <w:rPr>
                <w:rFonts w:ascii="Arial" w:cs="Arial" w:eastAsia="Arial" w:hAnsi="Arial"/>
                <w:sz w:val="17"/>
                <w:szCs w:val="17"/>
                <w:color w:val="auto"/>
              </w:rPr>
              <w:t>(0.5)%</w:t>
            </w:r>
          </w:p>
        </w:tc>
        <w:tc>
          <w:tcPr>
            <w:tcW w:w="40" w:type="dxa"/>
            <w:vAlign w:val="bottom"/>
          </w:tcPr>
          <w:p>
            <w:pPr>
              <w:spacing w:after="0"/>
              <w:rPr>
                <w:sz w:val="18"/>
                <w:szCs w:val="18"/>
                <w:color w:val="auto"/>
              </w:rPr>
            </w:pPr>
          </w:p>
        </w:tc>
      </w:tr>
      <w:tr>
        <w:trPr>
          <w:trHeight w:val="249"/>
        </w:trPr>
        <w:tc>
          <w:tcPr>
            <w:tcW w:w="68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Net combined ratio</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136.9%</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114.3%</w:t>
            </w:r>
          </w:p>
        </w:tc>
        <w:tc>
          <w:tcPr>
            <w:tcW w:w="108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7"/>
                <w:szCs w:val="17"/>
                <w:color w:val="auto"/>
              </w:rPr>
              <w:t>22.6</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19.8%</w:t>
            </w:r>
          </w:p>
        </w:tc>
        <w:tc>
          <w:tcPr>
            <w:tcW w:w="40" w:type="dxa"/>
            <w:vAlign w:val="bottom"/>
          </w:tcPr>
          <w:p>
            <w:pPr>
              <w:spacing w:after="0"/>
              <w:rPr>
                <w:sz w:val="21"/>
                <w:szCs w:val="2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Direct Written Premiums</w:t>
      </w:r>
    </w:p>
    <w:p>
      <w:pPr>
        <w:spacing w:after="0" w:line="223" w:lineRule="exact"/>
        <w:rPr>
          <w:sz w:val="20"/>
          <w:szCs w:val="20"/>
          <w:color w:val="auto"/>
        </w:rPr>
      </w:pPr>
    </w:p>
    <w:p>
      <w:pPr>
        <w:jc w:val="both"/>
        <w:ind w:right="40" w:firstLine="628"/>
        <w:spacing w:after="0" w:line="265" w:lineRule="auto"/>
        <w:rPr>
          <w:sz w:val="20"/>
          <w:szCs w:val="20"/>
          <w:color w:val="auto"/>
        </w:rPr>
      </w:pPr>
      <w:r>
        <w:rPr>
          <w:rFonts w:ascii="Arial" w:cs="Arial" w:eastAsia="Arial" w:hAnsi="Arial"/>
          <w:sz w:val="17"/>
          <w:szCs w:val="17"/>
          <w:color w:val="auto"/>
        </w:rPr>
        <w:t>Direct written premiums during the three months ended March 31, 2019 (“Three Months 2019”) were $37,489,000 compared to $31,526,000 during the three months ended March 31, 2018 (“Three Months 2018”). The increase of $5,963,000, or 18.9%, was primarily due to an increase in policies in-force during Three Months 2019 as compared to Three Months 2018. We wrote more new policies as a result of continued demand for our products in the markets that we serve. Policies in-force increased by 19.0% as of March 31, 2019 compared to March 31, 2018.</w:t>
      </w:r>
    </w:p>
    <w:p>
      <w:pPr>
        <w:spacing w:after="0" w:line="118" w:lineRule="exact"/>
        <w:rPr>
          <w:sz w:val="20"/>
          <w:szCs w:val="20"/>
          <w:color w:val="auto"/>
        </w:rPr>
      </w:pPr>
    </w:p>
    <w:p>
      <w:pPr>
        <w:jc w:val="both"/>
        <w:ind w:right="40" w:firstLine="628"/>
        <w:spacing w:after="0" w:line="269" w:lineRule="auto"/>
        <w:rPr>
          <w:sz w:val="20"/>
          <w:szCs w:val="20"/>
          <w:color w:val="auto"/>
        </w:rPr>
      </w:pPr>
      <w:r>
        <w:rPr>
          <w:rFonts w:ascii="Arial" w:cs="Arial" w:eastAsia="Arial" w:hAnsi="Arial"/>
          <w:sz w:val="17"/>
          <w:szCs w:val="17"/>
          <w:color w:val="auto"/>
        </w:rPr>
        <w:t>In 2017, we started writing homeowners’ policies in New Jersey and Rhode Island, Massachusetts in 2018 and Connecticut in March of 2019. We refer to our New York business as our “Core” business and the business outside of New York as our “Expansion” business. Direct written premiums from our Expansion business were $3,232,000 in Three Months 2019, compared to $897,000 in Three Months 2018.</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Net Written Premiums and Net Premiums Earned</w:t>
      </w:r>
    </w:p>
    <w:p>
      <w:pPr>
        <w:spacing w:after="0" w:line="158" w:lineRule="exact"/>
        <w:rPr>
          <w:sz w:val="20"/>
          <w:szCs w:val="20"/>
          <w:color w:val="auto"/>
        </w:rPr>
      </w:pPr>
    </w:p>
    <w:p>
      <w:pPr>
        <w:jc w:val="both"/>
        <w:ind w:right="40" w:firstLine="628"/>
        <w:spacing w:after="0" w:line="269" w:lineRule="auto"/>
        <w:rPr>
          <w:sz w:val="20"/>
          <w:szCs w:val="20"/>
          <w:color w:val="auto"/>
        </w:rPr>
      </w:pPr>
      <w:r>
        <w:rPr>
          <w:rFonts w:ascii="Arial" w:cs="Arial" w:eastAsia="Arial" w:hAnsi="Arial"/>
          <w:sz w:val="17"/>
          <w:szCs w:val="17"/>
          <w:color w:val="auto"/>
        </w:rPr>
        <w:t>The following table describes the quota share reinsurance ceding rates in effect during Three Months 2019 and Three Months 2018, respectively. This table should be referred to in conjunction with the discussions for net written premiums, net premiums earned, ceding commission revenue and net loss and loss adjustment expenses that follow.</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8460" w:type="dxa"/>
            <w:vAlign w:val="bottom"/>
          </w:tcPr>
          <w:p>
            <w:pPr>
              <w:spacing w:after="0"/>
              <w:rPr>
                <w:sz w:val="15"/>
                <w:szCs w:val="15"/>
                <w:color w:val="auto"/>
              </w:rPr>
            </w:pPr>
          </w:p>
        </w:tc>
        <w:tc>
          <w:tcPr>
            <w:tcW w:w="2960" w:type="dxa"/>
            <w:vAlign w:val="bottom"/>
            <w:tcBorders>
              <w:bottom w:val="single" w:sz="8" w:color="auto"/>
            </w:tcBorders>
            <w:gridSpan w:val="2"/>
          </w:tcPr>
          <w:p>
            <w:pPr>
              <w:jc w:val="right"/>
              <w:ind w:right="465"/>
              <w:spacing w:after="0"/>
              <w:rPr>
                <w:sz w:val="20"/>
                <w:szCs w:val="20"/>
                <w:color w:val="auto"/>
              </w:rPr>
            </w:pPr>
            <w:r>
              <w:rPr>
                <w:rFonts w:ascii="Arial" w:cs="Arial" w:eastAsia="Arial" w:hAnsi="Arial"/>
                <w:sz w:val="14"/>
                <w:szCs w:val="14"/>
                <w:b w:val="1"/>
                <w:bCs w:val="1"/>
                <w:color w:val="auto"/>
              </w:rPr>
              <w:t>Three months ended March 31,</w:t>
            </w:r>
          </w:p>
        </w:tc>
      </w:tr>
      <w:tr>
        <w:trPr>
          <w:trHeight w:val="242"/>
        </w:trPr>
        <w:tc>
          <w:tcPr>
            <w:tcW w:w="8460" w:type="dxa"/>
            <w:vAlign w:val="bottom"/>
          </w:tcPr>
          <w:p>
            <w:pPr>
              <w:spacing w:after="0"/>
              <w:rPr>
                <w:sz w:val="21"/>
                <w:szCs w:val="21"/>
                <w:color w:val="auto"/>
              </w:rPr>
            </w:pPr>
          </w:p>
        </w:tc>
        <w:tc>
          <w:tcPr>
            <w:tcW w:w="1660" w:type="dxa"/>
            <w:vAlign w:val="bottom"/>
            <w:tcBorders>
              <w:bottom w:val="single" w:sz="8" w:color="auto"/>
            </w:tcBorders>
          </w:tcPr>
          <w:p>
            <w:pPr>
              <w:jc w:val="right"/>
              <w:ind w:right="725"/>
              <w:spacing w:after="0"/>
              <w:rPr>
                <w:sz w:val="20"/>
                <w:szCs w:val="20"/>
                <w:color w:val="auto"/>
              </w:rPr>
            </w:pPr>
            <w:r>
              <w:rPr>
                <w:rFonts w:ascii="Arial" w:cs="Arial" w:eastAsia="Arial" w:hAnsi="Arial"/>
                <w:sz w:val="14"/>
                <w:szCs w:val="14"/>
                <w:b w:val="1"/>
                <w:bCs w:val="1"/>
                <w:color w:val="auto"/>
              </w:rPr>
              <w:t>2019</w:t>
            </w:r>
          </w:p>
        </w:tc>
        <w:tc>
          <w:tcPr>
            <w:tcW w:w="1300" w:type="dxa"/>
            <w:vAlign w:val="bottom"/>
            <w:tcBorders>
              <w:bottom w:val="single" w:sz="8" w:color="auto"/>
            </w:tcBorders>
          </w:tcPr>
          <w:p>
            <w:pPr>
              <w:jc w:val="right"/>
              <w:ind w:right="545"/>
              <w:spacing w:after="0"/>
              <w:rPr>
                <w:sz w:val="20"/>
                <w:szCs w:val="20"/>
                <w:color w:val="auto"/>
              </w:rPr>
            </w:pPr>
            <w:r>
              <w:rPr>
                <w:rFonts w:ascii="Arial" w:cs="Arial" w:eastAsia="Arial" w:hAnsi="Arial"/>
                <w:sz w:val="14"/>
                <w:szCs w:val="14"/>
                <w:b w:val="1"/>
                <w:bCs w:val="1"/>
                <w:color w:val="auto"/>
              </w:rPr>
              <w:t>2018</w:t>
            </w:r>
          </w:p>
        </w:tc>
      </w:tr>
      <w:tr>
        <w:trPr>
          <w:trHeight w:val="144"/>
        </w:trPr>
        <w:tc>
          <w:tcPr>
            <w:tcW w:w="8460" w:type="dxa"/>
            <w:vAlign w:val="bottom"/>
          </w:tcPr>
          <w:p>
            <w:pPr>
              <w:spacing w:after="0"/>
              <w:rPr>
                <w:sz w:val="12"/>
                <w:szCs w:val="12"/>
                <w:color w:val="auto"/>
              </w:rPr>
            </w:pPr>
          </w:p>
        </w:tc>
        <w:tc>
          <w:tcPr>
            <w:tcW w:w="1660" w:type="dxa"/>
            <w:vAlign w:val="bottom"/>
          </w:tcPr>
          <w:p>
            <w:pPr>
              <w:jc w:val="right"/>
              <w:ind w:right="505"/>
              <w:spacing w:after="0" w:line="144" w:lineRule="exact"/>
              <w:rPr>
                <w:sz w:val="20"/>
                <w:szCs w:val="20"/>
                <w:color w:val="auto"/>
              </w:rPr>
            </w:pPr>
            <w:r>
              <w:rPr>
                <w:rFonts w:ascii="Arial" w:cs="Arial" w:eastAsia="Arial" w:hAnsi="Arial"/>
                <w:sz w:val="14"/>
                <w:szCs w:val="14"/>
                <w:b w:val="1"/>
                <w:bCs w:val="1"/>
                <w:color w:val="auto"/>
              </w:rPr>
              <w:t>("2017/2019</w:t>
            </w:r>
          </w:p>
        </w:tc>
        <w:tc>
          <w:tcPr>
            <w:tcW w:w="1300" w:type="dxa"/>
            <w:vAlign w:val="bottom"/>
          </w:tcPr>
          <w:p>
            <w:pPr>
              <w:jc w:val="right"/>
              <w:ind w:right="325"/>
              <w:spacing w:after="0" w:line="144" w:lineRule="exact"/>
              <w:rPr>
                <w:sz w:val="20"/>
                <w:szCs w:val="20"/>
                <w:color w:val="auto"/>
              </w:rPr>
            </w:pPr>
            <w:r>
              <w:rPr>
                <w:rFonts w:ascii="Arial" w:cs="Arial" w:eastAsia="Arial" w:hAnsi="Arial"/>
                <w:sz w:val="14"/>
                <w:szCs w:val="14"/>
                <w:b w:val="1"/>
                <w:bCs w:val="1"/>
                <w:color w:val="auto"/>
              </w:rPr>
              <w:t>("2017/2019</w:t>
            </w:r>
          </w:p>
        </w:tc>
      </w:tr>
      <w:tr>
        <w:trPr>
          <w:trHeight w:val="170"/>
        </w:trPr>
        <w:tc>
          <w:tcPr>
            <w:tcW w:w="8460" w:type="dxa"/>
            <w:vAlign w:val="bottom"/>
          </w:tcPr>
          <w:p>
            <w:pPr>
              <w:spacing w:after="0"/>
              <w:rPr>
                <w:sz w:val="14"/>
                <w:szCs w:val="14"/>
                <w:color w:val="auto"/>
              </w:rPr>
            </w:pPr>
          </w:p>
        </w:tc>
        <w:tc>
          <w:tcPr>
            <w:tcW w:w="1660" w:type="dxa"/>
            <w:vAlign w:val="bottom"/>
          </w:tcPr>
          <w:p>
            <w:pPr>
              <w:jc w:val="right"/>
              <w:ind w:right="605"/>
              <w:spacing w:after="0"/>
              <w:rPr>
                <w:sz w:val="20"/>
                <w:szCs w:val="20"/>
                <w:color w:val="auto"/>
              </w:rPr>
            </w:pPr>
            <w:r>
              <w:rPr>
                <w:rFonts w:ascii="Arial" w:cs="Arial" w:eastAsia="Arial" w:hAnsi="Arial"/>
                <w:sz w:val="14"/>
                <w:szCs w:val="14"/>
                <w:b w:val="1"/>
                <w:bCs w:val="1"/>
                <w:color w:val="auto"/>
              </w:rPr>
              <w:t>Treaty")</w:t>
            </w:r>
          </w:p>
        </w:tc>
        <w:tc>
          <w:tcPr>
            <w:tcW w:w="1300" w:type="dxa"/>
            <w:vAlign w:val="bottom"/>
          </w:tcPr>
          <w:p>
            <w:pPr>
              <w:jc w:val="right"/>
              <w:ind w:right="425"/>
              <w:spacing w:after="0"/>
              <w:rPr>
                <w:sz w:val="20"/>
                <w:szCs w:val="20"/>
                <w:color w:val="auto"/>
              </w:rPr>
            </w:pPr>
            <w:r>
              <w:rPr>
                <w:rFonts w:ascii="Arial" w:cs="Arial" w:eastAsia="Arial" w:hAnsi="Arial"/>
                <w:sz w:val="14"/>
                <w:szCs w:val="14"/>
                <w:b w:val="1"/>
                <w:bCs w:val="1"/>
                <w:color w:val="auto"/>
              </w:rPr>
              <w:t>Treaty")</w:t>
            </w:r>
          </w:p>
        </w:tc>
      </w:tr>
      <w:tr>
        <w:trPr>
          <w:trHeight w:val="235"/>
        </w:trPr>
        <w:tc>
          <w:tcPr>
            <w:tcW w:w="846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r>
      <w:tr>
        <w:trPr>
          <w:trHeight w:val="209"/>
        </w:trPr>
        <w:tc>
          <w:tcPr>
            <w:tcW w:w="8460" w:type="dxa"/>
            <w:vAlign w:val="bottom"/>
          </w:tcPr>
          <w:p>
            <w:pPr>
              <w:ind w:left="40"/>
              <w:spacing w:after="0"/>
              <w:rPr>
                <w:sz w:val="20"/>
                <w:szCs w:val="20"/>
                <w:color w:val="auto"/>
              </w:rPr>
            </w:pPr>
            <w:r>
              <w:rPr>
                <w:rFonts w:ascii="Arial" w:cs="Arial" w:eastAsia="Arial" w:hAnsi="Arial"/>
                <w:sz w:val="17"/>
                <w:szCs w:val="17"/>
                <w:b w:val="1"/>
                <w:bCs w:val="1"/>
                <w:color w:val="auto"/>
              </w:rPr>
              <w:t>Quota share reinsurance rates</w:t>
            </w:r>
          </w:p>
        </w:tc>
        <w:tc>
          <w:tcPr>
            <w:tcW w:w="166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09"/>
        </w:trPr>
        <w:tc>
          <w:tcPr>
            <w:tcW w:w="8460" w:type="dxa"/>
            <w:vAlign w:val="bottom"/>
            <w:shd w:val="clear" w:color="auto" w:fill="CCEEFF"/>
          </w:tcPr>
          <w:p>
            <w:pPr>
              <w:ind w:left="40"/>
              <w:spacing w:after="0"/>
              <w:rPr>
                <w:sz w:val="20"/>
                <w:szCs w:val="20"/>
                <w:color w:val="auto"/>
              </w:rPr>
            </w:pPr>
            <w:r>
              <w:rPr>
                <w:rFonts w:ascii="Arial" w:cs="Arial" w:eastAsia="Arial" w:hAnsi="Arial"/>
                <w:sz w:val="17"/>
                <w:szCs w:val="17"/>
                <w:color w:val="auto"/>
              </w:rPr>
              <w:t>Personal lines</w:t>
            </w:r>
          </w:p>
        </w:tc>
        <w:tc>
          <w:tcPr>
            <w:tcW w:w="1660" w:type="dxa"/>
            <w:vAlign w:val="bottom"/>
            <w:shd w:val="clear" w:color="auto" w:fill="CCEEFF"/>
          </w:tcPr>
          <w:p>
            <w:pPr>
              <w:jc w:val="right"/>
              <w:ind w:right="105"/>
              <w:spacing w:after="0"/>
              <w:rPr>
                <w:sz w:val="20"/>
                <w:szCs w:val="20"/>
                <w:color w:val="auto"/>
              </w:rPr>
            </w:pPr>
            <w:r>
              <w:rPr>
                <w:rFonts w:ascii="Arial" w:cs="Arial" w:eastAsia="Arial" w:hAnsi="Arial"/>
                <w:sz w:val="17"/>
                <w:szCs w:val="17"/>
                <w:color w:val="auto"/>
              </w:rPr>
              <w:t>10%(1)</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20%(1)</w:t>
            </w:r>
          </w:p>
        </w:tc>
      </w:tr>
    </w:tbl>
    <w:p>
      <w:pPr>
        <w:spacing w:after="0" w:line="227" w:lineRule="exact"/>
        <w:rPr>
          <w:sz w:val="20"/>
          <w:szCs w:val="20"/>
          <w:color w:val="auto"/>
        </w:rPr>
      </w:pPr>
    </w:p>
    <w:p>
      <w:pPr>
        <w:ind w:left="640" w:right="3000" w:hanging="8"/>
        <w:spacing w:after="0" w:line="642" w:lineRule="auto"/>
        <w:tabs>
          <w:tab w:leader="none" w:pos="954" w:val="left"/>
        </w:tabs>
        <w:numPr>
          <w:ilvl w:val="0"/>
          <w:numId w:val="14"/>
        </w:numPr>
        <w:rPr>
          <w:rFonts w:ascii="Arial" w:cs="Arial" w:eastAsia="Arial" w:hAnsi="Arial"/>
          <w:sz w:val="15"/>
          <w:szCs w:val="15"/>
          <w:color w:val="auto"/>
        </w:rPr>
      </w:pPr>
      <w:r>
        <w:rPr>
          <w:rFonts w:ascii="Arial" w:cs="Arial" w:eastAsia="Arial" w:hAnsi="Arial"/>
          <w:sz w:val="15"/>
          <w:szCs w:val="15"/>
          <w:color w:val="auto"/>
        </w:rPr>
        <w:t>2017/2019 Treaty is a two-year treaty, quota share reinsurance rate was reduced to 10% effective July 1, 2018. See “Reinsurance” below for changes to our personal lines quota share treaties effective July 1, 2018 and 2017.</w:t>
      </w:r>
    </w:p>
    <w:p>
      <w:pPr>
        <w:spacing w:after="0" w:line="71"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25106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ectPr>
          <w:pgSz w:w="11900" w:h="16838" w:orient="portrait"/>
          <w:cols w:equalWidth="0" w:num="1">
            <w:col w:w="11460"/>
          </w:cols>
          <w:pgMar w:left="240" w:top="545" w:right="199" w:bottom="1440" w:gutter="0" w:footer="0" w:header="0"/>
        </w:sectPr>
      </w:pPr>
    </w:p>
    <w:bookmarkStart w:id="42" w:name="page43"/>
    <w:bookmarkEnd w:id="42"/>
    <w:p>
      <w:pPr>
        <w:jc w:val="both"/>
        <w:ind w:right="40" w:firstLine="628"/>
        <w:spacing w:after="0" w:line="283" w:lineRule="auto"/>
        <w:rPr>
          <w:sz w:val="20"/>
          <w:szCs w:val="20"/>
          <w:color w:val="auto"/>
        </w:rPr>
      </w:pPr>
      <w:r>
        <w:rPr>
          <w:rFonts w:ascii="Arial" w:cs="Arial" w:eastAsia="Arial" w:hAnsi="Arial"/>
          <w:sz w:val="16"/>
          <w:szCs w:val="16"/>
          <w:color w:val="auto"/>
        </w:rPr>
        <w:t>Net written premiums increased $6,661,000, or 28.1%, to $30,361,000 in Three Months 2019 from $23,700,000 in Three Months 2018. Net written premiums include direct and assumed premiums, less the amount of written premiums ceded under our reinsurance treaties (quota share, excess of loss, and catastrophe). Our personal lines business is currently subject to a quota share treaty. A reduction to the quota share percentage or elimination of a quota share treaty will reduce our ceded written premiums, which will result in a corresponding increase to our net written premiums. The increase in net written premiums is due to growth and the reductions of our personal lines quota share reinsurance rate from 20% to 10% on July 1, 2018.</w:t>
      </w:r>
    </w:p>
    <w:p>
      <w:pPr>
        <w:spacing w:after="0" w:line="106" w:lineRule="exact"/>
        <w:rPr>
          <w:sz w:val="20"/>
          <w:szCs w:val="20"/>
          <w:color w:val="auto"/>
        </w:rPr>
      </w:pPr>
    </w:p>
    <w:p>
      <w:pPr>
        <w:ind w:left="640"/>
        <w:spacing w:after="0"/>
        <w:rPr>
          <w:sz w:val="20"/>
          <w:szCs w:val="20"/>
          <w:color w:val="auto"/>
        </w:rPr>
      </w:pPr>
      <w:r>
        <w:rPr>
          <w:rFonts w:ascii="Arial" w:cs="Arial" w:eastAsia="Arial" w:hAnsi="Arial"/>
          <w:sz w:val="17"/>
          <w:szCs w:val="17"/>
          <w:i w:val="1"/>
          <w:iCs w:val="1"/>
          <w:color w:val="auto"/>
        </w:rPr>
        <w:t>Excess of loss reinsurance treaties</w:t>
      </w:r>
    </w:p>
    <w:p>
      <w:pPr>
        <w:spacing w:after="0" w:line="158" w:lineRule="exact"/>
        <w:rPr>
          <w:sz w:val="20"/>
          <w:szCs w:val="20"/>
          <w:color w:val="auto"/>
        </w:rPr>
      </w:pPr>
    </w:p>
    <w:p>
      <w:pPr>
        <w:jc w:val="both"/>
        <w:ind w:right="40" w:firstLine="628"/>
        <w:spacing w:after="0" w:line="269" w:lineRule="auto"/>
        <w:rPr>
          <w:sz w:val="20"/>
          <w:szCs w:val="20"/>
          <w:color w:val="auto"/>
        </w:rPr>
      </w:pPr>
      <w:r>
        <w:rPr>
          <w:rFonts w:ascii="Arial" w:cs="Arial" w:eastAsia="Arial" w:hAnsi="Arial"/>
          <w:sz w:val="17"/>
          <w:szCs w:val="17"/>
          <w:color w:val="auto"/>
        </w:rPr>
        <w:t>An increase in written premiums will increase the premiums ceded under our excess of loss treaties. In Three Months 2019, our ceded excess of loss reinsurance premiums increased by $116,000 over the comparable ceded premiums for Three Months 2018. The increase was due to an increase in premiums subject to excess of loss reinsurance.</w:t>
      </w:r>
    </w:p>
    <w:p>
      <w:pPr>
        <w:spacing w:after="0" w:line="114" w:lineRule="exact"/>
        <w:rPr>
          <w:sz w:val="20"/>
          <w:szCs w:val="20"/>
          <w:color w:val="auto"/>
        </w:rPr>
      </w:pPr>
    </w:p>
    <w:p>
      <w:pPr>
        <w:ind w:left="640"/>
        <w:spacing w:after="0"/>
        <w:rPr>
          <w:sz w:val="20"/>
          <w:szCs w:val="20"/>
          <w:color w:val="auto"/>
        </w:rPr>
      </w:pPr>
      <w:r>
        <w:rPr>
          <w:rFonts w:ascii="Arial" w:cs="Arial" w:eastAsia="Arial" w:hAnsi="Arial"/>
          <w:sz w:val="17"/>
          <w:szCs w:val="17"/>
          <w:i w:val="1"/>
          <w:iCs w:val="1"/>
          <w:color w:val="auto"/>
        </w:rPr>
        <w:t>Catastrophe reinsurance treaties</w:t>
      </w:r>
    </w:p>
    <w:p>
      <w:pPr>
        <w:spacing w:after="0" w:line="158" w:lineRule="exact"/>
        <w:rPr>
          <w:sz w:val="20"/>
          <w:szCs w:val="20"/>
          <w:color w:val="auto"/>
        </w:rPr>
      </w:pPr>
    </w:p>
    <w:p>
      <w:pPr>
        <w:jc w:val="both"/>
        <w:ind w:right="40" w:firstLine="628"/>
        <w:spacing w:after="0" w:line="281" w:lineRule="auto"/>
        <w:rPr>
          <w:sz w:val="20"/>
          <w:szCs w:val="20"/>
          <w:color w:val="auto"/>
        </w:rPr>
      </w:pPr>
      <w:r>
        <w:rPr>
          <w:rFonts w:ascii="Arial" w:cs="Arial" w:eastAsia="Arial" w:hAnsi="Arial"/>
          <w:sz w:val="16"/>
          <w:szCs w:val="16"/>
          <w:color w:val="auto"/>
        </w:rPr>
        <w:t>Most of the premiums written under our personal lines are also subject to our catastrophe treaties. An increase in our personal lines business gives rise to more property exposure, which increases our exposure to catastrophe risk; therefore, our premiums ceded under catastrophe treaties will increase. This results in an increase in premiums ceded under our catastrophe treaties provided that reinsurance rates are stable or are increasing. In Three Months 2019, our premiums ceded under catastrophe treaties increased by $933,000 over the comparable ceded premiums for Three Months 2018. The increase was due to an increase in our catastrophe coverage and an increase in premiums subject to catastrophe reinsurance, partially offset by more favorable reinsurance rates in Three Months 2019. Our ceded catastrophe premiums are paid based on the total direct written premiums subject to the catastrophe reinsurance treaty.</w:t>
      </w:r>
    </w:p>
    <w:p>
      <w:pPr>
        <w:spacing w:after="0" w:line="107" w:lineRule="exact"/>
        <w:rPr>
          <w:sz w:val="20"/>
          <w:szCs w:val="20"/>
          <w:color w:val="auto"/>
        </w:rPr>
      </w:pPr>
    </w:p>
    <w:p>
      <w:pPr>
        <w:ind w:left="640"/>
        <w:spacing w:after="0"/>
        <w:rPr>
          <w:sz w:val="20"/>
          <w:szCs w:val="20"/>
          <w:color w:val="auto"/>
        </w:rPr>
      </w:pPr>
      <w:r>
        <w:rPr>
          <w:rFonts w:ascii="Arial" w:cs="Arial" w:eastAsia="Arial" w:hAnsi="Arial"/>
          <w:sz w:val="17"/>
          <w:szCs w:val="17"/>
          <w:i w:val="1"/>
          <w:iCs w:val="1"/>
          <w:color w:val="auto"/>
        </w:rPr>
        <w:t>Net premiums earned</w:t>
      </w:r>
    </w:p>
    <w:p>
      <w:pPr>
        <w:spacing w:after="0" w:line="158" w:lineRule="exact"/>
        <w:rPr>
          <w:sz w:val="20"/>
          <w:szCs w:val="20"/>
          <w:color w:val="auto"/>
        </w:rPr>
      </w:pPr>
    </w:p>
    <w:p>
      <w:pPr>
        <w:jc w:val="both"/>
        <w:ind w:right="40" w:firstLine="628"/>
        <w:spacing w:after="0" w:line="351" w:lineRule="auto"/>
        <w:rPr>
          <w:sz w:val="20"/>
          <w:szCs w:val="20"/>
          <w:color w:val="auto"/>
        </w:rPr>
      </w:pPr>
      <w:r>
        <w:rPr>
          <w:rFonts w:ascii="Arial" w:cs="Arial" w:eastAsia="Arial" w:hAnsi="Arial"/>
          <w:sz w:val="15"/>
          <w:szCs w:val="15"/>
          <w:color w:val="auto"/>
        </w:rPr>
        <w:t>Net premiums earned increased $6,758,000, or 29.6%, to $29,596,000 in Three Months 2019 from $22,838,000 in Three Months 2018. The increase was due to the increase in written premiums discussed above and our retaining more earned premiums effective July 1, 2018, as a result of the reduction of the quota share.</w:t>
      </w:r>
    </w:p>
    <w:p>
      <w:pPr>
        <w:spacing w:after="0" w:line="5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Ceding Commission Revenue</w:t>
      </w:r>
    </w:p>
    <w:p>
      <w:pPr>
        <w:spacing w:after="0" w:line="158" w:lineRule="exact"/>
        <w:rPr>
          <w:sz w:val="20"/>
          <w:szCs w:val="20"/>
          <w:color w:val="auto"/>
        </w:rPr>
      </w:pPr>
    </w:p>
    <w:p>
      <w:pPr>
        <w:jc w:val="both"/>
        <w:ind w:right="40" w:firstLine="628"/>
        <w:spacing w:after="0" w:line="281" w:lineRule="auto"/>
        <w:rPr>
          <w:sz w:val="20"/>
          <w:szCs w:val="20"/>
          <w:color w:val="auto"/>
        </w:rPr>
      </w:pPr>
      <w:r>
        <w:rPr>
          <w:rFonts w:ascii="Arial" w:cs="Arial" w:eastAsia="Arial" w:hAnsi="Arial"/>
          <w:sz w:val="17"/>
          <w:szCs w:val="17"/>
          <w:color w:val="auto"/>
        </w:rPr>
        <w:t>The following table details the quota share provisional ceding commission rates in effect during Three Months 2019 and Three Month 2018. This table should be referred to in conjunction with the discussion for ceding commission revenue that follows.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20" w:type="dxa"/>
            <w:vAlign w:val="bottom"/>
          </w:tcPr>
          <w:p>
            <w:pPr>
              <w:spacing w:after="0"/>
              <w:rPr>
                <w:sz w:val="16"/>
                <w:szCs w:val="16"/>
                <w:color w:val="auto"/>
              </w:rPr>
            </w:pPr>
          </w:p>
        </w:tc>
        <w:tc>
          <w:tcPr>
            <w:tcW w:w="4220" w:type="dxa"/>
            <w:vAlign w:val="bottom"/>
          </w:tcPr>
          <w:p>
            <w:pPr>
              <w:spacing w:after="0"/>
              <w:rPr>
                <w:sz w:val="16"/>
                <w:szCs w:val="16"/>
                <w:color w:val="auto"/>
              </w:rPr>
            </w:pPr>
          </w:p>
        </w:tc>
        <w:tc>
          <w:tcPr>
            <w:tcW w:w="23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1"/>
              </w:rPr>
              <w:t>Three months ended</w:t>
            </w:r>
          </w:p>
        </w:tc>
      </w:tr>
      <w:tr>
        <w:trPr>
          <w:trHeight w:val="226"/>
        </w:trPr>
        <w:tc>
          <w:tcPr>
            <w:tcW w:w="492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22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5"/>
              </w:rPr>
              <w:t>March 31,</w:t>
            </w:r>
          </w:p>
        </w:tc>
        <w:tc>
          <w:tcPr>
            <w:tcW w:w="40" w:type="dxa"/>
            <w:vAlign w:val="bottom"/>
          </w:tcPr>
          <w:p>
            <w:pPr>
              <w:spacing w:after="0"/>
              <w:rPr>
                <w:sz w:val="19"/>
                <w:szCs w:val="19"/>
                <w:color w:val="auto"/>
              </w:rPr>
            </w:pPr>
          </w:p>
        </w:tc>
      </w:tr>
      <w:tr>
        <w:trPr>
          <w:trHeight w:val="242"/>
        </w:trPr>
        <w:tc>
          <w:tcPr>
            <w:tcW w:w="4920" w:type="dxa"/>
            <w:vAlign w:val="bottom"/>
          </w:tcPr>
          <w:p>
            <w:pPr>
              <w:spacing w:after="0"/>
              <w:rPr>
                <w:sz w:val="21"/>
                <w:szCs w:val="21"/>
                <w:color w:val="auto"/>
              </w:rPr>
            </w:pPr>
          </w:p>
        </w:tc>
        <w:tc>
          <w:tcPr>
            <w:tcW w:w="5480" w:type="dxa"/>
            <w:vAlign w:val="bottom"/>
            <w:gridSpan w:val="2"/>
          </w:tcPr>
          <w:p>
            <w:pPr>
              <w:jc w:val="right"/>
              <w:ind w:right="468"/>
              <w:spacing w:after="0"/>
              <w:rPr>
                <w:sz w:val="20"/>
                <w:szCs w:val="20"/>
                <w:color w:val="auto"/>
              </w:rPr>
            </w:pPr>
            <w:r>
              <w:rPr>
                <w:rFonts w:ascii="Arial" w:cs="Arial" w:eastAsia="Arial" w:hAnsi="Arial"/>
                <w:sz w:val="14"/>
                <w:szCs w:val="14"/>
                <w:b w:val="1"/>
                <w:bCs w:val="1"/>
                <w:color w:val="auto"/>
              </w:rPr>
              <w:t>2019</w:t>
            </w:r>
          </w:p>
        </w:tc>
        <w:tc>
          <w:tcPr>
            <w:tcW w:w="1020" w:type="dxa"/>
            <w:vAlign w:val="bottom"/>
          </w:tcPr>
          <w:p>
            <w:pPr>
              <w:jc w:val="right"/>
              <w:ind w:right="345"/>
              <w:spacing w:after="0"/>
              <w:rPr>
                <w:sz w:val="20"/>
                <w:szCs w:val="20"/>
                <w:color w:val="auto"/>
              </w:rPr>
            </w:pPr>
            <w:r>
              <w:rPr>
                <w:rFonts w:ascii="Arial" w:cs="Arial" w:eastAsia="Arial" w:hAnsi="Arial"/>
                <w:sz w:val="14"/>
                <w:szCs w:val="14"/>
                <w:b w:val="1"/>
                <w:bCs w:val="1"/>
                <w:color w:val="auto"/>
              </w:rPr>
              <w:t>2018</w:t>
            </w:r>
          </w:p>
        </w:tc>
        <w:tc>
          <w:tcPr>
            <w:tcW w:w="40" w:type="dxa"/>
            <w:vAlign w:val="bottom"/>
          </w:tcPr>
          <w:p>
            <w:pPr>
              <w:spacing w:after="0"/>
              <w:rPr>
                <w:sz w:val="21"/>
                <w:szCs w:val="21"/>
                <w:color w:val="auto"/>
              </w:rPr>
            </w:pPr>
          </w:p>
        </w:tc>
      </w:tr>
      <w:tr>
        <w:trPr>
          <w:trHeight w:val="144"/>
        </w:trPr>
        <w:tc>
          <w:tcPr>
            <w:tcW w:w="49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260" w:type="dxa"/>
            <w:vAlign w:val="bottom"/>
            <w:tcBorders>
              <w:top w:val="single" w:sz="8" w:color="auto"/>
            </w:tcBorders>
          </w:tcPr>
          <w:p>
            <w:pPr>
              <w:jc w:val="right"/>
              <w:ind w:right="248"/>
              <w:spacing w:after="0" w:line="144" w:lineRule="exact"/>
              <w:rPr>
                <w:sz w:val="20"/>
                <w:szCs w:val="20"/>
                <w:color w:val="auto"/>
              </w:rPr>
            </w:pPr>
            <w:r>
              <w:rPr>
                <w:rFonts w:ascii="Arial" w:cs="Arial" w:eastAsia="Arial" w:hAnsi="Arial"/>
                <w:sz w:val="14"/>
                <w:szCs w:val="14"/>
                <w:b w:val="1"/>
                <w:bCs w:val="1"/>
                <w:color w:val="auto"/>
              </w:rPr>
              <w:t>("2017/2019</w:t>
            </w:r>
          </w:p>
        </w:tc>
        <w:tc>
          <w:tcPr>
            <w:tcW w:w="1020" w:type="dxa"/>
            <w:vAlign w:val="bottom"/>
            <w:tcBorders>
              <w:top w:val="single" w:sz="8" w:color="auto"/>
            </w:tcBorders>
          </w:tcPr>
          <w:p>
            <w:pPr>
              <w:jc w:val="right"/>
              <w:ind w:right="125"/>
              <w:spacing w:after="0" w:line="144" w:lineRule="exact"/>
              <w:rPr>
                <w:sz w:val="20"/>
                <w:szCs w:val="20"/>
                <w:color w:val="auto"/>
              </w:rPr>
            </w:pPr>
            <w:r>
              <w:rPr>
                <w:rFonts w:ascii="Arial" w:cs="Arial" w:eastAsia="Arial" w:hAnsi="Arial"/>
                <w:sz w:val="14"/>
                <w:szCs w:val="14"/>
                <w:b w:val="1"/>
                <w:bCs w:val="1"/>
                <w:color w:val="auto"/>
              </w:rPr>
              <w:t>("2017/2019</w:t>
            </w:r>
          </w:p>
        </w:tc>
        <w:tc>
          <w:tcPr>
            <w:tcW w:w="40" w:type="dxa"/>
            <w:vAlign w:val="bottom"/>
          </w:tcPr>
          <w:p>
            <w:pPr>
              <w:spacing w:after="0"/>
              <w:rPr>
                <w:sz w:val="12"/>
                <w:szCs w:val="12"/>
                <w:color w:val="auto"/>
              </w:rPr>
            </w:pPr>
          </w:p>
        </w:tc>
      </w:tr>
      <w:tr>
        <w:trPr>
          <w:trHeight w:val="186"/>
        </w:trPr>
        <w:tc>
          <w:tcPr>
            <w:tcW w:w="4920" w:type="dxa"/>
            <w:vAlign w:val="bottom"/>
          </w:tcPr>
          <w:p>
            <w:pPr>
              <w:spacing w:after="0"/>
              <w:rPr>
                <w:sz w:val="16"/>
                <w:szCs w:val="16"/>
                <w:color w:val="auto"/>
              </w:rPr>
            </w:pPr>
          </w:p>
        </w:tc>
        <w:tc>
          <w:tcPr>
            <w:tcW w:w="4220" w:type="dxa"/>
            <w:vAlign w:val="bottom"/>
          </w:tcPr>
          <w:p>
            <w:pPr>
              <w:spacing w:after="0"/>
              <w:rPr>
                <w:sz w:val="16"/>
                <w:szCs w:val="16"/>
                <w:color w:val="auto"/>
              </w:rPr>
            </w:pPr>
          </w:p>
        </w:tc>
        <w:tc>
          <w:tcPr>
            <w:tcW w:w="1260" w:type="dxa"/>
            <w:vAlign w:val="bottom"/>
          </w:tcPr>
          <w:p>
            <w:pPr>
              <w:jc w:val="right"/>
              <w:ind w:right="348"/>
              <w:spacing w:after="0"/>
              <w:rPr>
                <w:sz w:val="20"/>
                <w:szCs w:val="20"/>
                <w:color w:val="auto"/>
              </w:rPr>
            </w:pPr>
            <w:r>
              <w:rPr>
                <w:rFonts w:ascii="Arial" w:cs="Arial" w:eastAsia="Arial" w:hAnsi="Arial"/>
                <w:sz w:val="14"/>
                <w:szCs w:val="14"/>
                <w:b w:val="1"/>
                <w:bCs w:val="1"/>
                <w:color w:val="auto"/>
              </w:rPr>
              <w:t>Treaty")</w:t>
            </w:r>
          </w:p>
        </w:tc>
        <w:tc>
          <w:tcPr>
            <w:tcW w:w="1060" w:type="dxa"/>
            <w:vAlign w:val="bottom"/>
            <w:gridSpan w:val="2"/>
          </w:tcPr>
          <w:p>
            <w:pPr>
              <w:ind w:left="180"/>
              <w:spacing w:after="0"/>
              <w:rPr>
                <w:sz w:val="20"/>
                <w:szCs w:val="20"/>
                <w:color w:val="auto"/>
              </w:rPr>
            </w:pPr>
            <w:r>
              <w:rPr>
                <w:rFonts w:ascii="Arial" w:cs="Arial" w:eastAsia="Arial" w:hAnsi="Arial"/>
                <w:sz w:val="14"/>
                <w:szCs w:val="14"/>
                <w:b w:val="1"/>
                <w:bCs w:val="1"/>
                <w:color w:val="auto"/>
              </w:rPr>
              <w:t>Treaty")</w:t>
            </w:r>
          </w:p>
        </w:tc>
      </w:tr>
      <w:tr>
        <w:trPr>
          <w:trHeight w:val="453"/>
        </w:trPr>
        <w:tc>
          <w:tcPr>
            <w:tcW w:w="4920" w:type="dxa"/>
            <w:vAlign w:val="bottom"/>
          </w:tcPr>
          <w:p>
            <w:pPr>
              <w:ind w:left="40"/>
              <w:spacing w:after="0"/>
              <w:rPr>
                <w:sz w:val="20"/>
                <w:szCs w:val="20"/>
                <w:color w:val="auto"/>
              </w:rPr>
            </w:pPr>
            <w:r>
              <w:rPr>
                <w:rFonts w:ascii="Arial" w:cs="Arial" w:eastAsia="Arial" w:hAnsi="Arial"/>
                <w:sz w:val="17"/>
                <w:szCs w:val="17"/>
                <w:b w:val="1"/>
                <w:bCs w:val="1"/>
                <w:color w:val="auto"/>
              </w:rPr>
              <w:t>Provisional ceding commission rate on quota share treaty</w:t>
            </w:r>
          </w:p>
        </w:tc>
        <w:tc>
          <w:tcPr>
            <w:tcW w:w="4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2"/>
        </w:trPr>
        <w:tc>
          <w:tcPr>
            <w:tcW w:w="49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Personal lines</w:t>
            </w:r>
          </w:p>
        </w:tc>
        <w:tc>
          <w:tcPr>
            <w:tcW w:w="5480" w:type="dxa"/>
            <w:vAlign w:val="bottom"/>
            <w:gridSpan w:val="2"/>
            <w:shd w:val="clear" w:color="auto" w:fill="CCEEFF"/>
          </w:tcPr>
          <w:p>
            <w:pPr>
              <w:jc w:val="right"/>
              <w:ind w:right="8"/>
              <w:spacing w:after="0"/>
              <w:rPr>
                <w:sz w:val="20"/>
                <w:szCs w:val="20"/>
                <w:color w:val="auto"/>
              </w:rPr>
            </w:pPr>
            <w:r>
              <w:rPr>
                <w:rFonts w:ascii="Arial" w:cs="Arial" w:eastAsia="Arial" w:hAnsi="Arial"/>
                <w:sz w:val="17"/>
                <w:szCs w:val="17"/>
                <w:color w:val="auto"/>
              </w:rPr>
              <w:t>53%</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w:t>
            </w:r>
          </w:p>
        </w:tc>
        <w:tc>
          <w:tcPr>
            <w:tcW w:w="40" w:type="dxa"/>
            <w:vAlign w:val="bottom"/>
          </w:tcPr>
          <w:p>
            <w:pPr>
              <w:spacing w:after="0"/>
              <w:rPr>
                <w:sz w:val="18"/>
                <w:szCs w:val="18"/>
                <w:color w:val="auto"/>
              </w:rPr>
            </w:pPr>
          </w:p>
        </w:tc>
      </w:tr>
      <w:tr>
        <w:trPr>
          <w:trHeight w:val="574"/>
        </w:trPr>
        <w:tc>
          <w:tcPr>
            <w:tcW w:w="4920" w:type="dxa"/>
            <w:vAlign w:val="bottom"/>
            <w:tcBorders>
              <w:bottom w:val="single" w:sz="8" w:color="auto"/>
            </w:tcBorders>
          </w:tcPr>
          <w:p>
            <w:pPr>
              <w:spacing w:after="0"/>
              <w:rPr>
                <w:sz w:val="24"/>
                <w:szCs w:val="24"/>
                <w:color w:val="auto"/>
              </w:rPr>
            </w:pPr>
          </w:p>
        </w:tc>
        <w:tc>
          <w:tcPr>
            <w:tcW w:w="4220" w:type="dxa"/>
            <w:vAlign w:val="bottom"/>
            <w:tcBorders>
              <w:bottom w:val="single" w:sz="8" w:color="auto"/>
            </w:tcBorders>
          </w:tcPr>
          <w:p>
            <w:pPr>
              <w:jc w:val="right"/>
              <w:ind w:right="3259"/>
              <w:spacing w:after="0"/>
              <w:rPr>
                <w:sz w:val="20"/>
                <w:szCs w:val="20"/>
                <w:color w:val="auto"/>
              </w:rPr>
            </w:pPr>
            <w:r>
              <w:rPr>
                <w:rFonts w:ascii="Arial" w:cs="Arial" w:eastAsia="Arial" w:hAnsi="Arial"/>
                <w:sz w:val="17"/>
                <w:szCs w:val="17"/>
                <w:color w:val="auto"/>
              </w:rPr>
              <w:t>43</w:t>
            </w:r>
          </w:p>
        </w:tc>
        <w:tc>
          <w:tcPr>
            <w:tcW w:w="12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460"/>
          </w:cols>
          <w:pgMar w:left="240" w:top="497" w:right="199" w:bottom="1440" w:gutter="0" w:footer="0" w:header="0"/>
        </w:sectPr>
      </w:pPr>
    </w:p>
    <w:bookmarkStart w:id="43" w:name="page44"/>
    <w:bookmarkEnd w:id="43"/>
    <w:p>
      <w:pPr>
        <w:ind w:left="640"/>
        <w:spacing w:after="0"/>
        <w:rPr>
          <w:sz w:val="20"/>
          <w:szCs w:val="20"/>
          <w:color w:val="auto"/>
        </w:rPr>
      </w:pPr>
      <w:r>
        <w:rPr>
          <w:rFonts w:ascii="Arial" w:cs="Arial" w:eastAsia="Arial" w:hAnsi="Arial"/>
          <w:sz w:val="17"/>
          <w:szCs w:val="17"/>
          <w:color w:val="auto"/>
        </w:rPr>
        <w:t>The following table summarizes the changes in the components of ceding commission revenue (in thousands) for the periods indicated: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686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 in thousands)</w:t>
            </w:r>
          </w:p>
        </w:tc>
        <w:tc>
          <w:tcPr>
            <w:tcW w:w="3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gridSpan w:val="4"/>
          </w:tcPr>
          <w:p>
            <w:pPr>
              <w:jc w:val="right"/>
              <w:ind w:right="97"/>
              <w:spacing w:after="0"/>
              <w:rPr>
                <w:sz w:val="20"/>
                <w:szCs w:val="20"/>
                <w:color w:val="auto"/>
              </w:rPr>
            </w:pPr>
            <w:r>
              <w:rPr>
                <w:rFonts w:ascii="Arial" w:cs="Arial" w:eastAsia="Arial" w:hAnsi="Arial"/>
                <w:sz w:val="14"/>
                <w:szCs w:val="14"/>
                <w:b w:val="1"/>
                <w:bCs w:val="1"/>
                <w:color w:val="auto"/>
                <w:w w:val="98"/>
              </w:rPr>
              <w:t>Three months ended March 31,</w:t>
            </w:r>
          </w:p>
        </w:tc>
        <w:tc>
          <w:tcPr>
            <w:tcW w:w="11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6860" w:type="dxa"/>
            <w:vAlign w:val="bottom"/>
            <w:gridSpan w:val="2"/>
            <w:vMerge w:val="continue"/>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Change</w:t>
            </w:r>
          </w:p>
        </w:tc>
        <w:tc>
          <w:tcPr>
            <w:tcW w:w="114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Percent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1"/>
        </w:trPr>
        <w:tc>
          <w:tcPr>
            <w:tcW w:w="20" w:type="dxa"/>
            <w:vAlign w:val="bottom"/>
          </w:tcPr>
          <w:p>
            <w:pPr>
              <w:spacing w:after="0"/>
              <w:rPr>
                <w:sz w:val="24"/>
                <w:szCs w:val="24"/>
                <w:color w:val="auto"/>
              </w:rPr>
            </w:pPr>
          </w:p>
        </w:tc>
        <w:tc>
          <w:tcPr>
            <w:tcW w:w="6840" w:type="dxa"/>
            <w:vAlign w:val="bottom"/>
          </w:tcPr>
          <w:p>
            <w:pPr>
              <w:spacing w:after="0"/>
              <w:rPr>
                <w:sz w:val="20"/>
                <w:szCs w:val="20"/>
                <w:color w:val="auto"/>
              </w:rPr>
            </w:pPr>
            <w:r>
              <w:rPr>
                <w:rFonts w:ascii="Arial" w:cs="Arial" w:eastAsia="Arial" w:hAnsi="Arial"/>
                <w:sz w:val="17"/>
                <w:szCs w:val="17"/>
                <w:color w:val="auto"/>
              </w:rPr>
              <w:t>Provisional ceding commissions earned</w:t>
            </w:r>
          </w:p>
        </w:tc>
        <w:tc>
          <w:tcPr>
            <w:tcW w:w="3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tcPr>
          <w:p>
            <w:pPr>
              <w:jc w:val="right"/>
              <w:ind w:right="57"/>
              <w:spacing w:after="0"/>
              <w:rPr>
                <w:sz w:val="20"/>
                <w:szCs w:val="20"/>
                <w:color w:val="auto"/>
              </w:rPr>
            </w:pPr>
            <w:r>
              <w:rPr>
                <w:rFonts w:ascii="Arial" w:cs="Arial" w:eastAsia="Arial" w:hAnsi="Arial"/>
                <w:sz w:val="17"/>
                <w:szCs w:val="17"/>
                <w:color w:val="auto"/>
              </w:rPr>
              <w:t>1,318</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tcPr>
          <w:p>
            <w:pPr>
              <w:jc w:val="right"/>
              <w:ind w:right="57"/>
              <w:spacing w:after="0"/>
              <w:rPr>
                <w:sz w:val="20"/>
                <w:szCs w:val="20"/>
                <w:color w:val="auto"/>
              </w:rPr>
            </w:pPr>
            <w:r>
              <w:rPr>
                <w:rFonts w:ascii="Arial" w:cs="Arial" w:eastAsia="Arial" w:hAnsi="Arial"/>
                <w:sz w:val="17"/>
                <w:szCs w:val="17"/>
                <w:color w:val="auto"/>
              </w:rPr>
              <w:t>2,067</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(749)</w:t>
            </w:r>
          </w:p>
        </w:tc>
        <w:tc>
          <w:tcPr>
            <w:tcW w:w="1220" w:type="dxa"/>
            <w:vAlign w:val="bottom"/>
            <w:gridSpan w:val="2"/>
          </w:tcPr>
          <w:p>
            <w:pPr>
              <w:jc w:val="right"/>
              <w:spacing w:after="0"/>
              <w:rPr>
                <w:sz w:val="20"/>
                <w:szCs w:val="20"/>
                <w:color w:val="auto"/>
              </w:rPr>
            </w:pPr>
            <w:r>
              <w:rPr>
                <w:rFonts w:ascii="Arial" w:cs="Arial" w:eastAsia="Arial" w:hAnsi="Arial"/>
                <w:sz w:val="17"/>
                <w:szCs w:val="17"/>
                <w:color w:val="auto"/>
              </w:rPr>
              <w:t>(36.2)%</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6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7"/>
                <w:szCs w:val="17"/>
                <w:color w:val="auto"/>
              </w:rPr>
              <w:t>Contingent ceding commissions earned</w:t>
            </w: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840" w:type="dxa"/>
            <w:vAlign w:val="bottom"/>
          </w:tcPr>
          <w:p>
            <w:pPr>
              <w:ind w:left="140"/>
              <w:spacing w:after="0"/>
              <w:rPr>
                <w:sz w:val="20"/>
                <w:szCs w:val="20"/>
                <w:color w:val="auto"/>
              </w:rPr>
            </w:pPr>
            <w:r>
              <w:rPr>
                <w:rFonts w:ascii="Arial" w:cs="Arial" w:eastAsia="Arial" w:hAnsi="Arial"/>
                <w:sz w:val="17"/>
                <w:szCs w:val="17"/>
                <w:color w:val="auto"/>
              </w:rPr>
              <w:t>Contingent ceding commissions earned excluding</w:t>
            </w: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840" w:type="dxa"/>
            <w:vAlign w:val="bottom"/>
            <w:shd w:val="clear" w:color="auto" w:fill="CCEEFF"/>
          </w:tcPr>
          <w:p>
            <w:pPr>
              <w:ind w:left="300"/>
              <w:spacing w:after="0"/>
              <w:rPr>
                <w:sz w:val="20"/>
                <w:szCs w:val="20"/>
                <w:color w:val="auto"/>
              </w:rPr>
            </w:pPr>
            <w:r>
              <w:rPr>
                <w:rFonts w:ascii="Arial" w:cs="Arial" w:eastAsia="Arial" w:hAnsi="Arial"/>
                <w:sz w:val="17"/>
                <w:szCs w:val="17"/>
                <w:color w:val="auto"/>
              </w:rPr>
              <w:t>the effect of catastrophes</w:t>
            </w: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w:t>
            </w: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840" w:type="dxa"/>
            <w:vAlign w:val="bottom"/>
          </w:tcPr>
          <w:p>
            <w:pPr>
              <w:ind w:left="140"/>
              <w:spacing w:after="0"/>
              <w:rPr>
                <w:sz w:val="20"/>
                <w:szCs w:val="20"/>
                <w:color w:val="auto"/>
              </w:rPr>
            </w:pPr>
            <w:r>
              <w:rPr>
                <w:rFonts w:ascii="Arial" w:cs="Arial" w:eastAsia="Arial" w:hAnsi="Arial"/>
                <w:sz w:val="17"/>
                <w:szCs w:val="17"/>
                <w:color w:val="auto"/>
              </w:rPr>
              <w:t>Effect of catastrophes on ceding commissions earned</w:t>
            </w:r>
          </w:p>
        </w:tc>
        <w:tc>
          <w:tcPr>
            <w:tcW w:w="3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57"/>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(334)</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334</w:t>
            </w:r>
          </w:p>
        </w:tc>
        <w:tc>
          <w:tcPr>
            <w:tcW w:w="1140" w:type="dxa"/>
            <w:vAlign w:val="bottom"/>
          </w:tcPr>
          <w:p>
            <w:pPr>
              <w:jc w:val="right"/>
              <w:ind w:right="37"/>
              <w:spacing w:after="0"/>
              <w:rPr>
                <w:sz w:val="20"/>
                <w:szCs w:val="20"/>
                <w:color w:val="auto"/>
              </w:rPr>
            </w:pPr>
            <w:r>
              <w:rPr>
                <w:rFonts w:ascii="Arial" w:cs="Arial" w:eastAsia="Arial" w:hAnsi="Arial"/>
                <w:sz w:val="17"/>
                <w:szCs w:val="17"/>
                <w:color w:val="auto"/>
              </w:rPr>
              <w:t>n/a</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840" w:type="dxa"/>
            <w:vAlign w:val="bottom"/>
          </w:tcPr>
          <w:p>
            <w:pPr>
              <w:ind w:left="140"/>
              <w:spacing w:after="0"/>
              <w:rPr>
                <w:sz w:val="20"/>
                <w:szCs w:val="20"/>
                <w:color w:val="auto"/>
              </w:rPr>
            </w:pPr>
            <w:r>
              <w:rPr>
                <w:rFonts w:ascii="Arial" w:cs="Arial" w:eastAsia="Arial" w:hAnsi="Arial"/>
                <w:sz w:val="17"/>
                <w:szCs w:val="17"/>
                <w:color w:val="auto"/>
              </w:rPr>
              <w:t>Contingent ceding commissions earned</w:t>
            </w:r>
          </w:p>
        </w:tc>
        <w:tc>
          <w:tcPr>
            <w:tcW w:w="3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w:t>
            </w: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(372)</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332</w:t>
            </w:r>
          </w:p>
        </w:tc>
        <w:tc>
          <w:tcPr>
            <w:tcW w:w="1220" w:type="dxa"/>
            <w:vAlign w:val="bottom"/>
            <w:gridSpan w:val="2"/>
          </w:tcPr>
          <w:p>
            <w:pPr>
              <w:jc w:val="right"/>
              <w:spacing w:after="0"/>
              <w:rPr>
                <w:sz w:val="20"/>
                <w:szCs w:val="20"/>
                <w:color w:val="auto"/>
              </w:rPr>
            </w:pPr>
            <w:r>
              <w:rPr>
                <w:rFonts w:ascii="Arial" w:cs="Arial" w:eastAsia="Arial" w:hAnsi="Arial"/>
                <w:sz w:val="17"/>
                <w:szCs w:val="17"/>
                <w:color w:val="auto"/>
              </w:rPr>
              <w:t>(89.2)%</w:t>
            </w:r>
          </w:p>
        </w:tc>
        <w:tc>
          <w:tcPr>
            <w:tcW w:w="0" w:type="dxa"/>
            <w:vAlign w:val="bottom"/>
          </w:tcPr>
          <w:p>
            <w:pPr>
              <w:spacing w:after="0"/>
              <w:rPr>
                <w:sz w:val="1"/>
                <w:szCs w:val="1"/>
                <w:color w:val="auto"/>
              </w:rPr>
            </w:pPr>
          </w:p>
        </w:tc>
      </w:tr>
      <w:tr>
        <w:trPr>
          <w:trHeight w:val="417"/>
        </w:trPr>
        <w:tc>
          <w:tcPr>
            <w:tcW w:w="20" w:type="dxa"/>
            <w:vAlign w:val="bottom"/>
          </w:tcPr>
          <w:p>
            <w:pPr>
              <w:spacing w:after="0"/>
              <w:rPr>
                <w:sz w:val="24"/>
                <w:szCs w:val="24"/>
                <w:color w:val="auto"/>
              </w:rPr>
            </w:pPr>
          </w:p>
        </w:tc>
        <w:tc>
          <w:tcPr>
            <w:tcW w:w="6840" w:type="dxa"/>
            <w:vAlign w:val="bottom"/>
          </w:tcPr>
          <w:p>
            <w:pPr>
              <w:spacing w:after="0"/>
              <w:rPr>
                <w:sz w:val="20"/>
                <w:szCs w:val="20"/>
                <w:color w:val="auto"/>
              </w:rPr>
            </w:pPr>
            <w:r>
              <w:rPr>
                <w:rFonts w:ascii="Arial" w:cs="Arial" w:eastAsia="Arial" w:hAnsi="Arial"/>
                <w:sz w:val="17"/>
                <w:szCs w:val="17"/>
                <w:color w:val="auto"/>
              </w:rPr>
              <w:t>Total ceding commission revenue</w:t>
            </w:r>
          </w:p>
        </w:tc>
        <w:tc>
          <w:tcPr>
            <w:tcW w:w="3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tcPr>
          <w:p>
            <w:pPr>
              <w:jc w:val="right"/>
              <w:ind w:right="57"/>
              <w:spacing w:after="0"/>
              <w:rPr>
                <w:sz w:val="20"/>
                <w:szCs w:val="20"/>
                <w:color w:val="auto"/>
              </w:rPr>
            </w:pPr>
            <w:r>
              <w:rPr>
                <w:rFonts w:ascii="Arial" w:cs="Arial" w:eastAsia="Arial" w:hAnsi="Arial"/>
                <w:sz w:val="17"/>
                <w:szCs w:val="17"/>
                <w:color w:val="auto"/>
              </w:rPr>
              <w:t>1,278</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tcPr>
          <w:p>
            <w:pPr>
              <w:jc w:val="right"/>
              <w:ind w:right="57"/>
              <w:spacing w:after="0"/>
              <w:rPr>
                <w:sz w:val="20"/>
                <w:szCs w:val="20"/>
                <w:color w:val="auto"/>
              </w:rPr>
            </w:pPr>
            <w:r>
              <w:rPr>
                <w:rFonts w:ascii="Arial" w:cs="Arial" w:eastAsia="Arial" w:hAnsi="Arial"/>
                <w:sz w:val="17"/>
                <w:szCs w:val="17"/>
                <w:color w:val="auto"/>
              </w:rPr>
              <w:t>1,695</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(417)</w:t>
            </w:r>
          </w:p>
        </w:tc>
        <w:tc>
          <w:tcPr>
            <w:tcW w:w="1220" w:type="dxa"/>
            <w:vAlign w:val="bottom"/>
            <w:gridSpan w:val="2"/>
          </w:tcPr>
          <w:p>
            <w:pPr>
              <w:jc w:val="right"/>
              <w:spacing w:after="0"/>
              <w:rPr>
                <w:sz w:val="20"/>
                <w:szCs w:val="20"/>
                <w:color w:val="auto"/>
              </w:rPr>
            </w:pPr>
            <w:r>
              <w:rPr>
                <w:rFonts w:ascii="Arial" w:cs="Arial" w:eastAsia="Arial" w:hAnsi="Arial"/>
                <w:sz w:val="17"/>
                <w:szCs w:val="17"/>
                <w:color w:val="auto"/>
              </w:rPr>
              <w:t>(24.6)%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-1278255</wp:posOffset>
            </wp:positionV>
            <wp:extent cx="7251065" cy="14922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1065" cy="14922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-447675</wp:posOffset>
            </wp:positionV>
            <wp:extent cx="7251065" cy="14922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1065" cy="14922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-165735</wp:posOffset>
            </wp:positionV>
            <wp:extent cx="7251065" cy="16637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1065" cy="166370"/>
                    </a:xfrm>
                    <a:prstGeom prst="rect">
                      <a:avLst/>
                    </a:prstGeom>
                    <a:noFill/>
                  </pic:spPr>
                </pic:pic>
              </a:graphicData>
            </a:graphic>
          </wp:anchor>
        </w:drawing>
      </w:r>
    </w:p>
    <w:p>
      <w:pPr>
        <w:spacing w:after="0" w:line="181" w:lineRule="exact"/>
        <w:rPr>
          <w:sz w:val="20"/>
          <w:szCs w:val="20"/>
          <w:color w:val="auto"/>
        </w:rPr>
      </w:pPr>
    </w:p>
    <w:p>
      <w:pPr>
        <w:jc w:val="both"/>
        <w:ind w:right="80" w:firstLine="628"/>
        <w:spacing w:after="0" w:line="265" w:lineRule="auto"/>
        <w:rPr>
          <w:sz w:val="20"/>
          <w:szCs w:val="20"/>
          <w:color w:val="auto"/>
        </w:rPr>
      </w:pPr>
      <w:r>
        <w:rPr>
          <w:rFonts w:ascii="Arial" w:cs="Arial" w:eastAsia="Arial" w:hAnsi="Arial"/>
          <w:sz w:val="17"/>
          <w:szCs w:val="17"/>
          <w:color w:val="auto"/>
        </w:rPr>
        <w:t>Ceding commission revenue was $1,278,000 in Three Months 2019 compared to $1,695,000 in Three Months 2018. The decrease of $417,000, or 24.6%, was due to a decrease in provisional ceding commissions earned, partially offset by an increase in contingent ceding commissions earned. The reduction in provisional ceding commissions occurred due to the decision to retain more of our profitable business (see below for discussion of provisional ceding commissions earned and contingent ceding commissions earned).</w:t>
      </w:r>
    </w:p>
    <w:p>
      <w:pPr>
        <w:spacing w:after="0" w:line="118" w:lineRule="exact"/>
        <w:rPr>
          <w:sz w:val="20"/>
          <w:szCs w:val="20"/>
          <w:color w:val="auto"/>
        </w:rPr>
      </w:pPr>
    </w:p>
    <w:p>
      <w:pPr>
        <w:ind w:left="640"/>
        <w:spacing w:after="0"/>
        <w:rPr>
          <w:sz w:val="20"/>
          <w:szCs w:val="20"/>
          <w:color w:val="auto"/>
        </w:rPr>
      </w:pPr>
      <w:r>
        <w:rPr>
          <w:rFonts w:ascii="Arial" w:cs="Arial" w:eastAsia="Arial" w:hAnsi="Arial"/>
          <w:sz w:val="17"/>
          <w:szCs w:val="17"/>
          <w:i w:val="1"/>
          <w:iCs w:val="1"/>
          <w:color w:val="auto"/>
        </w:rPr>
        <w:t>Provisional Ceding Commissions Earned</w:t>
      </w:r>
    </w:p>
    <w:p>
      <w:pPr>
        <w:spacing w:after="0" w:line="158" w:lineRule="exact"/>
        <w:rPr>
          <w:sz w:val="20"/>
          <w:szCs w:val="20"/>
          <w:color w:val="auto"/>
        </w:rPr>
      </w:pPr>
    </w:p>
    <w:p>
      <w:pPr>
        <w:jc w:val="both"/>
        <w:ind w:right="80" w:firstLine="628"/>
        <w:spacing w:after="0" w:line="265" w:lineRule="auto"/>
        <w:rPr>
          <w:sz w:val="20"/>
          <w:szCs w:val="20"/>
          <w:color w:val="auto"/>
        </w:rPr>
      </w:pPr>
      <w:r>
        <w:rPr>
          <w:rFonts w:ascii="Arial" w:cs="Arial" w:eastAsia="Arial" w:hAnsi="Arial"/>
          <w:sz w:val="17"/>
          <w:szCs w:val="17"/>
          <w:color w:val="auto"/>
        </w:rPr>
        <w:t>We receive a provisional ceding commission based on ceded written premiums. The $749,000 decrease in provisional ceding commissions earned is primarily due to the decrease in the quota share ceding rate effective July 1, 2018 to 10%, from the 20% rate in effect from July 1, 2017 through June 30, 2018; thus there were fewer ceded premiums in Three Months 2019 available to earn ceding commissions than there were in Three Months 2018. The decrease was partially offset by an increase in personal lines direct written premiums subject to the quota.</w:t>
      </w:r>
    </w:p>
    <w:p>
      <w:pPr>
        <w:spacing w:after="0" w:line="118" w:lineRule="exact"/>
        <w:rPr>
          <w:sz w:val="20"/>
          <w:szCs w:val="20"/>
          <w:color w:val="auto"/>
        </w:rPr>
      </w:pPr>
    </w:p>
    <w:p>
      <w:pPr>
        <w:ind w:left="640"/>
        <w:spacing w:after="0"/>
        <w:rPr>
          <w:sz w:val="20"/>
          <w:szCs w:val="20"/>
          <w:color w:val="auto"/>
        </w:rPr>
      </w:pPr>
      <w:r>
        <w:rPr>
          <w:rFonts w:ascii="Arial" w:cs="Arial" w:eastAsia="Arial" w:hAnsi="Arial"/>
          <w:sz w:val="17"/>
          <w:szCs w:val="17"/>
          <w:i w:val="1"/>
          <w:iCs w:val="1"/>
          <w:color w:val="auto"/>
        </w:rPr>
        <w:t>Contingent Ceding Commissions Earned</w:t>
      </w:r>
    </w:p>
    <w:p>
      <w:pPr>
        <w:spacing w:after="0" w:line="158" w:lineRule="exact"/>
        <w:rPr>
          <w:sz w:val="20"/>
          <w:szCs w:val="20"/>
          <w:color w:val="auto"/>
        </w:rPr>
      </w:pPr>
    </w:p>
    <w:p>
      <w:pPr>
        <w:jc w:val="both"/>
        <w:ind w:right="80" w:firstLine="628"/>
        <w:spacing w:after="0" w:line="311" w:lineRule="auto"/>
        <w:rPr>
          <w:sz w:val="20"/>
          <w:szCs w:val="20"/>
          <w:color w:val="auto"/>
        </w:rPr>
      </w:pPr>
      <w:r>
        <w:rPr>
          <w:rFonts w:ascii="Arial" w:cs="Arial" w:eastAsia="Arial" w:hAnsi="Arial"/>
          <w:sz w:val="15"/>
          <w:szCs w:val="15"/>
          <w:color w:val="auto"/>
        </w:rPr>
        <w:t>We receive a contingent ceding commission based on a sliding scale in relation to the losses incurred under our quota share treaties. The lower the ceded loss ratio, the more contingent commission we receive. The amount of contingent ceding commissions we are eligible to receive under the 2017/2019 Treaty is subject to change based on losses incurred from claims with accident dates beginning July 1, 2017. The amount of contingent ceding commissions we are eligible to receive under our prior years’ quota share treaties is subject to change based on losses incurred related to claims with accident dates before July 1, 2017.</w:t>
      </w:r>
    </w:p>
    <w:p>
      <w:pPr>
        <w:spacing w:after="0" w:line="87" w:lineRule="exact"/>
        <w:rPr>
          <w:sz w:val="20"/>
          <w:szCs w:val="20"/>
          <w:color w:val="auto"/>
        </w:rPr>
      </w:pPr>
    </w:p>
    <w:p>
      <w:pPr>
        <w:jc w:val="both"/>
        <w:ind w:right="80" w:firstLine="628"/>
        <w:spacing w:after="0" w:line="297" w:lineRule="auto"/>
        <w:rPr>
          <w:sz w:val="20"/>
          <w:szCs w:val="20"/>
          <w:color w:val="auto"/>
        </w:rPr>
      </w:pPr>
      <w:r>
        <w:rPr>
          <w:rFonts w:ascii="Arial" w:cs="Arial" w:eastAsia="Arial" w:hAnsi="Arial"/>
          <w:sz w:val="15"/>
          <w:szCs w:val="15"/>
          <w:color w:val="auto"/>
        </w:rPr>
        <w:t>The 2017/2019 Treaty structure limits the amount of contingent ceding commissions that we can receive by setting a higher provisional commission rate than the rates received in prior years. As a result of the higher upfront provisional ceding commissions that we receive under the 2017/2019 Treaty, there is not an opportunity to earn additional contingent ceding commissions under this treaty. Under our current “net” treaty structure, catastrophe losses in excess of the $5,000,000 retention will fall outside of the quota share treaty and such losses will not have an impact on contingent ceding commissions. In Three Months 2018, catastrophe losses of $1,387,000 were ceded under our personal lines quota share treaty. These catastrophe losses resulted in the Loss Ratios for the period July 1, 2017 through March 31, 2018 (attributable to the 2017/2019 Treaty) being higher than the contractual Loss Ratio at which provisional ceding commissions were being earned. As a result, we incurred a negative adjustment or reduction to the contingent ceding commissions of $334,000 relative to what would have been earned had the catastrophe losses not occurred. Effective July 1, 2018, the provisional ceding commission rate was a fixed rate with no downward adjustment required related to Loss Ratio, accordingly, in Three Months 2019, catastrophe losses of $564,000 that were ceded under our personal lines quota share treaty did not have an effect on contingent ceding commissions. See “Reinsurance” below for changes to our personal lines quota share treaty effective July 1, 2018.</w:t>
      </w:r>
    </w:p>
    <w:p>
      <w:pPr>
        <w:spacing w:after="0" w:line="259"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25106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ectPr>
          <w:pgSz w:w="11900" w:h="16838" w:orient="portrait"/>
          <w:cols w:equalWidth="0" w:num="1">
            <w:col w:w="11500"/>
          </w:cols>
          <w:pgMar w:left="240" w:top="497" w:right="159" w:bottom="1440" w:gutter="0" w:footer="0" w:header="0"/>
        </w:sectPr>
      </w:pPr>
    </w:p>
    <w:bookmarkStart w:id="44" w:name="page45"/>
    <w:bookmarkEnd w:id="44"/>
    <w:p>
      <w:pPr>
        <w:spacing w:after="0"/>
        <w:rPr>
          <w:sz w:val="20"/>
          <w:szCs w:val="20"/>
          <w:color w:val="auto"/>
        </w:rPr>
      </w:pPr>
      <w:r>
        <w:rPr>
          <w:rFonts w:ascii="Arial" w:cs="Arial" w:eastAsia="Arial" w:hAnsi="Arial"/>
          <w:sz w:val="17"/>
          <w:szCs w:val="17"/>
          <w:u w:val="single" w:color="auto"/>
          <w:color w:val="auto"/>
        </w:rPr>
        <w:t>Net Investment Income</w:t>
      </w:r>
    </w:p>
    <w:p>
      <w:pPr>
        <w:spacing w:after="0" w:line="158" w:lineRule="exact"/>
        <w:rPr>
          <w:sz w:val="20"/>
          <w:szCs w:val="20"/>
          <w:color w:val="auto"/>
        </w:rPr>
      </w:pPr>
    </w:p>
    <w:p>
      <w:pPr>
        <w:jc w:val="both"/>
        <w:ind w:firstLine="628"/>
        <w:spacing w:after="0" w:line="293" w:lineRule="auto"/>
        <w:rPr>
          <w:sz w:val="20"/>
          <w:szCs w:val="20"/>
          <w:color w:val="auto"/>
        </w:rPr>
      </w:pPr>
      <w:r>
        <w:rPr>
          <w:rFonts w:ascii="Arial" w:cs="Arial" w:eastAsia="Arial" w:hAnsi="Arial"/>
          <w:sz w:val="16"/>
          <w:szCs w:val="16"/>
          <w:color w:val="auto"/>
        </w:rPr>
        <w:t>Net investment income was $1,624,000 in Three Months 2019 compared to $1,384,000 in Three Months 2018. The increase of $241,000, or 17.4%, was due to an increase in average invested assets in Three Months 2019. The average yield on invested assets was 3.67% as of March 31, 2019 compared to 3.73% as of March 31, 2018. The pre-tax equivalent yield on invested assets was 3.41% and 3.38% as of March 31, 2019 and 2018, respectively.</w:t>
      </w:r>
    </w:p>
    <w:p>
      <w:pPr>
        <w:spacing w:after="0" w:line="98" w:lineRule="exact"/>
        <w:rPr>
          <w:sz w:val="20"/>
          <w:szCs w:val="20"/>
          <w:color w:val="auto"/>
        </w:rPr>
      </w:pPr>
    </w:p>
    <w:p>
      <w:pPr>
        <w:jc w:val="both"/>
        <w:ind w:firstLine="628"/>
        <w:spacing w:after="0" w:line="281" w:lineRule="auto"/>
        <w:rPr>
          <w:sz w:val="20"/>
          <w:szCs w:val="20"/>
          <w:color w:val="auto"/>
        </w:rPr>
      </w:pPr>
      <w:r>
        <w:rPr>
          <w:rFonts w:ascii="Arial" w:cs="Arial" w:eastAsia="Arial" w:hAnsi="Arial"/>
          <w:sz w:val="17"/>
          <w:szCs w:val="17"/>
          <w:color w:val="auto"/>
        </w:rPr>
        <w:t>Cash and invested assets were $201,878,000 as of March 31, 2019, compared to $184,242,000 as of March 31, 2018. The $17,636,000 increase in cash and invested assets resulted primarily from increased operating cash flows for the period after March 31, 2018.</w:t>
      </w:r>
    </w:p>
    <w:p>
      <w:pPr>
        <w:spacing w:after="0" w:line="10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Net Gains and Losses on Investments</w:t>
      </w:r>
    </w:p>
    <w:p>
      <w:pPr>
        <w:spacing w:after="0" w:line="158" w:lineRule="exact"/>
        <w:rPr>
          <w:sz w:val="20"/>
          <w:szCs w:val="20"/>
          <w:color w:val="auto"/>
        </w:rPr>
      </w:pPr>
    </w:p>
    <w:p>
      <w:pPr>
        <w:jc w:val="both"/>
        <w:ind w:firstLine="628"/>
        <w:spacing w:after="0" w:line="269" w:lineRule="auto"/>
        <w:rPr>
          <w:sz w:val="20"/>
          <w:szCs w:val="20"/>
          <w:color w:val="auto"/>
        </w:rPr>
      </w:pPr>
      <w:r>
        <w:rPr>
          <w:rFonts w:ascii="Arial" w:cs="Arial" w:eastAsia="Arial" w:hAnsi="Arial"/>
          <w:sz w:val="17"/>
          <w:szCs w:val="17"/>
          <w:color w:val="auto"/>
        </w:rPr>
        <w:t>Net gains on investments were $2,035,000 in Three Months 2019 compared to a net loss of $523,000 in Three Months 2018. Unrealized gains on our equity securities and other investments in Three Months 2019 were $2,061,000, compared to unrealized loss of $279,000 in Three Months 2018. Realized losses on investments was $25,000 in Three Months 2019 compared to realized losses of $244,000 in Three Months 2018.</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Other Income</w:t>
      </w:r>
    </w:p>
    <w:p>
      <w:pPr>
        <w:spacing w:after="0" w:line="158" w:lineRule="exact"/>
        <w:rPr>
          <w:sz w:val="20"/>
          <w:szCs w:val="20"/>
          <w:color w:val="auto"/>
        </w:rPr>
      </w:pPr>
    </w:p>
    <w:p>
      <w:pPr>
        <w:jc w:val="both"/>
        <w:ind w:firstLine="628"/>
        <w:spacing w:after="0" w:line="281" w:lineRule="auto"/>
        <w:rPr>
          <w:sz w:val="20"/>
          <w:szCs w:val="20"/>
          <w:color w:val="auto"/>
        </w:rPr>
      </w:pPr>
      <w:r>
        <w:rPr>
          <w:rFonts w:ascii="Arial" w:cs="Arial" w:eastAsia="Arial" w:hAnsi="Arial"/>
          <w:sz w:val="17"/>
          <w:szCs w:val="17"/>
          <w:color w:val="auto"/>
        </w:rPr>
        <w:t>Other income was $366,000 in Three Months 2019 compared to $308,000 in Three Months 2018. The increase of $57,000, or 18.5%, was primarily due to an increase in installment and other fees earned in our insurance underwriting business.</w:t>
      </w:r>
    </w:p>
    <w:p>
      <w:pPr>
        <w:spacing w:after="0" w:line="10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Net Loss and LAE</w:t>
      </w:r>
    </w:p>
    <w:p>
      <w:pPr>
        <w:spacing w:after="0" w:line="158" w:lineRule="exact"/>
        <w:rPr>
          <w:sz w:val="20"/>
          <w:szCs w:val="20"/>
          <w:color w:val="auto"/>
        </w:rPr>
      </w:pPr>
    </w:p>
    <w:p>
      <w:pPr>
        <w:jc w:val="both"/>
        <w:ind w:firstLine="628"/>
        <w:spacing w:after="0" w:line="281" w:lineRule="auto"/>
        <w:rPr>
          <w:sz w:val="20"/>
          <w:szCs w:val="20"/>
          <w:color w:val="auto"/>
        </w:rPr>
      </w:pPr>
      <w:r>
        <w:rPr>
          <w:rFonts w:ascii="Arial" w:cs="Arial" w:eastAsia="Arial" w:hAnsi="Arial"/>
          <w:sz w:val="17"/>
          <w:szCs w:val="17"/>
          <w:color w:val="auto"/>
        </w:rPr>
        <w:t>Net loss and LAE was $29,134,000 for Three Months 2019 compared to $17,266,000 for Three Months 2018. The net loss ratio was 98.4% in Three Months 2019 compared to 75.6% in Three Months 2018, an increase of 22.8 percentage points.</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following graphs summarize the changes in the components of net loss ratio for the periods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4240"/>
        <w:spacing w:after="0"/>
        <w:rPr>
          <w:sz w:val="20"/>
          <w:szCs w:val="20"/>
          <w:color w:val="auto"/>
        </w:rPr>
      </w:pPr>
      <w:r>
        <w:rPr>
          <w:rFonts w:ascii="Arial" w:cs="Arial" w:eastAsia="Arial" w:hAnsi="Arial"/>
          <w:sz w:val="17"/>
          <w:szCs w:val="17"/>
          <w:i w:val="1"/>
          <w:iCs w:val="1"/>
          <w:color w:val="auto"/>
        </w:rPr>
        <w:t>(Components may not sum to totals due to rounding)</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25106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ectPr>
          <w:pgSz w:w="11900" w:h="16838" w:orient="portrait"/>
          <w:cols w:equalWidth="0" w:num="1">
            <w:col w:w="11420"/>
          </w:cols>
          <w:pgMar w:left="240" w:top="497" w:right="239" w:bottom="1440" w:gutter="0" w:footer="0" w:header="0"/>
        </w:sectPr>
      </w:pPr>
    </w:p>
    <w:bookmarkStart w:id="45" w:name="page46"/>
    <w:bookmarkEnd w:id="45"/>
    <w:p>
      <w:pPr>
        <w:jc w:val="both"/>
        <w:ind w:firstLine="628"/>
        <w:spacing w:after="0" w:line="306" w:lineRule="auto"/>
        <w:rPr>
          <w:sz w:val="20"/>
          <w:szCs w:val="20"/>
          <w:color w:val="auto"/>
        </w:rPr>
      </w:pPr>
      <w:r>
        <w:rPr>
          <w:rFonts w:ascii="Arial" w:cs="Arial" w:eastAsia="Arial" w:hAnsi="Arial"/>
          <w:sz w:val="15"/>
          <w:szCs w:val="15"/>
          <w:color w:val="auto"/>
        </w:rPr>
        <w:t>During Three Months 2019, the loss ratio was abnormally high due to three factors. First, there were three winter weather events classified as a catastrophe with a net impact of $5.1 million, having a 17.2-point impact on the loss ratio. These included two severe freeze events in January where temperatures in the New York metropolitan area fell into the single digits for several days. None of the events reached the per occurrence catastrophe reinsurance retention of $5 million, so unlike the catastrophes affecting Three Months 2018, there was no recovery from our catastrophe reinsurance treaty. The 17.2-point catastrophe impact for Three Months 2019 compares to the 24.3-point impact for Three Months 2018, or a decrease in the impact from catastrophes of 7.1 points.</w:t>
      </w:r>
    </w:p>
    <w:p>
      <w:pPr>
        <w:spacing w:after="0" w:line="156" w:lineRule="exact"/>
        <w:rPr>
          <w:sz w:val="20"/>
          <w:szCs w:val="20"/>
          <w:color w:val="auto"/>
        </w:rPr>
      </w:pPr>
    </w:p>
    <w:p>
      <w:pPr>
        <w:jc w:val="both"/>
        <w:ind w:firstLine="628"/>
        <w:spacing w:after="0" w:line="281" w:lineRule="auto"/>
        <w:rPr>
          <w:sz w:val="20"/>
          <w:szCs w:val="20"/>
          <w:color w:val="auto"/>
        </w:rPr>
      </w:pPr>
      <w:r>
        <w:rPr>
          <w:rFonts w:ascii="Arial" w:cs="Arial" w:eastAsia="Arial" w:hAnsi="Arial"/>
          <w:sz w:val="17"/>
          <w:szCs w:val="17"/>
          <w:color w:val="auto"/>
        </w:rPr>
        <w:t>The second major impact on the loss ratio was reserve strengthening for prior years of $4.5 million, having a 15.1-point impact. This compares to 0.4 points of favorable development in Three Months 2018, or an increase of 15.5 points in the impact of prior year loss development.</w:t>
      </w:r>
    </w:p>
    <w:p>
      <w:pPr>
        <w:spacing w:after="0" w:line="170" w:lineRule="exact"/>
        <w:rPr>
          <w:sz w:val="20"/>
          <w:szCs w:val="20"/>
          <w:color w:val="auto"/>
        </w:rPr>
      </w:pPr>
    </w:p>
    <w:p>
      <w:pPr>
        <w:jc w:val="both"/>
        <w:ind w:firstLine="628"/>
        <w:spacing w:after="0" w:line="269" w:lineRule="auto"/>
        <w:rPr>
          <w:sz w:val="20"/>
          <w:szCs w:val="20"/>
          <w:color w:val="auto"/>
        </w:rPr>
      </w:pPr>
      <w:r>
        <w:rPr>
          <w:rFonts w:ascii="Arial" w:cs="Arial" w:eastAsia="Arial" w:hAnsi="Arial"/>
          <w:sz w:val="17"/>
          <w:szCs w:val="17"/>
          <w:color w:val="auto"/>
        </w:rPr>
        <w:t>During Three Months 2019, we completed an outside review of our claims practices that revealed several areas of opportunity to improve claim outcomes. As a result, it was determined that significant case reserve strengthening was required for older liability claims, primarily affecting the ultimate loss projections for commercial lines business in accident years 2014, 2016, and 2017.</w:t>
      </w:r>
    </w:p>
    <w:p>
      <w:pPr>
        <w:spacing w:after="0" w:line="206" w:lineRule="exact"/>
        <w:rPr>
          <w:sz w:val="20"/>
          <w:szCs w:val="20"/>
          <w:color w:val="auto"/>
        </w:rPr>
      </w:pPr>
    </w:p>
    <w:p>
      <w:pPr>
        <w:jc w:val="both"/>
        <w:ind w:firstLine="628"/>
        <w:spacing w:after="0" w:line="263" w:lineRule="auto"/>
        <w:rPr>
          <w:sz w:val="20"/>
          <w:szCs w:val="20"/>
          <w:color w:val="auto"/>
        </w:rPr>
      </w:pPr>
      <w:r>
        <w:rPr>
          <w:rFonts w:ascii="Arial" w:cs="Arial" w:eastAsia="Arial" w:hAnsi="Arial"/>
          <w:sz w:val="17"/>
          <w:szCs w:val="17"/>
          <w:color w:val="auto"/>
        </w:rPr>
        <w:t>Finally, the underlying loss ratio excluding the impact of catastrophes and prior year development was 66.1% for Three Months 2019, an increase of 14.3 points from the 51.8% underlying loss ratio recorded for Three Months 2018. The underlying loss ratio increased compared to Three Months 2018 due to higher average claim severity driven by property claims from fires and non-weather water damage. In addition, the core loss ratio for Three Months 2019 was impacted by re-estimation of loss ratios for the current year as a result of increases in our prior year loss ratio estimates for commercial lines and other liability lines. See table below under “Additional Financial Information” summarizing net loss ratios by line of business.</w:t>
      </w:r>
    </w:p>
    <w:p>
      <w:pPr>
        <w:spacing w:after="0" w:line="185" w:lineRule="exact"/>
        <w:rPr>
          <w:sz w:val="20"/>
          <w:szCs w:val="20"/>
          <w:color w:val="auto"/>
        </w:rPr>
      </w:pPr>
    </w:p>
    <w:p>
      <w:pPr>
        <w:jc w:val="both"/>
        <w:ind w:firstLine="628"/>
        <w:spacing w:after="0" w:line="351" w:lineRule="auto"/>
        <w:rPr>
          <w:sz w:val="20"/>
          <w:szCs w:val="20"/>
          <w:color w:val="auto"/>
        </w:rPr>
      </w:pPr>
      <w:r>
        <w:rPr>
          <w:rFonts w:ascii="Arial" w:cs="Arial" w:eastAsia="Arial" w:hAnsi="Arial"/>
          <w:sz w:val="15"/>
          <w:szCs w:val="15"/>
          <w:color w:val="auto"/>
        </w:rPr>
        <w:t>Beginning in March 2019, we took steps to dramatically improve our claims operations by hiring additional professional staff, strengthened claims reserves as described above and made changes to practices and procedures. These steps leave us well positioned to most effectively handle our expansion and growth.</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Commission Expense</w:t>
      </w:r>
    </w:p>
    <w:p>
      <w:pPr>
        <w:spacing w:after="0" w:line="223" w:lineRule="exact"/>
        <w:rPr>
          <w:sz w:val="20"/>
          <w:szCs w:val="20"/>
          <w:color w:val="auto"/>
        </w:rPr>
      </w:pPr>
    </w:p>
    <w:p>
      <w:pPr>
        <w:jc w:val="both"/>
        <w:ind w:firstLine="628"/>
        <w:spacing w:after="0" w:line="269" w:lineRule="auto"/>
        <w:rPr>
          <w:sz w:val="20"/>
          <w:szCs w:val="20"/>
          <w:color w:val="auto"/>
        </w:rPr>
      </w:pPr>
      <w:r>
        <w:rPr>
          <w:rFonts w:ascii="Arial" w:cs="Arial" w:eastAsia="Arial" w:hAnsi="Arial"/>
          <w:sz w:val="17"/>
          <w:szCs w:val="17"/>
          <w:color w:val="auto"/>
        </w:rPr>
        <w:t>Commission expense was $6,853,000 in Three Months 2019 or 18.2% of direct earned premiums. Commission expense was $5,800,000 in Three Months 2018 or 19.0% of direct earned premiums. The increase of $1,053,000 is primarily due to the increase in direct earned premiums in Three Months 2019 as compared to Three Months 2018.</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Other Underwriting Expenses</w:t>
      </w:r>
    </w:p>
    <w:p>
      <w:pPr>
        <w:spacing w:after="0" w:line="158" w:lineRule="exact"/>
        <w:rPr>
          <w:sz w:val="20"/>
          <w:szCs w:val="20"/>
          <w:color w:val="auto"/>
        </w:rPr>
      </w:pPr>
    </w:p>
    <w:p>
      <w:pPr>
        <w:jc w:val="both"/>
        <w:ind w:firstLine="628"/>
        <w:spacing w:after="0" w:line="281" w:lineRule="auto"/>
        <w:rPr>
          <w:sz w:val="20"/>
          <w:szCs w:val="20"/>
          <w:color w:val="auto"/>
        </w:rPr>
      </w:pPr>
      <w:r>
        <w:rPr>
          <w:rFonts w:ascii="Arial" w:cs="Arial" w:eastAsia="Arial" w:hAnsi="Arial"/>
          <w:sz w:val="16"/>
          <w:szCs w:val="16"/>
          <w:color w:val="auto"/>
        </w:rPr>
        <w:t>Other underwriting expenses were $6,136,000 in Three Months 2019 compared to $5,032,000 in Three Months 2018. The increase of $1,104,000, or 21.9%, was primarily due to expenses related to growth in direct written premiums and professional fees. Expenses directly related to the increase in direct written premiums primarily consist of underwriting expenses, software usage fees, and state premium taxes. Expenses indirectly related to the increase in direct written premiums primarily consist of salaries along with related other employment costs. Professional fees increased by $238,000, or 77.5%. The increase was due to fees paid for an outside review of our claims practices as discussed in Net Loss and LAE above. The percentage increase of other underwriting expenses without professional fees was 18.3%, which is less than the 18.9% increase in total direct written premiums.</w:t>
      </w:r>
    </w:p>
    <w:p>
      <w:pPr>
        <w:spacing w:after="0" w:line="107" w:lineRule="exact"/>
        <w:rPr>
          <w:sz w:val="20"/>
          <w:szCs w:val="20"/>
          <w:color w:val="auto"/>
        </w:rPr>
      </w:pPr>
    </w:p>
    <w:p>
      <w:pPr>
        <w:jc w:val="both"/>
        <w:ind w:firstLine="628"/>
        <w:spacing w:after="0" w:line="321" w:lineRule="auto"/>
        <w:rPr>
          <w:sz w:val="20"/>
          <w:szCs w:val="20"/>
          <w:color w:val="auto"/>
        </w:rPr>
      </w:pPr>
      <w:r>
        <w:rPr>
          <w:rFonts w:ascii="Arial" w:cs="Arial" w:eastAsia="Arial" w:hAnsi="Arial"/>
          <w:sz w:val="15"/>
          <w:szCs w:val="15"/>
          <w:color w:val="auto"/>
        </w:rPr>
        <w:t>Our largest component of other underwriting expenses is salaries and employment, which costs were $2,551,000 in Three Months 2019 compared to $2,186,000 in Three Months 2018. The increase of $365,000, or 16.7%, was less than the 18.9% increase in total direct written premiums. The increase in employment costs was due to hiring of additional staff to service our current level of business and anticipated growth in volume, as well as annual increases in salaries.</w:t>
      </w:r>
    </w:p>
    <w:p>
      <w:pPr>
        <w:spacing w:after="0" w:line="80" w:lineRule="exact"/>
        <w:rPr>
          <w:sz w:val="20"/>
          <w:szCs w:val="20"/>
          <w:color w:val="auto"/>
        </w:rPr>
      </w:pPr>
    </w:p>
    <w:p>
      <w:pPr>
        <w:jc w:val="both"/>
        <w:ind w:firstLine="628"/>
        <w:spacing w:after="0" w:line="281" w:lineRule="auto"/>
        <w:rPr>
          <w:sz w:val="20"/>
          <w:szCs w:val="20"/>
          <w:color w:val="auto"/>
        </w:rPr>
      </w:pPr>
      <w:r>
        <w:rPr>
          <w:rFonts w:ascii="Arial" w:cs="Arial" w:eastAsia="Arial" w:hAnsi="Arial"/>
          <w:sz w:val="17"/>
          <w:szCs w:val="17"/>
          <w:color w:val="auto"/>
        </w:rPr>
        <w:t>Our net underwriting expense ratio in Three Months 2019 was 38.5% compared to 38.7% in Three Months 2018. The following table shows the individual components of our net underwriting expense ratio for the periods indicated:</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454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238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rPr>
              <w:t>Three months ended</w:t>
            </w:r>
          </w:p>
        </w:tc>
        <w:tc>
          <w:tcPr>
            <w:tcW w:w="1040" w:type="dxa"/>
            <w:vAlign w:val="bottom"/>
            <w:vMerge w:val="restart"/>
          </w:tcPr>
          <w:p>
            <w:pPr>
              <w:jc w:val="right"/>
              <w:ind w:right="177"/>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4540" w:type="dxa"/>
            <w:vAlign w:val="bottom"/>
          </w:tcPr>
          <w:p>
            <w:pPr>
              <w:spacing w:after="0"/>
              <w:rPr>
                <w:sz w:val="11"/>
                <w:szCs w:val="11"/>
                <w:color w:val="auto"/>
              </w:rPr>
            </w:pPr>
          </w:p>
        </w:tc>
        <w:tc>
          <w:tcPr>
            <w:tcW w:w="344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454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March 31,</w:t>
            </w:r>
          </w:p>
        </w:tc>
        <w:tc>
          <w:tcPr>
            <w:tcW w:w="7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w w:val="97"/>
              </w:rPr>
              <w:t>Point Change</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520" w:type="dxa"/>
            <w:vAlign w:val="bottom"/>
            <w:tcBorders>
              <w:bottom w:val="single" w:sz="8" w:color="auto"/>
            </w:tcBorders>
          </w:tcPr>
          <w:p>
            <w:pPr>
              <w:jc w:val="right"/>
              <w:ind w:right="703"/>
              <w:spacing w:after="0"/>
              <w:rPr>
                <w:sz w:val="20"/>
                <w:szCs w:val="20"/>
                <w:color w:val="auto"/>
              </w:rPr>
            </w:pPr>
            <w:r>
              <w:rPr>
                <w:rFonts w:ascii="Arial" w:cs="Arial" w:eastAsia="Arial" w:hAnsi="Arial"/>
                <w:sz w:val="14"/>
                <w:szCs w:val="14"/>
                <w:b w:val="1"/>
                <w:bCs w:val="1"/>
                <w:color w:val="auto"/>
              </w:rPr>
              <w:t>2019</w:t>
            </w:r>
          </w:p>
        </w:tc>
        <w:tc>
          <w:tcPr>
            <w:tcW w:w="76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7"/>
                <w:szCs w:val="17"/>
                <w:color w:val="auto"/>
              </w:rPr>
              <w:t>Ceding commission revenue - provisional</w:t>
            </w:r>
          </w:p>
        </w:tc>
        <w:tc>
          <w:tcPr>
            <w:tcW w:w="4960" w:type="dxa"/>
            <w:vAlign w:val="bottom"/>
            <w:gridSpan w:val="2"/>
            <w:shd w:val="clear" w:color="auto" w:fill="CCEEFF"/>
          </w:tcPr>
          <w:p>
            <w:pPr>
              <w:jc w:val="right"/>
              <w:ind w:right="263"/>
              <w:spacing w:after="0"/>
              <w:rPr>
                <w:sz w:val="20"/>
                <w:szCs w:val="20"/>
                <w:color w:val="auto"/>
              </w:rPr>
            </w:pPr>
            <w:r>
              <w:rPr>
                <w:rFonts w:ascii="Arial" w:cs="Arial" w:eastAsia="Arial" w:hAnsi="Arial"/>
                <w:sz w:val="17"/>
                <w:szCs w:val="17"/>
                <w:color w:val="auto"/>
              </w:rPr>
              <w:t>(4.5)%</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(9.1)%</w:t>
            </w:r>
          </w:p>
        </w:tc>
        <w:tc>
          <w:tcPr>
            <w:tcW w:w="104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4.6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7"/>
                <w:szCs w:val="17"/>
                <w:color w:val="auto"/>
              </w:rPr>
              <w:t>Ceding commission revenue - contingent</w:t>
            </w:r>
          </w:p>
        </w:tc>
        <w:tc>
          <w:tcPr>
            <w:tcW w:w="4960" w:type="dxa"/>
            <w:vAlign w:val="bottom"/>
            <w:gridSpan w:val="2"/>
          </w:tcPr>
          <w:p>
            <w:pPr>
              <w:jc w:val="right"/>
              <w:ind w:right="403"/>
              <w:spacing w:after="0"/>
              <w:rPr>
                <w:sz w:val="20"/>
                <w:szCs w:val="20"/>
                <w:color w:val="auto"/>
              </w:rPr>
            </w:pPr>
            <w:r>
              <w:rPr>
                <w:rFonts w:ascii="Arial" w:cs="Arial" w:eastAsia="Arial" w:hAnsi="Arial"/>
                <w:sz w:val="17"/>
                <w:szCs w:val="17"/>
                <w:color w:val="auto"/>
              </w:rPr>
              <w:t>0.1</w:t>
            </w:r>
          </w:p>
        </w:tc>
        <w:tc>
          <w:tcPr>
            <w:tcW w:w="760" w:type="dxa"/>
            <w:vAlign w:val="bottom"/>
          </w:tcPr>
          <w:p>
            <w:pPr>
              <w:jc w:val="right"/>
              <w:ind w:right="16"/>
              <w:spacing w:after="0"/>
              <w:rPr>
                <w:sz w:val="20"/>
                <w:szCs w:val="20"/>
                <w:color w:val="auto"/>
              </w:rPr>
            </w:pPr>
            <w:r>
              <w:rPr>
                <w:rFonts w:ascii="Arial" w:cs="Arial" w:eastAsia="Arial" w:hAnsi="Arial"/>
                <w:sz w:val="17"/>
                <w:szCs w:val="17"/>
                <w:color w:val="auto"/>
              </w:rPr>
              <w:t>1.6</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7"/>
                <w:szCs w:val="17"/>
                <w:color w:val="auto"/>
              </w:rPr>
              <w:t>Other income</w:t>
            </w:r>
          </w:p>
        </w:tc>
        <w:tc>
          <w:tcPr>
            <w:tcW w:w="4960" w:type="dxa"/>
            <w:vAlign w:val="bottom"/>
            <w:gridSpan w:val="2"/>
            <w:shd w:val="clear" w:color="auto" w:fill="CCEEFF"/>
          </w:tcPr>
          <w:p>
            <w:pPr>
              <w:jc w:val="right"/>
              <w:ind w:right="343"/>
              <w:spacing w:after="0"/>
              <w:rPr>
                <w:sz w:val="20"/>
                <w:szCs w:val="20"/>
                <w:color w:val="auto"/>
              </w:rPr>
            </w:pPr>
            <w:r>
              <w:rPr>
                <w:rFonts w:ascii="Arial" w:cs="Arial" w:eastAsia="Arial" w:hAnsi="Arial"/>
                <w:sz w:val="17"/>
                <w:szCs w:val="17"/>
                <w:color w:val="auto"/>
              </w:rPr>
              <w:t>(1.1)</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0.2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7"/>
                <w:szCs w:val="17"/>
                <w:color w:val="auto"/>
              </w:rPr>
              <w:t>Acquisition costs and other underwriting expenses:</w:t>
            </w:r>
          </w:p>
        </w:tc>
        <w:tc>
          <w:tcPr>
            <w:tcW w:w="34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Commission expense</w:t>
            </w:r>
          </w:p>
        </w:tc>
        <w:tc>
          <w:tcPr>
            <w:tcW w:w="344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ind w:right="403"/>
              <w:spacing w:after="0"/>
              <w:rPr>
                <w:sz w:val="20"/>
                <w:szCs w:val="20"/>
                <w:color w:val="auto"/>
              </w:rPr>
            </w:pPr>
            <w:r>
              <w:rPr>
                <w:rFonts w:ascii="Arial" w:cs="Arial" w:eastAsia="Arial" w:hAnsi="Arial"/>
                <w:sz w:val="17"/>
                <w:szCs w:val="17"/>
                <w:color w:val="auto"/>
              </w:rPr>
              <w:t>23.2</w:t>
            </w:r>
          </w:p>
        </w:tc>
        <w:tc>
          <w:tcPr>
            <w:tcW w:w="7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25.4</w:t>
            </w:r>
          </w:p>
        </w:tc>
        <w:tc>
          <w:tcPr>
            <w:tcW w:w="1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4960" w:type="dxa"/>
            <w:vAlign w:val="bottom"/>
            <w:gridSpan w:val="2"/>
          </w:tcPr>
          <w:p>
            <w:pPr>
              <w:jc w:val="right"/>
              <w:ind w:right="403"/>
              <w:spacing w:after="0"/>
              <w:rPr>
                <w:sz w:val="20"/>
                <w:szCs w:val="20"/>
                <w:color w:val="auto"/>
              </w:rPr>
            </w:pPr>
            <w:r>
              <w:rPr>
                <w:rFonts w:ascii="Arial" w:cs="Arial" w:eastAsia="Arial" w:hAnsi="Arial"/>
                <w:sz w:val="17"/>
                <w:szCs w:val="17"/>
                <w:color w:val="auto"/>
              </w:rPr>
              <w:t>17.7</w:t>
            </w:r>
          </w:p>
        </w:tc>
        <w:tc>
          <w:tcPr>
            <w:tcW w:w="760" w:type="dxa"/>
            <w:vAlign w:val="bottom"/>
          </w:tcPr>
          <w:p>
            <w:pPr>
              <w:jc w:val="right"/>
              <w:ind w:right="16"/>
              <w:spacing w:after="0"/>
              <w:rPr>
                <w:sz w:val="20"/>
                <w:szCs w:val="20"/>
                <w:color w:val="auto"/>
              </w:rPr>
            </w:pPr>
            <w:r>
              <w:rPr>
                <w:rFonts w:ascii="Arial" w:cs="Arial" w:eastAsia="Arial" w:hAnsi="Arial"/>
                <w:sz w:val="17"/>
                <w:szCs w:val="17"/>
                <w:color w:val="auto"/>
              </w:rPr>
              <w:t>16.6</w:t>
            </w:r>
          </w:p>
        </w:tc>
        <w:tc>
          <w:tcPr>
            <w:tcW w:w="100" w:type="dxa"/>
            <w:vAlign w:val="bottom"/>
          </w:tcPr>
          <w:p>
            <w:pPr>
              <w:spacing w:after="0"/>
              <w:rPr>
                <w:sz w:val="18"/>
                <w:szCs w:val="18"/>
                <w:color w:val="auto"/>
              </w:rPr>
            </w:pPr>
          </w:p>
        </w:tc>
        <w:tc>
          <w:tcPr>
            <w:tcW w:w="1040" w:type="dxa"/>
            <w:vAlign w:val="bottom"/>
          </w:tcPr>
          <w:p>
            <w:pPr>
              <w:jc w:val="right"/>
              <w:ind w:right="37"/>
              <w:spacing w:after="0"/>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Other underwriting expenses</w:t>
            </w:r>
          </w:p>
        </w:tc>
        <w:tc>
          <w:tcPr>
            <w:tcW w:w="3440" w:type="dxa"/>
            <w:vAlign w:val="bottom"/>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40" w:type="dxa"/>
            <w:vAlign w:val="bottom"/>
          </w:tcPr>
          <w:p>
            <w:pPr>
              <w:ind w:left="460"/>
              <w:spacing w:after="0"/>
              <w:rPr>
                <w:sz w:val="20"/>
                <w:szCs w:val="20"/>
                <w:color w:val="auto"/>
              </w:rPr>
            </w:pPr>
            <w:r>
              <w:rPr>
                <w:rFonts w:ascii="Arial" w:cs="Arial" w:eastAsia="Arial" w:hAnsi="Arial"/>
                <w:sz w:val="17"/>
                <w:szCs w:val="17"/>
                <w:color w:val="auto"/>
              </w:rPr>
              <w:t>Employment costs</w:t>
            </w:r>
          </w:p>
        </w:tc>
        <w:tc>
          <w:tcPr>
            <w:tcW w:w="4960" w:type="dxa"/>
            <w:vAlign w:val="bottom"/>
            <w:gridSpan w:val="2"/>
          </w:tcPr>
          <w:p>
            <w:pPr>
              <w:jc w:val="right"/>
              <w:ind w:right="403"/>
              <w:spacing w:after="0"/>
              <w:rPr>
                <w:sz w:val="20"/>
                <w:szCs w:val="20"/>
                <w:color w:val="auto"/>
              </w:rPr>
            </w:pPr>
            <w:r>
              <w:rPr>
                <w:rFonts w:ascii="Arial" w:cs="Arial" w:eastAsia="Arial" w:hAnsi="Arial"/>
                <w:sz w:val="17"/>
                <w:szCs w:val="17"/>
                <w:color w:val="auto"/>
              </w:rPr>
              <w:t>8.6</w:t>
            </w:r>
          </w:p>
        </w:tc>
        <w:tc>
          <w:tcPr>
            <w:tcW w:w="760" w:type="dxa"/>
            <w:vAlign w:val="bottom"/>
          </w:tcPr>
          <w:p>
            <w:pPr>
              <w:jc w:val="right"/>
              <w:ind w:right="16"/>
              <w:spacing w:after="0"/>
              <w:rPr>
                <w:sz w:val="20"/>
                <w:szCs w:val="20"/>
                <w:color w:val="auto"/>
              </w:rPr>
            </w:pPr>
            <w:r>
              <w:rPr>
                <w:rFonts w:ascii="Arial" w:cs="Arial" w:eastAsia="Arial" w:hAnsi="Arial"/>
                <w:sz w:val="17"/>
                <w:szCs w:val="17"/>
                <w:color w:val="auto"/>
              </w:rPr>
              <w:t>9.6</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40" w:type="dxa"/>
            <w:vAlign w:val="bottom"/>
            <w:shd w:val="clear" w:color="auto" w:fill="CCEEFF"/>
          </w:tcPr>
          <w:p>
            <w:pPr>
              <w:ind w:left="460"/>
              <w:spacing w:after="0"/>
              <w:rPr>
                <w:sz w:val="20"/>
                <w:szCs w:val="20"/>
                <w:color w:val="auto"/>
              </w:rPr>
            </w:pPr>
            <w:r>
              <w:rPr>
                <w:rFonts w:ascii="Arial" w:cs="Arial" w:eastAsia="Arial" w:hAnsi="Arial"/>
                <w:sz w:val="17"/>
                <w:szCs w:val="17"/>
                <w:color w:val="auto"/>
              </w:rPr>
              <w:t>Professional fees</w:t>
            </w:r>
          </w:p>
        </w:tc>
        <w:tc>
          <w:tcPr>
            <w:tcW w:w="4960" w:type="dxa"/>
            <w:vAlign w:val="bottom"/>
            <w:gridSpan w:val="2"/>
            <w:shd w:val="clear" w:color="auto" w:fill="CCEEFF"/>
          </w:tcPr>
          <w:p>
            <w:pPr>
              <w:jc w:val="right"/>
              <w:ind w:right="403"/>
              <w:spacing w:after="0"/>
              <w:rPr>
                <w:sz w:val="20"/>
                <w:szCs w:val="20"/>
                <w:color w:val="auto"/>
              </w:rPr>
            </w:pPr>
            <w:r>
              <w:rPr>
                <w:rFonts w:ascii="Arial" w:cs="Arial" w:eastAsia="Arial" w:hAnsi="Arial"/>
                <w:sz w:val="17"/>
                <w:szCs w:val="17"/>
                <w:color w:val="auto"/>
              </w:rPr>
              <w:t>1.8</w:t>
            </w:r>
          </w:p>
        </w:tc>
        <w:tc>
          <w:tcPr>
            <w:tcW w:w="76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1.3</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0.5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40" w:type="dxa"/>
            <w:vAlign w:val="bottom"/>
          </w:tcPr>
          <w:p>
            <w:pPr>
              <w:ind w:left="460"/>
              <w:spacing w:after="0"/>
              <w:rPr>
                <w:sz w:val="20"/>
                <w:szCs w:val="20"/>
                <w:color w:val="auto"/>
              </w:rPr>
            </w:pPr>
            <w:r>
              <w:rPr>
                <w:rFonts w:ascii="Arial" w:cs="Arial" w:eastAsia="Arial" w:hAnsi="Arial"/>
                <w:sz w:val="17"/>
                <w:szCs w:val="17"/>
                <w:color w:val="auto"/>
              </w:rPr>
              <w:t>Other expenses</w:t>
            </w:r>
          </w:p>
        </w:tc>
        <w:tc>
          <w:tcPr>
            <w:tcW w:w="3440" w:type="dxa"/>
            <w:vAlign w:val="bottom"/>
          </w:tcPr>
          <w:p>
            <w:pPr>
              <w:spacing w:after="0"/>
              <w:rPr>
                <w:sz w:val="18"/>
                <w:szCs w:val="18"/>
                <w:color w:val="auto"/>
              </w:rPr>
            </w:pPr>
          </w:p>
        </w:tc>
        <w:tc>
          <w:tcPr>
            <w:tcW w:w="1520" w:type="dxa"/>
            <w:vAlign w:val="bottom"/>
            <w:tcBorders>
              <w:bottom w:val="single" w:sz="8" w:color="auto"/>
            </w:tcBorders>
          </w:tcPr>
          <w:p>
            <w:pPr>
              <w:jc w:val="right"/>
              <w:ind w:right="403"/>
              <w:spacing w:after="0"/>
              <w:rPr>
                <w:sz w:val="20"/>
                <w:szCs w:val="20"/>
                <w:color w:val="auto"/>
              </w:rPr>
            </w:pPr>
            <w:r>
              <w:rPr>
                <w:rFonts w:ascii="Arial" w:cs="Arial" w:eastAsia="Arial" w:hAnsi="Arial"/>
                <w:sz w:val="17"/>
                <w:szCs w:val="17"/>
                <w:color w:val="auto"/>
              </w:rPr>
              <w:t>10.4</w:t>
            </w:r>
          </w:p>
        </w:tc>
        <w:tc>
          <w:tcPr>
            <w:tcW w:w="76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11.2</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(0.8)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40" w:type="dxa"/>
            <w:vAlign w:val="bottom"/>
            <w:shd w:val="clear" w:color="auto" w:fill="CCEEFF"/>
          </w:tcPr>
          <w:p>
            <w:pPr>
              <w:ind w:left="300"/>
              <w:spacing w:after="0"/>
              <w:rPr>
                <w:sz w:val="20"/>
                <w:szCs w:val="20"/>
                <w:color w:val="auto"/>
              </w:rPr>
            </w:pPr>
            <w:r>
              <w:rPr>
                <w:rFonts w:ascii="Arial" w:cs="Arial" w:eastAsia="Arial" w:hAnsi="Arial"/>
                <w:sz w:val="17"/>
                <w:szCs w:val="17"/>
                <w:color w:val="auto"/>
              </w:rPr>
              <w:t>Total other underwriting expenses</w:t>
            </w:r>
          </w:p>
        </w:tc>
        <w:tc>
          <w:tcPr>
            <w:tcW w:w="4960" w:type="dxa"/>
            <w:vAlign w:val="bottom"/>
            <w:gridSpan w:val="2"/>
            <w:shd w:val="clear" w:color="auto" w:fill="CCEEFF"/>
          </w:tcPr>
          <w:p>
            <w:pPr>
              <w:jc w:val="right"/>
              <w:ind w:right="403"/>
              <w:spacing w:after="0"/>
              <w:rPr>
                <w:sz w:val="20"/>
                <w:szCs w:val="20"/>
                <w:color w:val="auto"/>
              </w:rPr>
            </w:pPr>
            <w:r>
              <w:rPr>
                <w:rFonts w:ascii="Arial" w:cs="Arial" w:eastAsia="Arial" w:hAnsi="Arial"/>
                <w:sz w:val="17"/>
                <w:szCs w:val="17"/>
                <w:color w:val="auto"/>
              </w:rPr>
              <w:t>20.8</w:t>
            </w:r>
          </w:p>
        </w:tc>
        <w:tc>
          <w:tcPr>
            <w:tcW w:w="76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22.1</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540" w:type="dxa"/>
            <w:vAlign w:val="bottom"/>
            <w:tcBorders>
              <w:top w:val="single" w:sz="8" w:color="CCEEFF"/>
            </w:tcBorders>
          </w:tcPr>
          <w:p>
            <w:pPr>
              <w:spacing w:after="0"/>
              <w:rPr>
                <w:sz w:val="18"/>
                <w:szCs w:val="18"/>
                <w:color w:val="auto"/>
              </w:rPr>
            </w:pPr>
          </w:p>
        </w:tc>
        <w:tc>
          <w:tcPr>
            <w:tcW w:w="3440" w:type="dxa"/>
            <w:vAlign w:val="bottom"/>
            <w:tcBorders>
              <w:top w:val="single" w:sz="8" w:color="CCEEFF"/>
            </w:tcBorders>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0" w:type="dxa"/>
            <w:vAlign w:val="bottom"/>
            <w:vMerge w:val="continue"/>
          </w:tcPr>
          <w:p>
            <w:pPr>
              <w:spacing w:after="0"/>
              <w:rPr>
                <w:sz w:val="21"/>
                <w:szCs w:val="21"/>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7"/>
                <w:szCs w:val="17"/>
                <w:color w:val="auto"/>
              </w:rPr>
              <w:t>Net underwriting expense ratio</w:t>
            </w:r>
          </w:p>
        </w:tc>
        <w:tc>
          <w:tcPr>
            <w:tcW w:w="4960" w:type="dxa"/>
            <w:vAlign w:val="bottom"/>
            <w:gridSpan w:val="2"/>
            <w:shd w:val="clear" w:color="auto" w:fill="CCEEFF"/>
          </w:tcPr>
          <w:p>
            <w:pPr>
              <w:jc w:val="right"/>
              <w:ind w:right="263"/>
              <w:spacing w:after="0"/>
              <w:rPr>
                <w:sz w:val="20"/>
                <w:szCs w:val="20"/>
                <w:color w:val="auto"/>
              </w:rPr>
            </w:pPr>
            <w:r>
              <w:rPr>
                <w:rFonts w:ascii="Arial" w:cs="Arial" w:eastAsia="Arial" w:hAnsi="Arial"/>
                <w:sz w:val="17"/>
                <w:szCs w:val="17"/>
                <w:color w:val="auto"/>
              </w:rPr>
              <w:t>38.5%</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38.7%</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w:t>
            </w:r>
          </w:p>
        </w:tc>
        <w:tc>
          <w:tcPr>
            <w:tcW w:w="0" w:type="dxa"/>
            <w:vAlign w:val="bottom"/>
          </w:tcPr>
          <w:p>
            <w:pPr>
              <w:spacing w:after="0"/>
              <w:rPr>
                <w:sz w:val="1"/>
                <w:szCs w:val="1"/>
                <w:color w:val="auto"/>
              </w:rPr>
            </w:pPr>
          </w:p>
        </w:tc>
      </w:tr>
      <w:tr>
        <w:trPr>
          <w:trHeight w:val="619"/>
        </w:trPr>
        <w:tc>
          <w:tcPr>
            <w:tcW w:w="20" w:type="dxa"/>
            <w:vAlign w:val="bottom"/>
          </w:tcPr>
          <w:p>
            <w:pPr>
              <w:spacing w:after="0"/>
              <w:rPr>
                <w:sz w:val="24"/>
                <w:szCs w:val="24"/>
                <w:color w:val="auto"/>
              </w:rPr>
            </w:pPr>
          </w:p>
        </w:tc>
        <w:tc>
          <w:tcPr>
            <w:tcW w:w="4540" w:type="dxa"/>
            <w:vAlign w:val="bottom"/>
            <w:tcBorders>
              <w:top w:val="single" w:sz="8" w:color="CCEEFF"/>
              <w:bottom w:val="single" w:sz="8" w:color="auto"/>
            </w:tcBorders>
          </w:tcPr>
          <w:p>
            <w:pPr>
              <w:spacing w:after="0"/>
              <w:rPr>
                <w:sz w:val="24"/>
                <w:szCs w:val="24"/>
                <w:color w:val="auto"/>
              </w:rPr>
            </w:pPr>
          </w:p>
        </w:tc>
        <w:tc>
          <w:tcPr>
            <w:tcW w:w="3440" w:type="dxa"/>
            <w:vAlign w:val="bottom"/>
            <w:tcBorders>
              <w:top w:val="single" w:sz="8" w:color="CCEEFF"/>
              <w:bottom w:val="single" w:sz="8" w:color="auto"/>
            </w:tcBorders>
          </w:tcPr>
          <w:p>
            <w:pPr>
              <w:jc w:val="right"/>
              <w:ind w:right="2115"/>
              <w:spacing w:after="0"/>
              <w:rPr>
                <w:sz w:val="20"/>
                <w:szCs w:val="20"/>
                <w:color w:val="auto"/>
              </w:rPr>
            </w:pPr>
            <w:r>
              <w:rPr>
                <w:rFonts w:ascii="Arial" w:cs="Arial" w:eastAsia="Arial" w:hAnsi="Arial"/>
                <w:sz w:val="17"/>
                <w:szCs w:val="17"/>
                <w:color w:val="auto"/>
              </w:rPr>
              <w:t>46</w:t>
            </w:r>
          </w:p>
        </w:tc>
        <w:tc>
          <w:tcPr>
            <w:tcW w:w="1520" w:type="dxa"/>
            <w:vAlign w:val="bottom"/>
            <w:tcBorders>
              <w:top w:val="single" w:sz="8" w:color="auto"/>
              <w:bottom w:val="single" w:sz="8" w:color="auto"/>
            </w:tcBorders>
          </w:tcPr>
          <w:p>
            <w:pPr>
              <w:spacing w:after="0"/>
              <w:rPr>
                <w:sz w:val="24"/>
                <w:szCs w:val="24"/>
                <w:color w:val="auto"/>
              </w:rPr>
            </w:pPr>
          </w:p>
        </w:tc>
        <w:tc>
          <w:tcPr>
            <w:tcW w:w="76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104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97" w:right="239" w:bottom="1440" w:gutter="0" w:footer="0" w:header="0"/>
        </w:sectPr>
      </w:pPr>
    </w:p>
    <w:bookmarkStart w:id="46" w:name="page47"/>
    <w:bookmarkEnd w:id="46"/>
    <w:p>
      <w:pPr>
        <w:jc w:val="both"/>
        <w:ind w:firstLine="628"/>
        <w:spacing w:after="0" w:line="265" w:lineRule="auto"/>
        <w:rPr>
          <w:sz w:val="20"/>
          <w:szCs w:val="20"/>
          <w:color w:val="auto"/>
        </w:rPr>
      </w:pPr>
      <w:r>
        <w:rPr>
          <w:rFonts w:ascii="Arial" w:cs="Arial" w:eastAsia="Arial" w:hAnsi="Arial"/>
          <w:sz w:val="17"/>
          <w:szCs w:val="17"/>
          <w:color w:val="auto"/>
        </w:rPr>
        <w:t>The overall 4.6 percentage point increase in provisional ceding commissions was driven entirely by the change in our quota share ceding rates and its impact on provisional ceding commission revenue due to the additional retention resulting from the cut-off to our quota share treaty on July 1, 2018. The components of our net underwriting expense ratio related to commissions and other underwriting expenses improved in nearly all categories, resulting in an overall 0.2 percentage point decrease in the net underwriting expense ratio.</w:t>
      </w:r>
    </w:p>
    <w:p>
      <w:pPr>
        <w:spacing w:after="0" w:line="118" w:lineRule="exact"/>
        <w:rPr>
          <w:sz w:val="20"/>
          <w:szCs w:val="20"/>
          <w:color w:val="auto"/>
        </w:rPr>
      </w:pPr>
    </w:p>
    <w:p>
      <w:pPr>
        <w:jc w:val="both"/>
        <w:ind w:firstLine="628"/>
        <w:spacing w:after="0" w:line="269" w:lineRule="auto"/>
        <w:rPr>
          <w:sz w:val="20"/>
          <w:szCs w:val="20"/>
          <w:color w:val="auto"/>
        </w:rPr>
      </w:pPr>
      <w:r>
        <w:rPr>
          <w:rFonts w:ascii="Arial" w:cs="Arial" w:eastAsia="Arial" w:hAnsi="Arial"/>
          <w:sz w:val="17"/>
          <w:szCs w:val="17"/>
          <w:color w:val="auto"/>
        </w:rPr>
        <w:t>The 1.3 percentage point decrease in our other underwriting expense ratio excluding the impact of ceding commission revenue and commission expense was driven by a decline of 1.8 percentage points from the impact of employment costs and other expenses, partially offset by a 0.5-point increase in professional fees as described above.</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Other Operating Expenses</w:t>
      </w:r>
    </w:p>
    <w:p>
      <w:pPr>
        <w:spacing w:after="0" w:line="158" w:lineRule="exact"/>
        <w:rPr>
          <w:sz w:val="20"/>
          <w:szCs w:val="20"/>
          <w:color w:val="auto"/>
        </w:rPr>
      </w:pPr>
    </w:p>
    <w:p>
      <w:pPr>
        <w:jc w:val="both"/>
        <w:ind w:firstLine="628"/>
        <w:spacing w:after="0" w:line="261" w:lineRule="auto"/>
        <w:rPr>
          <w:sz w:val="20"/>
          <w:szCs w:val="20"/>
          <w:color w:val="auto"/>
        </w:rPr>
      </w:pPr>
      <w:r>
        <w:rPr>
          <w:rFonts w:ascii="Arial" w:cs="Arial" w:eastAsia="Arial" w:hAnsi="Arial"/>
          <w:sz w:val="17"/>
          <w:szCs w:val="17"/>
          <w:color w:val="auto"/>
        </w:rPr>
        <w:t>Other operating expenses, related to the expenses of our holding company, were $972,000 in Three Months 2019 compared to $247,000 in Three Months 2018. The increase in Three Months 2019 of 725,000, or 293.5%, was primarily due to an absence of change to accrued executive bonus compensation in Three Months 2019, compared to a decrease in Three Months 2018. Executive bonus compensation is accrued pursuant to the employment agreement effective January 1, 2017 with Barry B. Goldstein, our Executive Chairman. The bonus is a one-time payment computed at the end of the three-year period ended December 31, 2019, and the amount accrued through March 31, 2019 will only be paid if the three-year computation meets the required terms of profitability. In addition, there was an increase in salary and equity compensation due to the hiring of Dale A. Thatcher at the end of Three Months 2018, our new Chief Operating Officer, before he assumed the role of Chief Executive Officer effective January 1, 2019.</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Depreciation and Amortization</w:t>
      </w:r>
    </w:p>
    <w:p>
      <w:pPr>
        <w:spacing w:after="0" w:line="158" w:lineRule="exact"/>
        <w:rPr>
          <w:sz w:val="20"/>
          <w:szCs w:val="20"/>
          <w:color w:val="auto"/>
        </w:rPr>
      </w:pPr>
    </w:p>
    <w:p>
      <w:pPr>
        <w:jc w:val="both"/>
        <w:ind w:firstLine="628"/>
        <w:spacing w:after="0" w:line="293" w:lineRule="auto"/>
        <w:rPr>
          <w:sz w:val="20"/>
          <w:szCs w:val="20"/>
          <w:color w:val="auto"/>
        </w:rPr>
      </w:pPr>
      <w:r>
        <w:rPr>
          <w:rFonts w:ascii="Arial" w:cs="Arial" w:eastAsia="Arial" w:hAnsi="Arial"/>
          <w:sz w:val="16"/>
          <w:szCs w:val="16"/>
          <w:color w:val="auto"/>
        </w:rPr>
        <w:t>Depreciation and amortization was $602,000 in Three Months 2019 compared to $409,000 in Three Months 2018. The increase of $193,000, or 47.2%, in depreciation and amortization was primarily due to depreciation of our new system platform for processing business being written in Expansion states and newly purchased assets used to upgrade our systems infrastructure and improvements to the Kingston, New York home office building from which we operate.</w:t>
      </w:r>
    </w:p>
    <w:p>
      <w:pPr>
        <w:spacing w:after="0" w:line="9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Interest Expense</w:t>
      </w:r>
    </w:p>
    <w:p>
      <w:pPr>
        <w:spacing w:after="0" w:line="158" w:lineRule="exact"/>
        <w:rPr>
          <w:sz w:val="20"/>
          <w:szCs w:val="20"/>
          <w:color w:val="auto"/>
        </w:rPr>
      </w:pPr>
    </w:p>
    <w:p>
      <w:pPr>
        <w:jc w:val="both"/>
        <w:ind w:firstLine="628"/>
        <w:spacing w:after="0" w:line="281" w:lineRule="auto"/>
        <w:rPr>
          <w:sz w:val="20"/>
          <w:szCs w:val="20"/>
          <w:color w:val="auto"/>
        </w:rPr>
      </w:pPr>
      <w:r>
        <w:rPr>
          <w:rFonts w:ascii="Arial" w:cs="Arial" w:eastAsia="Arial" w:hAnsi="Arial"/>
          <w:sz w:val="17"/>
          <w:szCs w:val="17"/>
          <w:color w:val="auto"/>
        </w:rPr>
        <w:t>Interest expense in Three Months 2019 and Three Months 2018 was $457,000. We incurred interest expense in connection with our $30.0 million issuance of long-term debt in December 2017.</w:t>
      </w:r>
    </w:p>
    <w:p>
      <w:pPr>
        <w:spacing w:after="0" w:line="10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Income Tax Expense</w:t>
      </w:r>
    </w:p>
    <w:p>
      <w:pPr>
        <w:spacing w:after="0" w:line="158" w:lineRule="exact"/>
        <w:rPr>
          <w:sz w:val="20"/>
          <w:szCs w:val="20"/>
          <w:color w:val="auto"/>
        </w:rPr>
      </w:pPr>
    </w:p>
    <w:p>
      <w:pPr>
        <w:jc w:val="both"/>
        <w:ind w:firstLine="628"/>
        <w:spacing w:after="0" w:line="269" w:lineRule="auto"/>
        <w:rPr>
          <w:sz w:val="20"/>
          <w:szCs w:val="20"/>
          <w:color w:val="auto"/>
        </w:rPr>
      </w:pPr>
      <w:r>
        <w:rPr>
          <w:rFonts w:ascii="Arial" w:cs="Arial" w:eastAsia="Arial" w:hAnsi="Arial"/>
          <w:sz w:val="17"/>
          <w:szCs w:val="17"/>
          <w:color w:val="auto"/>
        </w:rPr>
        <w:t>Income tax benefit in Three Months 2019 was $1,920,000, which resulted in an effective tax rate of 20.7%. Income tax benefit in Three Months 2018 was $791,000, which resulted in an effective tax rate of 22.5%. Loss before taxes was $9,255,000 in Three Months 2019 compared to loss before taxes of $3,509,000 in Three Months 2018.</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Net Loss</w:t>
      </w:r>
    </w:p>
    <w:p>
      <w:pPr>
        <w:spacing w:after="0" w:line="158" w:lineRule="exact"/>
        <w:rPr>
          <w:sz w:val="20"/>
          <w:szCs w:val="20"/>
          <w:color w:val="auto"/>
        </w:rPr>
      </w:pPr>
    </w:p>
    <w:p>
      <w:pPr>
        <w:jc w:val="both"/>
        <w:ind w:firstLine="628"/>
        <w:spacing w:after="0" w:line="265" w:lineRule="auto"/>
        <w:rPr>
          <w:sz w:val="20"/>
          <w:szCs w:val="20"/>
          <w:color w:val="auto"/>
        </w:rPr>
      </w:pPr>
      <w:r>
        <w:rPr>
          <w:rFonts w:ascii="Arial" w:cs="Arial" w:eastAsia="Arial" w:hAnsi="Arial"/>
          <w:sz w:val="17"/>
          <w:szCs w:val="17"/>
          <w:color w:val="auto"/>
        </w:rPr>
        <w:t>Net loss was $7,335,000 in Three Months 2019 compared to net loss of $2,718,000 in Three Months 2018. The increase in net loss of $4,617,000, (or 169.9%), was due to the circumstances described above, which caused the increase in our net loss ratio, decrease in ceding commission revenue, increases in other underwriting and operating expenses, and depreciation and amortization, partially offset by the increase in our net premiums earned, net investment income, and net gains on investments.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25106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47" w:name="page48"/>
    <w:bookmarkEnd w:id="47"/>
    <w:p>
      <w:pPr>
        <w:spacing w:after="0"/>
        <w:rPr>
          <w:sz w:val="20"/>
          <w:szCs w:val="20"/>
          <w:color w:val="auto"/>
        </w:rPr>
      </w:pPr>
      <w:r>
        <w:rPr>
          <w:rFonts w:ascii="Arial" w:cs="Arial" w:eastAsia="Arial" w:hAnsi="Arial"/>
          <w:sz w:val="17"/>
          <w:szCs w:val="17"/>
          <w:b w:val="1"/>
          <w:bCs w:val="1"/>
          <w:color w:val="auto"/>
        </w:rPr>
        <w:t>Additional Financial Information</w:t>
      </w:r>
    </w:p>
    <w:p>
      <w:pPr>
        <w:spacing w:after="0" w:line="162" w:lineRule="exact"/>
        <w:rPr>
          <w:sz w:val="20"/>
          <w:szCs w:val="20"/>
          <w:color w:val="auto"/>
        </w:rPr>
      </w:pPr>
    </w:p>
    <w:p>
      <w:pPr>
        <w:jc w:val="both"/>
        <w:ind w:right="40" w:firstLine="628"/>
        <w:spacing w:after="0" w:line="269" w:lineRule="auto"/>
        <w:rPr>
          <w:sz w:val="20"/>
          <w:szCs w:val="20"/>
          <w:color w:val="auto"/>
        </w:rPr>
      </w:pPr>
      <w:r>
        <w:rPr>
          <w:rFonts w:ascii="Arial" w:cs="Arial" w:eastAsia="Arial" w:hAnsi="Arial"/>
          <w:sz w:val="17"/>
          <w:szCs w:val="17"/>
          <w:color w:val="auto"/>
        </w:rPr>
        <w:t>We operate our business as one segment, property and casualty insurance. Within this segment, we offer an array of property and casualty policies to our producers. The following table summarizes gross and net written premiums, net premiums earned, and net loss and loss adjustment expenses by major product type, which were determined based primarily on similar economic characteristics and risks of loss.</w:t>
      </w:r>
    </w:p>
    <w:p>
      <w:pPr>
        <w:spacing w:after="0" w:line="227" w:lineRule="exact"/>
        <w:rPr>
          <w:sz w:val="20"/>
          <w:szCs w:val="20"/>
          <w:color w:val="auto"/>
        </w:rPr>
      </w:pPr>
    </w:p>
    <w:p>
      <w:pPr>
        <w:jc w:val="center"/>
        <w:ind w:left="9140"/>
        <w:spacing w:after="0"/>
        <w:rPr>
          <w:sz w:val="20"/>
          <w:szCs w:val="20"/>
          <w:color w:val="auto"/>
        </w:rPr>
      </w:pPr>
      <w:r>
        <w:rPr>
          <w:rFonts w:ascii="Arial" w:cs="Arial" w:eastAsia="Arial" w:hAnsi="Arial"/>
          <w:sz w:val="14"/>
          <w:szCs w:val="14"/>
          <w:b w:val="1"/>
          <w:bCs w:val="1"/>
          <w:color w:val="auto"/>
        </w:rPr>
        <w:t>For the three months ended</w:t>
      </w:r>
    </w:p>
    <w:p>
      <w:pPr>
        <w:spacing w:after="0" w:line="48" w:lineRule="exact"/>
        <w:rPr>
          <w:sz w:val="20"/>
          <w:szCs w:val="20"/>
          <w:color w:val="auto"/>
        </w:rPr>
      </w:pPr>
    </w:p>
    <w:p>
      <w:pPr>
        <w:jc w:val="center"/>
        <w:ind w:left="914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5808345</wp:posOffset>
            </wp:positionH>
            <wp:positionV relativeFrom="paragraph">
              <wp:posOffset>5715</wp:posOffset>
            </wp:positionV>
            <wp:extent cx="1445260" cy="165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445260" cy="16510"/>
                    </a:xfrm>
                    <a:prstGeom prst="rect">
                      <a:avLst/>
                    </a:prstGeom>
                    <a:noFill/>
                  </pic:spPr>
                </pic:pic>
              </a:graphicData>
            </a:graphic>
          </wp:anchor>
        </w:drawing>
      </w:r>
    </w:p>
    <w:p>
      <w:pPr>
        <w:spacing w:after="0" w:line="54" w:lineRule="exact"/>
        <w:rPr>
          <w:sz w:val="20"/>
          <w:szCs w:val="20"/>
          <w:color w:val="auto"/>
        </w:rPr>
      </w:pPr>
    </w:p>
    <w:p>
      <w:pPr>
        <w:ind w:left="9580"/>
        <w:spacing w:after="0"/>
        <w:tabs>
          <w:tab w:leader="none" w:pos="1070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5808345</wp:posOffset>
            </wp:positionH>
            <wp:positionV relativeFrom="paragraph">
              <wp:posOffset>5715</wp:posOffset>
            </wp:positionV>
            <wp:extent cx="1445260" cy="165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445260" cy="16510"/>
                    </a:xfrm>
                    <a:prstGeom prst="rect">
                      <a:avLst/>
                    </a:prstGeom>
                    <a:noFill/>
                  </pic:spPr>
                </pic:pic>
              </a:graphicData>
            </a:graphic>
          </wp:anchor>
        </w:drawing>
      </w:r>
    </w:p>
    <w:p>
      <w:pPr>
        <w:sectPr>
          <w:pgSz w:w="11900" w:h="16838" w:orient="portrait"/>
          <w:cols w:equalWidth="0" w:num="1">
            <w:col w:w="11460"/>
          </w:cols>
          <w:pgMar w:left="240" w:top="493" w:right="199" w:bottom="1440" w:gutter="0" w:footer="0" w:header="0"/>
        </w:sectPr>
      </w:pPr>
    </w:p>
    <w:p>
      <w:pPr>
        <w:spacing w:after="0" w:line="289" w:lineRule="exact"/>
        <w:rPr>
          <w:sz w:val="20"/>
          <w:szCs w:val="20"/>
          <w:color w:val="auto"/>
        </w:rPr>
      </w:pPr>
    </w:p>
    <w:p>
      <w:pPr>
        <w:spacing w:after="0"/>
        <w:rPr>
          <w:sz w:val="20"/>
          <w:szCs w:val="20"/>
          <w:color w:val="auto"/>
        </w:rPr>
      </w:pPr>
      <w:r>
        <w:rPr>
          <w:rFonts w:ascii="Arial" w:cs="Arial" w:eastAsia="Arial" w:hAnsi="Arial"/>
          <w:sz w:val="15"/>
          <w:szCs w:val="15"/>
          <w:color w:val="auto"/>
        </w:rPr>
        <w:t>Gross premiums written:</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Personal lines</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Commercial lines</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auto"/>
        </w:rPr>
        <w:t>Livery physical damage</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Other(1)</w:t>
      </w:r>
    </w:p>
    <w:p>
      <w:pPr>
        <w:spacing w:after="0" w:line="34" w:lineRule="exact"/>
        <w:rPr>
          <w:sz w:val="20"/>
          <w:szCs w:val="20"/>
          <w:color w:val="auto"/>
        </w:rPr>
      </w:pPr>
    </w:p>
    <w:p>
      <w:pPr>
        <w:ind w:left="160"/>
        <w:spacing w:after="0"/>
        <w:rPr>
          <w:sz w:val="20"/>
          <w:szCs w:val="20"/>
          <w:color w:val="auto"/>
        </w:rPr>
      </w:pPr>
      <w:r>
        <w:rPr>
          <w:rFonts w:ascii="Arial" w:cs="Arial" w:eastAsia="Arial" w:hAnsi="Arial"/>
          <w:sz w:val="17"/>
          <w:szCs w:val="17"/>
          <w:color w:val="auto"/>
        </w:rPr>
        <w:t>Total</w:t>
      </w: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color w:val="auto"/>
        </w:rPr>
        <w:t>Net premiums written:</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Personal lines(2)</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Commercial lines</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auto"/>
        </w:rPr>
        <w:t>Livery physical damage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9"/>
        </w:trPr>
        <w:tc>
          <w:tcPr>
            <w:tcW w:w="1140" w:type="dxa"/>
            <w:vAlign w:val="bottom"/>
          </w:tcPr>
          <w:p>
            <w:pPr>
              <w:jc w:val="right"/>
              <w:ind w:right="15"/>
              <w:spacing w:after="0"/>
              <w:rPr>
                <w:sz w:val="20"/>
                <w:szCs w:val="20"/>
                <w:color w:val="auto"/>
              </w:rPr>
            </w:pPr>
            <w:r>
              <w:rPr>
                <w:rFonts w:ascii="Arial" w:cs="Arial" w:eastAsia="Arial" w:hAnsi="Arial"/>
                <w:sz w:val="17"/>
                <w:szCs w:val="17"/>
                <w:color w:val="auto"/>
              </w:rPr>
              <w:t>$ 30,098,969</w:t>
            </w:r>
          </w:p>
        </w:tc>
        <w:tc>
          <w:tcPr>
            <w:tcW w:w="1140" w:type="dxa"/>
            <w:vAlign w:val="bottom"/>
          </w:tcPr>
          <w:p>
            <w:pPr>
              <w:jc w:val="right"/>
              <w:ind w:right="35"/>
              <w:spacing w:after="0"/>
              <w:rPr>
                <w:sz w:val="20"/>
                <w:szCs w:val="20"/>
                <w:color w:val="auto"/>
              </w:rPr>
            </w:pPr>
            <w:r>
              <w:rPr>
                <w:rFonts w:ascii="Arial" w:cs="Arial" w:eastAsia="Arial" w:hAnsi="Arial"/>
                <w:sz w:val="17"/>
                <w:szCs w:val="17"/>
                <w:color w:val="auto"/>
              </w:rPr>
              <w:t>$ 24,825,452</w:t>
            </w:r>
          </w:p>
        </w:tc>
      </w:tr>
      <w:tr>
        <w:trPr>
          <w:trHeight w:val="209"/>
        </w:trPr>
        <w:tc>
          <w:tcPr>
            <w:tcW w:w="1140" w:type="dxa"/>
            <w:vAlign w:val="bottom"/>
          </w:tcPr>
          <w:p>
            <w:pPr>
              <w:jc w:val="right"/>
              <w:ind w:right="15"/>
              <w:spacing w:after="0"/>
              <w:rPr>
                <w:sz w:val="20"/>
                <w:szCs w:val="20"/>
                <w:color w:val="auto"/>
              </w:rPr>
            </w:pPr>
            <w:r>
              <w:rPr>
                <w:rFonts w:ascii="Arial" w:cs="Arial" w:eastAsia="Arial" w:hAnsi="Arial"/>
                <w:sz w:val="17"/>
                <w:szCs w:val="17"/>
                <w:color w:val="auto"/>
              </w:rPr>
              <w:t>4,586,388</w:t>
            </w:r>
          </w:p>
        </w:tc>
        <w:tc>
          <w:tcPr>
            <w:tcW w:w="1140" w:type="dxa"/>
            <w:vAlign w:val="bottom"/>
          </w:tcPr>
          <w:p>
            <w:pPr>
              <w:jc w:val="right"/>
              <w:ind w:right="35"/>
              <w:spacing w:after="0"/>
              <w:rPr>
                <w:sz w:val="20"/>
                <w:szCs w:val="20"/>
                <w:color w:val="auto"/>
              </w:rPr>
            </w:pPr>
            <w:r>
              <w:rPr>
                <w:rFonts w:ascii="Arial" w:cs="Arial" w:eastAsia="Arial" w:hAnsi="Arial"/>
                <w:sz w:val="17"/>
                <w:szCs w:val="17"/>
                <w:color w:val="auto"/>
              </w:rPr>
              <w:t>4,286,391</w:t>
            </w:r>
          </w:p>
        </w:tc>
      </w:tr>
      <w:tr>
        <w:trPr>
          <w:trHeight w:val="209"/>
        </w:trPr>
        <w:tc>
          <w:tcPr>
            <w:tcW w:w="1140" w:type="dxa"/>
            <w:vAlign w:val="bottom"/>
          </w:tcPr>
          <w:p>
            <w:pPr>
              <w:jc w:val="right"/>
              <w:ind w:right="15"/>
              <w:spacing w:after="0"/>
              <w:rPr>
                <w:sz w:val="20"/>
                <w:szCs w:val="20"/>
                <w:color w:val="auto"/>
              </w:rPr>
            </w:pPr>
            <w:r>
              <w:rPr>
                <w:rFonts w:ascii="Arial" w:cs="Arial" w:eastAsia="Arial" w:hAnsi="Arial"/>
                <w:sz w:val="17"/>
                <w:szCs w:val="17"/>
                <w:color w:val="auto"/>
              </w:rPr>
              <w:t>2,730,086</w:t>
            </w:r>
          </w:p>
        </w:tc>
        <w:tc>
          <w:tcPr>
            <w:tcW w:w="1140" w:type="dxa"/>
            <w:vAlign w:val="bottom"/>
          </w:tcPr>
          <w:p>
            <w:pPr>
              <w:jc w:val="right"/>
              <w:ind w:right="35"/>
              <w:spacing w:after="0"/>
              <w:rPr>
                <w:sz w:val="20"/>
                <w:szCs w:val="20"/>
                <w:color w:val="auto"/>
              </w:rPr>
            </w:pPr>
            <w:r>
              <w:rPr>
                <w:rFonts w:ascii="Arial" w:cs="Arial" w:eastAsia="Arial" w:hAnsi="Arial"/>
                <w:sz w:val="17"/>
                <w:szCs w:val="17"/>
                <w:color w:val="auto"/>
              </w:rPr>
              <w:t>2,354,070</w:t>
            </w:r>
          </w:p>
        </w:tc>
      </w:tr>
      <w:tr>
        <w:trPr>
          <w:trHeight w:val="224"/>
        </w:trPr>
        <w:tc>
          <w:tcPr>
            <w:tcW w:w="114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73,071</w:t>
            </w:r>
          </w:p>
        </w:tc>
        <w:tc>
          <w:tcPr>
            <w:tcW w:w="11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60,706</w:t>
            </w:r>
          </w:p>
        </w:tc>
      </w:tr>
      <w:tr>
        <w:trPr>
          <w:trHeight w:val="209"/>
        </w:trPr>
        <w:tc>
          <w:tcPr>
            <w:tcW w:w="114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$ 37,488,514</w:t>
            </w:r>
          </w:p>
        </w:tc>
        <w:tc>
          <w:tcPr>
            <w:tcW w:w="11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$ 31,526,619</w:t>
            </w:r>
          </w:p>
        </w:tc>
      </w:tr>
      <w:tr>
        <w:trPr>
          <w:trHeight w:val="20"/>
        </w:trPr>
        <w:tc>
          <w:tcPr>
            <w:tcW w:w="1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-5800090</wp:posOffset>
            </wp:positionH>
            <wp:positionV relativeFrom="paragraph">
              <wp:posOffset>-713740</wp:posOffset>
            </wp:positionV>
            <wp:extent cx="7251065" cy="1327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1065" cy="13271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-447675</wp:posOffset>
            </wp:positionV>
            <wp:extent cx="7251065" cy="1327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1065" cy="13271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-165735</wp:posOffset>
            </wp:positionV>
            <wp:extent cx="7251065" cy="16637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1065" cy="16637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132715</wp:posOffset>
            </wp:positionV>
            <wp:extent cx="7251065" cy="1327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1065" cy="132715"/>
                    </a:xfrm>
                    <a:prstGeom prst="rect">
                      <a:avLst/>
                    </a:prstGeom>
                    <a:noFill/>
                  </pic:spPr>
                </pic:pic>
              </a:graphicData>
            </a:graphic>
          </wp:anchor>
        </w:drawing>
      </w:r>
    </w:p>
    <w:p>
      <w:pPr>
        <w:spacing w:after="0" w:line="390" w:lineRule="exact"/>
        <w:rPr>
          <w:sz w:val="20"/>
          <w:szCs w:val="20"/>
          <w:color w:val="auto"/>
        </w:rPr>
      </w:pPr>
    </w:p>
    <w:p>
      <w:pPr>
        <w:ind w:left="260" w:hanging="139"/>
        <w:spacing w:after="0"/>
        <w:tabs>
          <w:tab w:leader="none" w:pos="2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23,503,863   $ 17,443,911</w:t>
      </w:r>
    </w:p>
    <w:p>
      <w:pPr>
        <w:spacing w:after="0" w:line="20" w:lineRule="exact"/>
        <w:rPr>
          <w:rFonts w:ascii="Arial" w:cs="Arial" w:eastAsia="Arial" w:hAnsi="Arial"/>
          <w:sz w:val="17"/>
          <w:szCs w:val="17"/>
          <w:color w:val="auto"/>
        </w:rPr>
      </w:pPr>
    </w:p>
    <w:p>
      <w:pPr>
        <w:ind w:left="360"/>
        <w:spacing w:after="0"/>
        <w:rPr>
          <w:rFonts w:ascii="Arial" w:cs="Arial" w:eastAsia="Arial" w:hAnsi="Arial"/>
          <w:sz w:val="17"/>
          <w:szCs w:val="17"/>
          <w:color w:val="auto"/>
        </w:rPr>
      </w:pPr>
      <w:r>
        <w:rPr>
          <w:rFonts w:ascii="Arial" w:cs="Arial" w:eastAsia="Arial" w:hAnsi="Arial"/>
          <w:sz w:val="17"/>
          <w:szCs w:val="17"/>
          <w:color w:val="auto"/>
        </w:rPr>
        <w:t>4,060,361</w:t>
      </w:r>
      <w:r>
        <w:rPr>
          <w:rFonts w:ascii="Arial" w:cs="Arial" w:eastAsia="Arial" w:hAnsi="Arial"/>
          <w:sz w:val="15"/>
          <w:szCs w:val="15"/>
          <w:color w:val="auto"/>
        </w:rPr>
        <w:t>3,852,371</w:t>
      </w:r>
    </w:p>
    <w:p>
      <w:pPr>
        <w:spacing w:after="0" w:line="13" w:lineRule="exact"/>
        <w:rPr>
          <w:rFonts w:ascii="Arial" w:cs="Arial" w:eastAsia="Arial" w:hAnsi="Arial"/>
          <w:sz w:val="17"/>
          <w:szCs w:val="17"/>
          <w:color w:val="auto"/>
        </w:rPr>
      </w:pPr>
    </w:p>
    <w:p>
      <w:pPr>
        <w:ind w:left="360"/>
        <w:spacing w:after="0"/>
        <w:rPr>
          <w:rFonts w:ascii="Arial" w:cs="Arial" w:eastAsia="Arial" w:hAnsi="Arial"/>
          <w:sz w:val="17"/>
          <w:szCs w:val="17"/>
          <w:color w:val="auto"/>
        </w:rPr>
      </w:pPr>
      <w:r>
        <w:rPr>
          <w:rFonts w:ascii="Arial" w:cs="Arial" w:eastAsia="Arial" w:hAnsi="Arial"/>
          <w:sz w:val="17"/>
          <w:szCs w:val="17"/>
          <w:color w:val="auto"/>
        </w:rPr>
        <w:t>2,730,086</w:t>
      </w:r>
      <w:r>
        <w:rPr>
          <w:rFonts w:ascii="Arial" w:cs="Arial" w:eastAsia="Arial" w:hAnsi="Arial"/>
          <w:sz w:val="15"/>
          <w:szCs w:val="15"/>
          <w:color w:val="auto"/>
        </w:rPr>
        <w:t>2,356,070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-5800090</wp:posOffset>
            </wp:positionH>
            <wp:positionV relativeFrom="paragraph">
              <wp:posOffset>-254635</wp:posOffset>
            </wp:positionV>
            <wp:extent cx="7251065" cy="1327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1065" cy="132715"/>
                    </a:xfrm>
                    <a:prstGeom prst="rect">
                      <a:avLst/>
                    </a:prstGeom>
                    <a:noFill/>
                  </pic:spPr>
                </pic:pic>
              </a:graphicData>
            </a:graphic>
          </wp:anchor>
        </w:drawing>
      </w:r>
    </w:p>
    <w:p>
      <w:pPr>
        <w:spacing w:after="0" w:line="30" w:lineRule="exact"/>
        <w:rPr>
          <w:sz w:val="20"/>
          <w:szCs w:val="20"/>
          <w:color w:val="auto"/>
        </w:rPr>
      </w:pPr>
    </w:p>
    <w:p>
      <w:pPr>
        <w:sectPr>
          <w:pgSz w:w="11900" w:h="16838" w:orient="portrait"/>
          <w:cols w:equalWidth="0" w:num="2">
            <w:col w:w="8420" w:space="720"/>
            <w:col w:w="2320"/>
          </w:cols>
          <w:pgMar w:left="240" w:top="493" w:right="199" w:bottom="1440" w:gutter="0" w:footer="0" w:header="0"/>
          <w:type w:val="continuous"/>
        </w:sectPr>
      </w:pPr>
    </w:p>
    <w:tbl>
      <w:tblPr>
        <w:tblLayout w:type="fixed"/>
        <w:tblInd w:w="0" w:type="dxa"/>
        <w:tblCellMar>
          <w:top w:w="0" w:type="dxa"/>
          <w:left w:w="0" w:type="dxa"/>
          <w:bottom w:w="0" w:type="dxa"/>
          <w:right w:w="0" w:type="dxa"/>
        </w:tblCellMar>
      </w:tblPr>
      <w:tr>
        <w:trPr>
          <w:trHeight w:val="202"/>
        </w:trPr>
        <w:tc>
          <w:tcPr>
            <w:tcW w:w="20" w:type="dxa"/>
            <w:vAlign w:val="bottom"/>
          </w:tcPr>
          <w:p>
            <w:pPr>
              <w:spacing w:after="0"/>
              <w:rPr>
                <w:sz w:val="17"/>
                <w:szCs w:val="17"/>
                <w:color w:val="auto"/>
              </w:rPr>
            </w:pPr>
          </w:p>
        </w:tc>
        <w:tc>
          <w:tcPr>
            <w:tcW w:w="9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Other(1)</w:t>
            </w:r>
          </w:p>
        </w:tc>
        <w:tc>
          <w:tcPr>
            <w:tcW w:w="11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66,295</w:t>
            </w:r>
          </w:p>
        </w:tc>
        <w:tc>
          <w:tcPr>
            <w:tcW w:w="11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50,032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120" w:type="dxa"/>
            <w:vAlign w:val="bottom"/>
          </w:tcPr>
          <w:p>
            <w:pPr>
              <w:ind w:left="140"/>
              <w:spacing w:after="0"/>
              <w:rPr>
                <w:sz w:val="20"/>
                <w:szCs w:val="20"/>
                <w:color w:val="auto"/>
              </w:rPr>
            </w:pPr>
            <w:r>
              <w:rPr>
                <w:rFonts w:ascii="Arial" w:cs="Arial" w:eastAsia="Arial" w:hAnsi="Arial"/>
                <w:sz w:val="17"/>
                <w:szCs w:val="17"/>
                <w:color w:val="auto"/>
              </w:rPr>
              <w:t>Total</w:t>
            </w:r>
          </w:p>
        </w:tc>
        <w:tc>
          <w:tcPr>
            <w:tcW w:w="114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$ 30,360,605</w:t>
            </w:r>
          </w:p>
        </w:tc>
        <w:tc>
          <w:tcPr>
            <w:tcW w:w="11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$ 23,702,384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restart"/>
          </w:tcPr>
          <w:p>
            <w:pPr>
              <w:spacing w:after="0"/>
              <w:rPr>
                <w:sz w:val="17"/>
                <w:szCs w:val="17"/>
                <w:color w:val="auto"/>
              </w:rPr>
            </w:pPr>
          </w:p>
        </w:tc>
        <w:tc>
          <w:tcPr>
            <w:tcW w:w="9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9120" w:type="dxa"/>
            <w:vAlign w:val="bottom"/>
          </w:tcPr>
          <w:p>
            <w:pPr>
              <w:spacing w:after="0"/>
              <w:rPr>
                <w:sz w:val="20"/>
                <w:szCs w:val="20"/>
                <w:color w:val="auto"/>
              </w:rPr>
            </w:pPr>
            <w:r>
              <w:rPr>
                <w:rFonts w:ascii="Arial" w:cs="Arial" w:eastAsia="Arial" w:hAnsi="Arial"/>
                <w:sz w:val="17"/>
                <w:szCs w:val="17"/>
                <w:color w:val="auto"/>
              </w:rPr>
              <w:t>Net premiums earned:</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7"/>
                <w:szCs w:val="17"/>
                <w:color w:val="auto"/>
              </w:rPr>
              <w:t>Personal lines(2)</w:t>
            </w:r>
          </w:p>
        </w:tc>
        <w:tc>
          <w:tcPr>
            <w:tcW w:w="114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$ 23,420,874</w:t>
            </w:r>
          </w:p>
        </w:tc>
        <w:tc>
          <w:tcPr>
            <w:tcW w:w="11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$ 17,040,256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120" w:type="dxa"/>
            <w:vAlign w:val="bottom"/>
          </w:tcPr>
          <w:p>
            <w:pPr>
              <w:spacing w:after="0"/>
              <w:rPr>
                <w:sz w:val="20"/>
                <w:szCs w:val="20"/>
                <w:color w:val="auto"/>
              </w:rPr>
            </w:pPr>
            <w:r>
              <w:rPr>
                <w:rFonts w:ascii="Arial" w:cs="Arial" w:eastAsia="Arial" w:hAnsi="Arial"/>
                <w:sz w:val="17"/>
                <w:szCs w:val="17"/>
                <w:color w:val="auto"/>
              </w:rPr>
              <w:t>Commercial lines</w:t>
            </w:r>
          </w:p>
        </w:tc>
        <w:tc>
          <w:tcPr>
            <w:tcW w:w="1140" w:type="dxa"/>
            <w:vAlign w:val="bottom"/>
          </w:tcPr>
          <w:p>
            <w:pPr>
              <w:jc w:val="right"/>
              <w:ind w:right="15"/>
              <w:spacing w:after="0"/>
              <w:rPr>
                <w:sz w:val="20"/>
                <w:szCs w:val="20"/>
                <w:color w:val="auto"/>
              </w:rPr>
            </w:pPr>
            <w:r>
              <w:rPr>
                <w:rFonts w:ascii="Arial" w:cs="Arial" w:eastAsia="Arial" w:hAnsi="Arial"/>
                <w:sz w:val="17"/>
                <w:szCs w:val="17"/>
                <w:color w:val="auto"/>
              </w:rPr>
              <w:t>3,599,316</w:t>
            </w:r>
          </w:p>
        </w:tc>
        <w:tc>
          <w:tcPr>
            <w:tcW w:w="1140" w:type="dxa"/>
            <w:vAlign w:val="bottom"/>
          </w:tcPr>
          <w:p>
            <w:pPr>
              <w:jc w:val="right"/>
              <w:ind w:right="35"/>
              <w:spacing w:after="0"/>
              <w:rPr>
                <w:sz w:val="20"/>
                <w:szCs w:val="20"/>
                <w:color w:val="auto"/>
              </w:rPr>
            </w:pPr>
            <w:r>
              <w:rPr>
                <w:rFonts w:ascii="Arial" w:cs="Arial" w:eastAsia="Arial" w:hAnsi="Arial"/>
                <w:sz w:val="17"/>
                <w:szCs w:val="17"/>
                <w:color w:val="auto"/>
              </w:rPr>
              <w:t>3,229,970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7"/>
                <w:szCs w:val="17"/>
                <w:color w:val="auto"/>
              </w:rPr>
              <w:t>Livery physical damage</w:t>
            </w:r>
          </w:p>
        </w:tc>
        <w:tc>
          <w:tcPr>
            <w:tcW w:w="114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2,517,682</w:t>
            </w:r>
          </w:p>
        </w:tc>
        <w:tc>
          <w:tcPr>
            <w:tcW w:w="11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2,520,684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9120" w:type="dxa"/>
            <w:vAlign w:val="bottom"/>
          </w:tcPr>
          <w:p>
            <w:pPr>
              <w:spacing w:after="0"/>
              <w:rPr>
                <w:sz w:val="20"/>
                <w:szCs w:val="20"/>
                <w:color w:val="auto"/>
              </w:rPr>
            </w:pPr>
            <w:r>
              <w:rPr>
                <w:rFonts w:ascii="Arial" w:cs="Arial" w:eastAsia="Arial" w:hAnsi="Arial"/>
                <w:sz w:val="17"/>
                <w:szCs w:val="17"/>
                <w:color w:val="auto"/>
              </w:rPr>
              <w:t>Other(1)</w:t>
            </w:r>
          </w:p>
        </w:tc>
        <w:tc>
          <w:tcPr>
            <w:tcW w:w="114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58,017</w:t>
            </w:r>
          </w:p>
        </w:tc>
        <w:tc>
          <w:tcPr>
            <w:tcW w:w="11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46,707</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91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Total</w:t>
            </w:r>
          </w:p>
        </w:tc>
        <w:tc>
          <w:tcPr>
            <w:tcW w:w="11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$ 29,595,889</w:t>
            </w:r>
          </w:p>
        </w:tc>
        <w:tc>
          <w:tcPr>
            <w:tcW w:w="11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$ 22,837,617</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9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7"/>
                <w:szCs w:val="17"/>
                <w:color w:val="auto"/>
              </w:rPr>
              <w:t>Net loss and loss adjustment expenses(3):</w:t>
            </w:r>
          </w:p>
        </w:tc>
        <w:tc>
          <w:tcPr>
            <w:tcW w:w="1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120" w:type="dxa"/>
            <w:vAlign w:val="bottom"/>
          </w:tcPr>
          <w:p>
            <w:pPr>
              <w:spacing w:after="0"/>
              <w:rPr>
                <w:sz w:val="20"/>
                <w:szCs w:val="20"/>
                <w:color w:val="auto"/>
              </w:rPr>
            </w:pPr>
            <w:r>
              <w:rPr>
                <w:rFonts w:ascii="Arial" w:cs="Arial" w:eastAsia="Arial" w:hAnsi="Arial"/>
                <w:sz w:val="17"/>
                <w:szCs w:val="17"/>
                <w:color w:val="auto"/>
              </w:rPr>
              <w:t>Personal lines</w:t>
            </w:r>
          </w:p>
        </w:tc>
        <w:tc>
          <w:tcPr>
            <w:tcW w:w="1140" w:type="dxa"/>
            <w:vAlign w:val="bottom"/>
          </w:tcPr>
          <w:p>
            <w:pPr>
              <w:jc w:val="right"/>
              <w:ind w:right="15"/>
              <w:spacing w:after="0"/>
              <w:rPr>
                <w:sz w:val="20"/>
                <w:szCs w:val="20"/>
                <w:color w:val="auto"/>
              </w:rPr>
            </w:pPr>
            <w:r>
              <w:rPr>
                <w:rFonts w:ascii="Arial" w:cs="Arial" w:eastAsia="Arial" w:hAnsi="Arial"/>
                <w:sz w:val="17"/>
                <w:szCs w:val="17"/>
                <w:color w:val="auto"/>
              </w:rPr>
              <w:t>$ 20,402,544</w:t>
            </w:r>
          </w:p>
        </w:tc>
        <w:tc>
          <w:tcPr>
            <w:tcW w:w="1140" w:type="dxa"/>
            <w:vAlign w:val="bottom"/>
          </w:tcPr>
          <w:p>
            <w:pPr>
              <w:jc w:val="right"/>
              <w:ind w:right="35"/>
              <w:spacing w:after="0"/>
              <w:rPr>
                <w:sz w:val="20"/>
                <w:szCs w:val="20"/>
                <w:color w:val="auto"/>
              </w:rPr>
            </w:pPr>
            <w:r>
              <w:rPr>
                <w:rFonts w:ascii="Arial" w:cs="Arial" w:eastAsia="Arial" w:hAnsi="Arial"/>
                <w:sz w:val="17"/>
                <w:szCs w:val="17"/>
                <w:color w:val="auto"/>
              </w:rPr>
              <w:t>$ 12,961,206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7"/>
                <w:szCs w:val="17"/>
                <w:color w:val="auto"/>
              </w:rPr>
              <w:t>Commercial lines</w:t>
            </w:r>
          </w:p>
        </w:tc>
        <w:tc>
          <w:tcPr>
            <w:tcW w:w="114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6,669,223</w:t>
            </w:r>
          </w:p>
        </w:tc>
        <w:tc>
          <w:tcPr>
            <w:tcW w:w="11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2,449,598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120" w:type="dxa"/>
            <w:vAlign w:val="bottom"/>
          </w:tcPr>
          <w:p>
            <w:pPr>
              <w:spacing w:after="0"/>
              <w:rPr>
                <w:sz w:val="20"/>
                <w:szCs w:val="20"/>
                <w:color w:val="auto"/>
              </w:rPr>
            </w:pPr>
            <w:r>
              <w:rPr>
                <w:rFonts w:ascii="Arial" w:cs="Arial" w:eastAsia="Arial" w:hAnsi="Arial"/>
                <w:sz w:val="17"/>
                <w:szCs w:val="17"/>
                <w:color w:val="auto"/>
              </w:rPr>
              <w:t>Livery physical damage</w:t>
            </w:r>
          </w:p>
        </w:tc>
        <w:tc>
          <w:tcPr>
            <w:tcW w:w="1140" w:type="dxa"/>
            <w:vAlign w:val="bottom"/>
          </w:tcPr>
          <w:p>
            <w:pPr>
              <w:jc w:val="right"/>
              <w:ind w:right="15"/>
              <w:spacing w:after="0"/>
              <w:rPr>
                <w:sz w:val="20"/>
                <w:szCs w:val="20"/>
                <w:color w:val="auto"/>
              </w:rPr>
            </w:pPr>
            <w:r>
              <w:rPr>
                <w:rFonts w:ascii="Arial" w:cs="Arial" w:eastAsia="Arial" w:hAnsi="Arial"/>
                <w:sz w:val="17"/>
                <w:szCs w:val="17"/>
                <w:color w:val="auto"/>
              </w:rPr>
              <w:t>1,217,303</w:t>
            </w:r>
          </w:p>
        </w:tc>
        <w:tc>
          <w:tcPr>
            <w:tcW w:w="1140" w:type="dxa"/>
            <w:vAlign w:val="bottom"/>
          </w:tcPr>
          <w:p>
            <w:pPr>
              <w:jc w:val="right"/>
              <w:ind w:right="35"/>
              <w:spacing w:after="0"/>
              <w:rPr>
                <w:sz w:val="20"/>
                <w:szCs w:val="20"/>
                <w:color w:val="auto"/>
              </w:rPr>
            </w:pPr>
            <w:r>
              <w:rPr>
                <w:rFonts w:ascii="Arial" w:cs="Arial" w:eastAsia="Arial" w:hAnsi="Arial"/>
                <w:sz w:val="17"/>
                <w:szCs w:val="17"/>
                <w:color w:val="auto"/>
              </w:rPr>
              <w:t>1,164,081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7"/>
                <w:szCs w:val="17"/>
                <w:color w:val="auto"/>
              </w:rPr>
              <w:t>Other(1)</w:t>
            </w:r>
          </w:p>
        </w:tc>
        <w:tc>
          <w:tcPr>
            <w:tcW w:w="114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150,504</w:t>
            </w:r>
          </w:p>
        </w:tc>
        <w:tc>
          <w:tcPr>
            <w:tcW w:w="11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58,674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9120" w:type="dxa"/>
            <w:vAlign w:val="bottom"/>
          </w:tcPr>
          <w:p>
            <w:pPr>
              <w:spacing w:after="0"/>
              <w:rPr>
                <w:sz w:val="20"/>
                <w:szCs w:val="20"/>
                <w:color w:val="auto"/>
              </w:rPr>
            </w:pPr>
            <w:r>
              <w:rPr>
                <w:rFonts w:ascii="Arial" w:cs="Arial" w:eastAsia="Arial" w:hAnsi="Arial"/>
                <w:sz w:val="17"/>
                <w:szCs w:val="17"/>
                <w:color w:val="auto"/>
              </w:rPr>
              <w:t>Unallocated loss adjustment expenses</w:t>
            </w:r>
          </w:p>
        </w:tc>
        <w:tc>
          <w:tcPr>
            <w:tcW w:w="114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694,650</w:t>
            </w:r>
          </w:p>
        </w:tc>
        <w:tc>
          <w:tcPr>
            <w:tcW w:w="11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632,771</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91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Total</w:t>
            </w:r>
          </w:p>
        </w:tc>
        <w:tc>
          <w:tcPr>
            <w:tcW w:w="11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$ 29,134,224</w:t>
            </w:r>
          </w:p>
        </w:tc>
        <w:tc>
          <w:tcPr>
            <w:tcW w:w="11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$ 17,266,330</w:t>
            </w:r>
          </w:p>
        </w:tc>
        <w:tc>
          <w:tcPr>
            <w:tcW w:w="0" w:type="dxa"/>
            <w:vAlign w:val="bottom"/>
          </w:tcPr>
          <w:p>
            <w:pPr>
              <w:spacing w:after="0"/>
              <w:rPr>
                <w:sz w:val="1"/>
                <w:szCs w:val="1"/>
                <w:color w:val="auto"/>
              </w:rPr>
            </w:pPr>
          </w:p>
        </w:tc>
      </w:tr>
    </w:tbl>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720" w:type="dxa"/>
            <w:vAlign w:val="bottom"/>
            <w:shd w:val="clear" w:color="auto" w:fill="CCEEFF"/>
          </w:tcPr>
          <w:p>
            <w:pPr>
              <w:spacing w:after="0"/>
              <w:rPr>
                <w:sz w:val="20"/>
                <w:szCs w:val="20"/>
                <w:color w:val="auto"/>
              </w:rPr>
            </w:pPr>
            <w:r>
              <w:rPr>
                <w:rFonts w:ascii="Arial" w:cs="Arial" w:eastAsia="Arial" w:hAnsi="Arial"/>
                <w:sz w:val="17"/>
                <w:szCs w:val="17"/>
                <w:color w:val="auto"/>
              </w:rPr>
              <w:t>Net loss ratio(3):</w:t>
            </w:r>
          </w:p>
        </w:tc>
        <w:tc>
          <w:tcPr>
            <w:tcW w:w="49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09"/>
        </w:trPr>
        <w:tc>
          <w:tcPr>
            <w:tcW w:w="5720" w:type="dxa"/>
            <w:vAlign w:val="bottom"/>
          </w:tcPr>
          <w:p>
            <w:pPr>
              <w:spacing w:after="0"/>
              <w:rPr>
                <w:sz w:val="20"/>
                <w:szCs w:val="20"/>
                <w:color w:val="auto"/>
              </w:rPr>
            </w:pPr>
            <w:r>
              <w:rPr>
                <w:rFonts w:ascii="Arial" w:cs="Arial" w:eastAsia="Arial" w:hAnsi="Arial"/>
                <w:sz w:val="17"/>
                <w:szCs w:val="17"/>
                <w:color w:val="auto"/>
              </w:rPr>
              <w:t>Personal lines</w:t>
            </w:r>
          </w:p>
        </w:tc>
        <w:tc>
          <w:tcPr>
            <w:tcW w:w="4900" w:type="dxa"/>
            <w:vAlign w:val="bottom"/>
          </w:tcPr>
          <w:p>
            <w:pPr>
              <w:jc w:val="right"/>
              <w:ind w:right="215"/>
              <w:spacing w:after="0"/>
              <w:rPr>
                <w:sz w:val="20"/>
                <w:szCs w:val="20"/>
                <w:color w:val="auto"/>
              </w:rPr>
            </w:pPr>
            <w:r>
              <w:rPr>
                <w:rFonts w:ascii="Arial" w:cs="Arial" w:eastAsia="Arial" w:hAnsi="Arial"/>
                <w:sz w:val="17"/>
                <w:szCs w:val="17"/>
                <w:color w:val="auto"/>
              </w:rPr>
              <w:t>87.1%</w:t>
            </w:r>
          </w:p>
        </w:tc>
        <w:tc>
          <w:tcPr>
            <w:tcW w:w="800" w:type="dxa"/>
            <w:vAlign w:val="bottom"/>
          </w:tcPr>
          <w:p>
            <w:pPr>
              <w:jc w:val="right"/>
              <w:spacing w:after="0"/>
              <w:rPr>
                <w:sz w:val="20"/>
                <w:szCs w:val="20"/>
                <w:color w:val="auto"/>
              </w:rPr>
            </w:pPr>
            <w:r>
              <w:rPr>
                <w:rFonts w:ascii="Arial" w:cs="Arial" w:eastAsia="Arial" w:hAnsi="Arial"/>
                <w:sz w:val="17"/>
                <w:szCs w:val="17"/>
                <w:color w:val="auto"/>
              </w:rPr>
              <w:t>76.1%</w:t>
            </w:r>
          </w:p>
        </w:tc>
        <w:tc>
          <w:tcPr>
            <w:tcW w:w="40" w:type="dxa"/>
            <w:vAlign w:val="bottom"/>
          </w:tcPr>
          <w:p>
            <w:pPr>
              <w:spacing w:after="0"/>
              <w:rPr>
                <w:sz w:val="18"/>
                <w:szCs w:val="18"/>
                <w:color w:val="auto"/>
              </w:rPr>
            </w:pPr>
          </w:p>
        </w:tc>
      </w:tr>
      <w:tr>
        <w:trPr>
          <w:trHeight w:val="209"/>
        </w:trPr>
        <w:tc>
          <w:tcPr>
            <w:tcW w:w="5720" w:type="dxa"/>
            <w:vAlign w:val="bottom"/>
            <w:shd w:val="clear" w:color="auto" w:fill="CCEEFF"/>
          </w:tcPr>
          <w:p>
            <w:pPr>
              <w:spacing w:after="0"/>
              <w:rPr>
                <w:sz w:val="20"/>
                <w:szCs w:val="20"/>
                <w:color w:val="auto"/>
              </w:rPr>
            </w:pPr>
            <w:r>
              <w:rPr>
                <w:rFonts w:ascii="Arial" w:cs="Arial" w:eastAsia="Arial" w:hAnsi="Arial"/>
                <w:sz w:val="17"/>
                <w:szCs w:val="17"/>
                <w:color w:val="auto"/>
              </w:rPr>
              <w:t>Commercial lines</w:t>
            </w:r>
          </w:p>
        </w:tc>
        <w:tc>
          <w:tcPr>
            <w:tcW w:w="4900" w:type="dxa"/>
            <w:vAlign w:val="bottom"/>
            <w:shd w:val="clear" w:color="auto" w:fill="CCEEFF"/>
          </w:tcPr>
          <w:p>
            <w:pPr>
              <w:jc w:val="right"/>
              <w:ind w:right="215"/>
              <w:spacing w:after="0"/>
              <w:rPr>
                <w:sz w:val="20"/>
                <w:szCs w:val="20"/>
                <w:color w:val="auto"/>
              </w:rPr>
            </w:pPr>
            <w:r>
              <w:rPr>
                <w:rFonts w:ascii="Arial" w:cs="Arial" w:eastAsia="Arial" w:hAnsi="Arial"/>
                <w:sz w:val="17"/>
                <w:szCs w:val="17"/>
                <w:color w:val="auto"/>
              </w:rPr>
              <w:t>185.3%</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75.8%</w:t>
            </w:r>
          </w:p>
        </w:tc>
        <w:tc>
          <w:tcPr>
            <w:tcW w:w="40" w:type="dxa"/>
            <w:vAlign w:val="bottom"/>
          </w:tcPr>
          <w:p>
            <w:pPr>
              <w:spacing w:after="0"/>
              <w:rPr>
                <w:sz w:val="18"/>
                <w:szCs w:val="18"/>
                <w:color w:val="auto"/>
              </w:rPr>
            </w:pPr>
          </w:p>
        </w:tc>
      </w:tr>
      <w:tr>
        <w:trPr>
          <w:trHeight w:val="209"/>
        </w:trPr>
        <w:tc>
          <w:tcPr>
            <w:tcW w:w="5720" w:type="dxa"/>
            <w:vAlign w:val="bottom"/>
          </w:tcPr>
          <w:p>
            <w:pPr>
              <w:spacing w:after="0"/>
              <w:rPr>
                <w:sz w:val="20"/>
                <w:szCs w:val="20"/>
                <w:color w:val="auto"/>
              </w:rPr>
            </w:pPr>
            <w:r>
              <w:rPr>
                <w:rFonts w:ascii="Arial" w:cs="Arial" w:eastAsia="Arial" w:hAnsi="Arial"/>
                <w:sz w:val="17"/>
                <w:szCs w:val="17"/>
                <w:color w:val="auto"/>
              </w:rPr>
              <w:t>Livery physical damage</w:t>
            </w:r>
          </w:p>
        </w:tc>
        <w:tc>
          <w:tcPr>
            <w:tcW w:w="4900" w:type="dxa"/>
            <w:vAlign w:val="bottom"/>
          </w:tcPr>
          <w:p>
            <w:pPr>
              <w:jc w:val="right"/>
              <w:ind w:right="215"/>
              <w:spacing w:after="0"/>
              <w:rPr>
                <w:sz w:val="20"/>
                <w:szCs w:val="20"/>
                <w:color w:val="auto"/>
              </w:rPr>
            </w:pPr>
            <w:r>
              <w:rPr>
                <w:rFonts w:ascii="Arial" w:cs="Arial" w:eastAsia="Arial" w:hAnsi="Arial"/>
                <w:sz w:val="17"/>
                <w:szCs w:val="17"/>
                <w:color w:val="auto"/>
              </w:rPr>
              <w:t>48.4%</w:t>
            </w:r>
          </w:p>
        </w:tc>
        <w:tc>
          <w:tcPr>
            <w:tcW w:w="800" w:type="dxa"/>
            <w:vAlign w:val="bottom"/>
          </w:tcPr>
          <w:p>
            <w:pPr>
              <w:jc w:val="right"/>
              <w:spacing w:after="0"/>
              <w:rPr>
                <w:sz w:val="20"/>
                <w:szCs w:val="20"/>
                <w:color w:val="auto"/>
              </w:rPr>
            </w:pPr>
            <w:r>
              <w:rPr>
                <w:rFonts w:ascii="Arial" w:cs="Arial" w:eastAsia="Arial" w:hAnsi="Arial"/>
                <w:sz w:val="17"/>
                <w:szCs w:val="17"/>
                <w:color w:val="auto"/>
              </w:rPr>
              <w:t>46.2%</w:t>
            </w:r>
          </w:p>
        </w:tc>
        <w:tc>
          <w:tcPr>
            <w:tcW w:w="40" w:type="dxa"/>
            <w:vAlign w:val="bottom"/>
          </w:tcPr>
          <w:p>
            <w:pPr>
              <w:spacing w:after="0"/>
              <w:rPr>
                <w:sz w:val="18"/>
                <w:szCs w:val="18"/>
                <w:color w:val="auto"/>
              </w:rPr>
            </w:pPr>
          </w:p>
        </w:tc>
      </w:tr>
      <w:tr>
        <w:trPr>
          <w:trHeight w:val="209"/>
        </w:trPr>
        <w:tc>
          <w:tcPr>
            <w:tcW w:w="5720" w:type="dxa"/>
            <w:vAlign w:val="bottom"/>
            <w:shd w:val="clear" w:color="auto" w:fill="CCEEFF"/>
          </w:tcPr>
          <w:p>
            <w:pPr>
              <w:spacing w:after="0"/>
              <w:rPr>
                <w:sz w:val="20"/>
                <w:szCs w:val="20"/>
                <w:color w:val="auto"/>
              </w:rPr>
            </w:pPr>
            <w:r>
              <w:rPr>
                <w:rFonts w:ascii="Arial" w:cs="Arial" w:eastAsia="Arial" w:hAnsi="Arial"/>
                <w:sz w:val="17"/>
                <w:szCs w:val="17"/>
                <w:color w:val="auto"/>
              </w:rPr>
              <w:t>Other(1)</w:t>
            </w:r>
          </w:p>
        </w:tc>
        <w:tc>
          <w:tcPr>
            <w:tcW w:w="4900" w:type="dxa"/>
            <w:vAlign w:val="bottom"/>
            <w:shd w:val="clear" w:color="auto" w:fill="CCEEFF"/>
          </w:tcPr>
          <w:p>
            <w:pPr>
              <w:jc w:val="right"/>
              <w:ind w:right="215"/>
              <w:spacing w:after="0"/>
              <w:rPr>
                <w:sz w:val="20"/>
                <w:szCs w:val="20"/>
                <w:color w:val="auto"/>
              </w:rPr>
            </w:pPr>
            <w:r>
              <w:rPr>
                <w:rFonts w:ascii="Arial" w:cs="Arial" w:eastAsia="Arial" w:hAnsi="Arial"/>
                <w:sz w:val="17"/>
                <w:szCs w:val="17"/>
                <w:color w:val="auto"/>
              </w:rPr>
              <w:t>259.4%</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125.6%</w:t>
            </w:r>
          </w:p>
        </w:tc>
        <w:tc>
          <w:tcPr>
            <w:tcW w:w="40" w:type="dxa"/>
            <w:vAlign w:val="bottom"/>
          </w:tcPr>
          <w:p>
            <w:pPr>
              <w:spacing w:after="0"/>
              <w:rPr>
                <w:sz w:val="18"/>
                <w:szCs w:val="18"/>
                <w:color w:val="auto"/>
              </w:rPr>
            </w:pPr>
          </w:p>
        </w:tc>
      </w:tr>
      <w:tr>
        <w:trPr>
          <w:trHeight w:val="216"/>
        </w:trPr>
        <w:tc>
          <w:tcPr>
            <w:tcW w:w="5720" w:type="dxa"/>
            <w:vAlign w:val="bottom"/>
          </w:tcPr>
          <w:p>
            <w:pPr>
              <w:ind w:left="160"/>
              <w:spacing w:after="0"/>
              <w:rPr>
                <w:sz w:val="20"/>
                <w:szCs w:val="20"/>
                <w:color w:val="auto"/>
              </w:rPr>
            </w:pPr>
            <w:r>
              <w:rPr>
                <w:rFonts w:ascii="Arial" w:cs="Arial" w:eastAsia="Arial" w:hAnsi="Arial"/>
                <w:sz w:val="17"/>
                <w:szCs w:val="17"/>
                <w:color w:val="auto"/>
              </w:rPr>
              <w:t>Total</w:t>
            </w:r>
          </w:p>
        </w:tc>
        <w:tc>
          <w:tcPr>
            <w:tcW w:w="4900" w:type="dxa"/>
            <w:vAlign w:val="bottom"/>
          </w:tcPr>
          <w:p>
            <w:pPr>
              <w:jc w:val="right"/>
              <w:ind w:right="215"/>
              <w:spacing w:after="0"/>
              <w:rPr>
                <w:sz w:val="20"/>
                <w:szCs w:val="20"/>
                <w:color w:val="auto"/>
              </w:rPr>
            </w:pPr>
            <w:r>
              <w:rPr>
                <w:rFonts w:ascii="Arial" w:cs="Arial" w:eastAsia="Arial" w:hAnsi="Arial"/>
                <w:sz w:val="17"/>
                <w:szCs w:val="17"/>
                <w:color w:val="auto"/>
              </w:rPr>
              <w:t>98.4%</w:t>
            </w:r>
          </w:p>
        </w:tc>
        <w:tc>
          <w:tcPr>
            <w:tcW w:w="800" w:type="dxa"/>
            <w:vAlign w:val="bottom"/>
          </w:tcPr>
          <w:p>
            <w:pPr>
              <w:jc w:val="right"/>
              <w:spacing w:after="0"/>
              <w:rPr>
                <w:sz w:val="20"/>
                <w:szCs w:val="20"/>
                <w:color w:val="auto"/>
              </w:rPr>
            </w:pPr>
            <w:r>
              <w:rPr>
                <w:rFonts w:ascii="Arial" w:cs="Arial" w:eastAsia="Arial" w:hAnsi="Arial"/>
                <w:sz w:val="17"/>
                <w:szCs w:val="17"/>
                <w:color w:val="auto"/>
              </w:rPr>
              <w:t>75.6%</w:t>
            </w:r>
          </w:p>
        </w:tc>
        <w:tc>
          <w:tcPr>
            <w:tcW w:w="40" w:type="dxa"/>
            <w:vAlign w:val="bottom"/>
          </w:tcPr>
          <w:p>
            <w:pPr>
              <w:spacing w:after="0"/>
              <w:rPr>
                <w:sz w:val="18"/>
                <w:szCs w:val="18"/>
                <w:color w:val="auto"/>
              </w:rPr>
            </w:pPr>
          </w:p>
        </w:tc>
      </w:tr>
    </w:tbl>
    <w:p>
      <w:pPr>
        <w:spacing w:after="0" w:line="195" w:lineRule="exact"/>
        <w:rPr>
          <w:sz w:val="20"/>
          <w:szCs w:val="20"/>
          <w:color w:val="auto"/>
        </w:rPr>
      </w:pPr>
    </w:p>
    <w:p>
      <w:pPr>
        <w:ind w:left="480" w:right="40" w:hanging="318"/>
        <w:spacing w:after="0" w:line="260" w:lineRule="auto"/>
        <w:tabs>
          <w:tab w:leader="none" w:pos="4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“Other” includes, among other things, premiums and loss and loss adjustment expenses from our participation in a mandatory state joint underwriting association and loss and loss adjustment expenses from commercial auto.</w:t>
      </w:r>
    </w:p>
    <w:p>
      <w:pPr>
        <w:spacing w:after="0" w:line="1" w:lineRule="exact"/>
        <w:rPr>
          <w:rFonts w:ascii="Arial" w:cs="Arial" w:eastAsia="Arial" w:hAnsi="Arial"/>
          <w:sz w:val="17"/>
          <w:szCs w:val="17"/>
          <w:color w:val="auto"/>
        </w:rPr>
      </w:pPr>
    </w:p>
    <w:p>
      <w:pPr>
        <w:ind w:left="480" w:right="40" w:hanging="318"/>
        <w:spacing w:after="0" w:line="256" w:lineRule="auto"/>
        <w:tabs>
          <w:tab w:leader="none" w:pos="4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See discussions above with regard to “Net Written Premiums and Net Premiums Earned”, as to changes in quota share ceding rates, effective July 1, 2018 and 2017.</w:t>
      </w:r>
    </w:p>
    <w:p>
      <w:pPr>
        <w:spacing w:after="0" w:line="1" w:lineRule="exact"/>
        <w:rPr>
          <w:rFonts w:ascii="Arial" w:cs="Arial" w:eastAsia="Arial" w:hAnsi="Arial"/>
          <w:sz w:val="17"/>
          <w:szCs w:val="17"/>
          <w:color w:val="auto"/>
        </w:rPr>
      </w:pPr>
    </w:p>
    <w:p>
      <w:pPr>
        <w:ind w:left="480" w:hanging="318"/>
        <w:spacing w:after="0"/>
        <w:tabs>
          <w:tab w:leader="none" w:pos="4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See discussions above with regard to “Net Loss and LAE”, as to catastrophe losses in 2019 and 2018.</w:t>
      </w:r>
    </w:p>
    <w:p>
      <w:pPr>
        <w:spacing w:after="0" w:line="374"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25106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ectPr>
          <w:pgSz w:w="11900" w:h="16838" w:orient="portrait"/>
          <w:cols w:equalWidth="0" w:num="1">
            <w:col w:w="11460"/>
          </w:cols>
          <w:pgMar w:left="240" w:top="493" w:right="199" w:bottom="1440" w:gutter="0" w:footer="0" w:header="0"/>
          <w:type w:val="continuous"/>
        </w:sectPr>
      </w:pPr>
    </w:p>
    <w:bookmarkStart w:id="48" w:name="page49"/>
    <w:bookmarkEnd w:id="48"/>
    <w:p>
      <w:pPr>
        <w:spacing w:after="0"/>
        <w:rPr>
          <w:sz w:val="20"/>
          <w:szCs w:val="20"/>
          <w:color w:val="auto"/>
        </w:rPr>
      </w:pPr>
      <w:r>
        <w:rPr>
          <w:rFonts w:ascii="Arial" w:cs="Arial" w:eastAsia="Arial" w:hAnsi="Arial"/>
          <w:sz w:val="17"/>
          <w:szCs w:val="17"/>
          <w:b w:val="1"/>
          <w:bCs w:val="1"/>
          <w:color w:val="auto"/>
        </w:rPr>
        <w:t>Insurance Underwriting Business on a Standalone Basis</w:t>
      </w:r>
    </w:p>
    <w:p>
      <w:pPr>
        <w:spacing w:after="0" w:line="16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Our insurance underwriting business reported on a standalone basis for the periods indicated is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4540" w:type="dxa"/>
            <w:vAlign w:val="bottom"/>
          </w:tcPr>
          <w:p>
            <w:pPr>
              <w:spacing w:after="0"/>
              <w:rPr>
                <w:sz w:val="16"/>
                <w:szCs w:val="16"/>
                <w:color w:val="auto"/>
              </w:rPr>
            </w:pPr>
          </w:p>
        </w:tc>
        <w:tc>
          <w:tcPr>
            <w:tcW w:w="4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8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1"/>
              </w:rPr>
              <w:t>Three months ended</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540" w:type="dxa"/>
            <w:vAlign w:val="bottom"/>
          </w:tcPr>
          <w:p>
            <w:pPr>
              <w:spacing w:after="0"/>
              <w:rPr>
                <w:sz w:val="17"/>
                <w:szCs w:val="17"/>
                <w:color w:val="auto"/>
              </w:rPr>
            </w:pPr>
          </w:p>
        </w:tc>
        <w:tc>
          <w:tcPr>
            <w:tcW w:w="4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8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5"/>
              </w:rPr>
              <w:t>March 31,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0"/>
        </w:trPr>
        <w:tc>
          <w:tcPr>
            <w:tcW w:w="4560" w:type="dxa"/>
            <w:vAlign w:val="bottom"/>
            <w:gridSpan w:val="2"/>
          </w:tcPr>
          <w:p>
            <w:pPr>
              <w:spacing w:after="0"/>
              <w:rPr>
                <w:sz w:val="20"/>
                <w:szCs w:val="20"/>
                <w:color w:val="auto"/>
              </w:rPr>
            </w:pPr>
            <w:r>
              <w:rPr>
                <w:rFonts w:ascii="Arial" w:cs="Arial" w:eastAsia="Arial" w:hAnsi="Arial"/>
                <w:sz w:val="17"/>
                <w:szCs w:val="17"/>
                <w:b w:val="1"/>
                <w:bCs w:val="1"/>
                <w:color w:val="auto"/>
              </w:rPr>
              <w:t>Revenues</w:t>
            </w:r>
          </w:p>
        </w:tc>
        <w:tc>
          <w:tcPr>
            <w:tcW w:w="4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Net premiums earned</w:t>
            </w:r>
          </w:p>
        </w:tc>
        <w:tc>
          <w:tcPr>
            <w:tcW w:w="48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w w:val="91"/>
              </w:rPr>
              <w:t>29,595,889</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w w:val="89"/>
              </w:rPr>
              <w:t>22,837,617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40" w:type="dxa"/>
            <w:vAlign w:val="bottom"/>
          </w:tcPr>
          <w:p>
            <w:pPr>
              <w:ind w:left="140"/>
              <w:spacing w:after="0"/>
              <w:rPr>
                <w:sz w:val="20"/>
                <w:szCs w:val="20"/>
                <w:color w:val="auto"/>
              </w:rPr>
            </w:pPr>
            <w:r>
              <w:rPr>
                <w:rFonts w:ascii="Arial" w:cs="Arial" w:eastAsia="Arial" w:hAnsi="Arial"/>
                <w:sz w:val="17"/>
                <w:szCs w:val="17"/>
                <w:color w:val="auto"/>
              </w:rPr>
              <w:t>Ceding commission revenue</w:t>
            </w:r>
          </w:p>
        </w:tc>
        <w:tc>
          <w:tcPr>
            <w:tcW w:w="4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96"/>
              <w:spacing w:after="0"/>
              <w:rPr>
                <w:sz w:val="20"/>
                <w:szCs w:val="20"/>
                <w:color w:val="auto"/>
              </w:rPr>
            </w:pPr>
            <w:r>
              <w:rPr>
                <w:rFonts w:ascii="Arial" w:cs="Arial" w:eastAsia="Arial" w:hAnsi="Arial"/>
                <w:sz w:val="17"/>
                <w:szCs w:val="17"/>
                <w:color w:val="auto"/>
              </w:rPr>
              <w:t>1,277,683</w:t>
            </w:r>
          </w:p>
        </w:tc>
        <w:tc>
          <w:tcPr>
            <w:tcW w:w="160" w:type="dxa"/>
            <w:vAlign w:val="bottom"/>
          </w:tcPr>
          <w:p>
            <w:pPr>
              <w:spacing w:after="0"/>
              <w:rPr>
                <w:sz w:val="18"/>
                <w:szCs w:val="18"/>
                <w:color w:val="auto"/>
              </w:rPr>
            </w:pPr>
          </w:p>
        </w:tc>
        <w:tc>
          <w:tcPr>
            <w:tcW w:w="900" w:type="dxa"/>
            <w:vAlign w:val="bottom"/>
          </w:tcPr>
          <w:p>
            <w:pPr>
              <w:jc w:val="right"/>
              <w:ind w:right="36"/>
              <w:spacing w:after="0"/>
              <w:rPr>
                <w:sz w:val="20"/>
                <w:szCs w:val="20"/>
                <w:color w:val="auto"/>
              </w:rPr>
            </w:pPr>
            <w:r>
              <w:rPr>
                <w:rFonts w:ascii="Arial" w:cs="Arial" w:eastAsia="Arial" w:hAnsi="Arial"/>
                <w:sz w:val="17"/>
                <w:szCs w:val="17"/>
                <w:color w:val="auto"/>
              </w:rPr>
              <w:t>1,695,158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Net investment income</w:t>
            </w:r>
          </w:p>
        </w:tc>
        <w:tc>
          <w:tcPr>
            <w:tcW w:w="4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rPr>
              <w:t>1,599,932</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1,383,989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40" w:type="dxa"/>
            <w:vAlign w:val="bottom"/>
          </w:tcPr>
          <w:p>
            <w:pPr>
              <w:ind w:left="140"/>
              <w:spacing w:after="0"/>
              <w:rPr>
                <w:sz w:val="20"/>
                <w:szCs w:val="20"/>
                <w:color w:val="auto"/>
              </w:rPr>
            </w:pPr>
            <w:r>
              <w:rPr>
                <w:rFonts w:ascii="Arial" w:cs="Arial" w:eastAsia="Arial" w:hAnsi="Arial"/>
                <w:sz w:val="17"/>
                <w:szCs w:val="17"/>
                <w:color w:val="auto"/>
              </w:rPr>
              <w:t>Net gains (losses) on investments</w:t>
            </w:r>
          </w:p>
        </w:tc>
        <w:tc>
          <w:tcPr>
            <w:tcW w:w="4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96"/>
              <w:spacing w:after="0"/>
              <w:rPr>
                <w:sz w:val="20"/>
                <w:szCs w:val="20"/>
                <w:color w:val="auto"/>
              </w:rPr>
            </w:pPr>
            <w:r>
              <w:rPr>
                <w:rFonts w:ascii="Arial" w:cs="Arial" w:eastAsia="Arial" w:hAnsi="Arial"/>
                <w:sz w:val="17"/>
                <w:szCs w:val="17"/>
                <w:color w:val="auto"/>
              </w:rPr>
              <w:t>1,993,563</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(523,127)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Other income</w:t>
            </w:r>
          </w:p>
        </w:tc>
        <w:tc>
          <w:tcPr>
            <w:tcW w:w="45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7"/>
                <w:szCs w:val="17"/>
                <w:color w:val="auto"/>
              </w:rPr>
              <w:t>314,738</w:t>
            </w:r>
          </w:p>
        </w:tc>
        <w:tc>
          <w:tcPr>
            <w:tcW w:w="1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292,222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40" w:type="dxa"/>
            <w:vAlign w:val="bottom"/>
          </w:tcPr>
          <w:p>
            <w:pPr>
              <w:ind w:left="300"/>
              <w:spacing w:after="0"/>
              <w:rPr>
                <w:sz w:val="20"/>
                <w:szCs w:val="20"/>
                <w:color w:val="auto"/>
              </w:rPr>
            </w:pPr>
            <w:r>
              <w:rPr>
                <w:rFonts w:ascii="Arial" w:cs="Arial" w:eastAsia="Arial" w:hAnsi="Arial"/>
                <w:sz w:val="17"/>
                <w:szCs w:val="17"/>
                <w:color w:val="auto"/>
              </w:rPr>
              <w:t>Total revenues</w:t>
            </w:r>
          </w:p>
        </w:tc>
        <w:tc>
          <w:tcPr>
            <w:tcW w:w="45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96"/>
              <w:spacing w:after="0"/>
              <w:rPr>
                <w:sz w:val="20"/>
                <w:szCs w:val="20"/>
                <w:color w:val="auto"/>
              </w:rPr>
            </w:pPr>
            <w:r>
              <w:rPr>
                <w:rFonts w:ascii="Arial" w:cs="Arial" w:eastAsia="Arial" w:hAnsi="Arial"/>
                <w:sz w:val="17"/>
                <w:szCs w:val="17"/>
                <w:color w:val="auto"/>
                <w:w w:val="91"/>
              </w:rPr>
              <w:t>34,781,805</w:t>
            </w: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w w:val="89"/>
              </w:rPr>
              <w:t>25,685,859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540" w:type="dxa"/>
            <w:vAlign w:val="bottom"/>
            <w:shd w:val="clear" w:color="auto" w:fill="CCEEFF"/>
          </w:tcPr>
          <w:p>
            <w:pPr>
              <w:spacing w:after="0"/>
              <w:rPr>
                <w:sz w:val="18"/>
                <w:szCs w:val="18"/>
                <w:color w:val="auto"/>
              </w:rPr>
            </w:pPr>
          </w:p>
        </w:tc>
        <w:tc>
          <w:tcPr>
            <w:tcW w:w="4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7"/>
                <w:szCs w:val="17"/>
                <w:b w:val="1"/>
                <w:bCs w:val="1"/>
                <w:color w:val="auto"/>
              </w:rPr>
              <w:t>Expenses</w:t>
            </w:r>
          </w:p>
        </w:tc>
        <w:tc>
          <w:tcPr>
            <w:tcW w:w="4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Loss and loss adjustment expenses</w:t>
            </w:r>
          </w:p>
        </w:tc>
        <w:tc>
          <w:tcPr>
            <w:tcW w:w="4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w w:val="91"/>
              </w:rPr>
              <w:t>29,134,224</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w w:val="89"/>
              </w:rPr>
              <w:t>17,266,330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40" w:type="dxa"/>
            <w:vAlign w:val="bottom"/>
          </w:tcPr>
          <w:p>
            <w:pPr>
              <w:ind w:left="140"/>
              <w:spacing w:after="0"/>
              <w:rPr>
                <w:sz w:val="20"/>
                <w:szCs w:val="20"/>
                <w:color w:val="auto"/>
              </w:rPr>
            </w:pPr>
            <w:r>
              <w:rPr>
                <w:rFonts w:ascii="Arial" w:cs="Arial" w:eastAsia="Arial" w:hAnsi="Arial"/>
                <w:sz w:val="17"/>
                <w:szCs w:val="17"/>
                <w:color w:val="auto"/>
              </w:rPr>
              <w:t>Commission expense</w:t>
            </w:r>
          </w:p>
        </w:tc>
        <w:tc>
          <w:tcPr>
            <w:tcW w:w="4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96"/>
              <w:spacing w:after="0"/>
              <w:rPr>
                <w:sz w:val="20"/>
                <w:szCs w:val="20"/>
                <w:color w:val="auto"/>
              </w:rPr>
            </w:pPr>
            <w:r>
              <w:rPr>
                <w:rFonts w:ascii="Arial" w:cs="Arial" w:eastAsia="Arial" w:hAnsi="Arial"/>
                <w:sz w:val="17"/>
                <w:szCs w:val="17"/>
                <w:color w:val="auto"/>
              </w:rPr>
              <w:t>6,853,416</w:t>
            </w:r>
          </w:p>
        </w:tc>
        <w:tc>
          <w:tcPr>
            <w:tcW w:w="160" w:type="dxa"/>
            <w:vAlign w:val="bottom"/>
          </w:tcPr>
          <w:p>
            <w:pPr>
              <w:spacing w:after="0"/>
              <w:rPr>
                <w:sz w:val="18"/>
                <w:szCs w:val="18"/>
                <w:color w:val="auto"/>
              </w:rPr>
            </w:pPr>
          </w:p>
        </w:tc>
        <w:tc>
          <w:tcPr>
            <w:tcW w:w="900" w:type="dxa"/>
            <w:vAlign w:val="bottom"/>
          </w:tcPr>
          <w:p>
            <w:pPr>
              <w:jc w:val="right"/>
              <w:ind w:right="36"/>
              <w:spacing w:after="0"/>
              <w:rPr>
                <w:sz w:val="20"/>
                <w:szCs w:val="20"/>
                <w:color w:val="auto"/>
              </w:rPr>
            </w:pPr>
            <w:r>
              <w:rPr>
                <w:rFonts w:ascii="Arial" w:cs="Arial" w:eastAsia="Arial" w:hAnsi="Arial"/>
                <w:sz w:val="17"/>
                <w:szCs w:val="17"/>
                <w:color w:val="auto"/>
              </w:rPr>
              <w:t>5,799,948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Other underwriting expenses</w:t>
            </w:r>
          </w:p>
        </w:tc>
        <w:tc>
          <w:tcPr>
            <w:tcW w:w="4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rPr>
              <w:t>6,135,991</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5,031,503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40" w:type="dxa"/>
            <w:vAlign w:val="bottom"/>
          </w:tcPr>
          <w:p>
            <w:pPr>
              <w:ind w:left="140"/>
              <w:spacing w:after="0"/>
              <w:rPr>
                <w:sz w:val="20"/>
                <w:szCs w:val="20"/>
                <w:color w:val="auto"/>
              </w:rPr>
            </w:pPr>
            <w:r>
              <w:rPr>
                <w:rFonts w:ascii="Arial" w:cs="Arial" w:eastAsia="Arial" w:hAnsi="Arial"/>
                <w:sz w:val="17"/>
                <w:szCs w:val="17"/>
                <w:color w:val="auto"/>
              </w:rPr>
              <w:t>Depreciation and amortization</w:t>
            </w:r>
          </w:p>
        </w:tc>
        <w:tc>
          <w:tcPr>
            <w:tcW w:w="45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96"/>
              <w:spacing w:after="0"/>
              <w:rPr>
                <w:sz w:val="20"/>
                <w:szCs w:val="20"/>
                <w:color w:val="auto"/>
              </w:rPr>
            </w:pPr>
            <w:r>
              <w:rPr>
                <w:rFonts w:ascii="Arial" w:cs="Arial" w:eastAsia="Arial" w:hAnsi="Arial"/>
                <w:sz w:val="17"/>
                <w:szCs w:val="17"/>
                <w:color w:val="auto"/>
              </w:rPr>
              <w:t>578,353</w:t>
            </w: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409,431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4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7"/>
                <w:szCs w:val="17"/>
                <w:color w:val="auto"/>
              </w:rPr>
              <w:t>Total expenses</w:t>
            </w:r>
          </w:p>
        </w:tc>
        <w:tc>
          <w:tcPr>
            <w:tcW w:w="45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7"/>
                <w:szCs w:val="17"/>
                <w:color w:val="auto"/>
                <w:w w:val="91"/>
              </w:rPr>
              <w:t>42,701,984</w:t>
            </w:r>
          </w:p>
        </w:tc>
        <w:tc>
          <w:tcPr>
            <w:tcW w:w="1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w w:val="89"/>
              </w:rPr>
              <w:t>28,507,212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Loss from operations</w:t>
            </w:r>
          </w:p>
        </w:tc>
        <w:tc>
          <w:tcPr>
            <w:tcW w:w="4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w w:val="94"/>
              </w:rPr>
              <w:t>(7,920,179)</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4"/>
              </w:rPr>
              <w:t>(2,821,353)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40" w:type="dxa"/>
            <w:vAlign w:val="bottom"/>
          </w:tcPr>
          <w:p>
            <w:pPr>
              <w:ind w:left="140"/>
              <w:spacing w:after="0"/>
              <w:rPr>
                <w:sz w:val="20"/>
                <w:szCs w:val="20"/>
                <w:color w:val="auto"/>
              </w:rPr>
            </w:pPr>
            <w:r>
              <w:rPr>
                <w:rFonts w:ascii="Arial" w:cs="Arial" w:eastAsia="Arial" w:hAnsi="Arial"/>
                <w:sz w:val="17"/>
                <w:szCs w:val="17"/>
                <w:color w:val="auto"/>
              </w:rPr>
              <w:t>Income benefit</w:t>
            </w:r>
          </w:p>
        </w:tc>
        <w:tc>
          <w:tcPr>
            <w:tcW w:w="45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color w:val="auto"/>
                <w:w w:val="94"/>
              </w:rPr>
              <w:t>(1,702,971)</w:t>
            </w: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(610,280)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Net loss</w:t>
            </w:r>
          </w:p>
        </w:tc>
        <w:tc>
          <w:tcPr>
            <w:tcW w:w="48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w w:val="94"/>
              </w:rPr>
              <w:t>(6,217,208)</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4"/>
              </w:rPr>
              <w:t>(2,211,073)</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4540" w:type="dxa"/>
            <w:vAlign w:val="bottom"/>
            <w:tcBorders>
              <w:top w:val="single" w:sz="8" w:color="CCEEFF"/>
            </w:tcBorders>
          </w:tcPr>
          <w:p>
            <w:pPr>
              <w:spacing w:after="0"/>
              <w:rPr>
                <w:sz w:val="17"/>
                <w:szCs w:val="17"/>
                <w:color w:val="auto"/>
              </w:rPr>
            </w:pPr>
          </w:p>
        </w:tc>
        <w:tc>
          <w:tcPr>
            <w:tcW w:w="458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Key Measures:</w:t>
            </w:r>
          </w:p>
        </w:tc>
        <w:tc>
          <w:tcPr>
            <w:tcW w:w="4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40" w:type="dxa"/>
            <w:vAlign w:val="bottom"/>
          </w:tcPr>
          <w:p>
            <w:pPr>
              <w:ind w:left="140"/>
              <w:spacing w:after="0"/>
              <w:rPr>
                <w:sz w:val="20"/>
                <w:szCs w:val="20"/>
                <w:color w:val="auto"/>
              </w:rPr>
            </w:pPr>
            <w:r>
              <w:rPr>
                <w:rFonts w:ascii="Arial" w:cs="Arial" w:eastAsia="Arial" w:hAnsi="Arial"/>
                <w:sz w:val="17"/>
                <w:szCs w:val="17"/>
                <w:color w:val="auto"/>
              </w:rPr>
              <w:t>Net loss ratio</w:t>
            </w:r>
          </w:p>
        </w:tc>
        <w:tc>
          <w:tcPr>
            <w:tcW w:w="4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98.4%</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75.6%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Net underwriting expense ratio</w:t>
            </w:r>
          </w:p>
        </w:tc>
        <w:tc>
          <w:tcPr>
            <w:tcW w:w="45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38.5%</w:t>
            </w:r>
          </w:p>
        </w:tc>
        <w:tc>
          <w:tcPr>
            <w:tcW w:w="1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40" w:type="dxa"/>
            <w:vAlign w:val="bottom"/>
          </w:tcPr>
          <w:p>
            <w:pPr>
              <w:ind w:left="140"/>
              <w:spacing w:after="0"/>
              <w:rPr>
                <w:sz w:val="20"/>
                <w:szCs w:val="20"/>
                <w:color w:val="auto"/>
              </w:rPr>
            </w:pPr>
            <w:r>
              <w:rPr>
                <w:rFonts w:ascii="Arial" w:cs="Arial" w:eastAsia="Arial" w:hAnsi="Arial"/>
                <w:sz w:val="17"/>
                <w:szCs w:val="17"/>
                <w:color w:val="auto"/>
              </w:rPr>
              <w:t>Net combined ratio</w:t>
            </w:r>
          </w:p>
        </w:tc>
        <w:tc>
          <w:tcPr>
            <w:tcW w:w="45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136.9%</w:t>
            </w: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114.3%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4540" w:type="dxa"/>
            <w:vAlign w:val="bottom"/>
            <w:shd w:val="clear" w:color="auto" w:fill="CCEEFF"/>
          </w:tcPr>
          <w:p>
            <w:pPr>
              <w:spacing w:after="0"/>
              <w:rPr>
                <w:sz w:val="17"/>
                <w:szCs w:val="17"/>
                <w:color w:val="auto"/>
              </w:rPr>
            </w:pPr>
          </w:p>
        </w:tc>
        <w:tc>
          <w:tcPr>
            <w:tcW w:w="4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40" w:type="dxa"/>
            <w:vAlign w:val="bottom"/>
          </w:tcPr>
          <w:p>
            <w:pPr>
              <w:ind w:left="140"/>
              <w:spacing w:after="0"/>
              <w:rPr>
                <w:sz w:val="20"/>
                <w:szCs w:val="20"/>
                <w:color w:val="auto"/>
              </w:rPr>
            </w:pPr>
            <w:r>
              <w:rPr>
                <w:rFonts w:ascii="Arial" w:cs="Arial" w:eastAsia="Arial" w:hAnsi="Arial"/>
                <w:sz w:val="17"/>
                <w:szCs w:val="17"/>
                <w:color w:val="auto"/>
              </w:rPr>
              <w:t>Reconciliation of net underwriting expense ratio:</w:t>
            </w:r>
          </w:p>
        </w:tc>
        <w:tc>
          <w:tcPr>
            <w:tcW w:w="4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Acquisition costs and other</w:t>
            </w:r>
          </w:p>
        </w:tc>
        <w:tc>
          <w:tcPr>
            <w:tcW w:w="4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40" w:type="dxa"/>
            <w:vAlign w:val="bottom"/>
          </w:tcPr>
          <w:p>
            <w:pPr>
              <w:ind w:left="300"/>
              <w:spacing w:after="0"/>
              <w:rPr>
                <w:sz w:val="20"/>
                <w:szCs w:val="20"/>
                <w:color w:val="auto"/>
              </w:rPr>
            </w:pPr>
            <w:r>
              <w:rPr>
                <w:rFonts w:ascii="Arial" w:cs="Arial" w:eastAsia="Arial" w:hAnsi="Arial"/>
                <w:sz w:val="17"/>
                <w:szCs w:val="17"/>
                <w:color w:val="auto"/>
              </w:rPr>
              <w:t>underwriting expenses</w:t>
            </w:r>
          </w:p>
        </w:tc>
        <w:tc>
          <w:tcPr>
            <w:tcW w:w="482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980" w:type="dxa"/>
            <w:vAlign w:val="bottom"/>
          </w:tcPr>
          <w:p>
            <w:pPr>
              <w:jc w:val="right"/>
              <w:ind w:right="96"/>
              <w:spacing w:after="0"/>
              <w:rPr>
                <w:sz w:val="20"/>
                <w:szCs w:val="20"/>
                <w:color w:val="auto"/>
              </w:rPr>
            </w:pPr>
            <w:r>
              <w:rPr>
                <w:rFonts w:ascii="Arial" w:cs="Arial" w:eastAsia="Arial" w:hAnsi="Arial"/>
                <w:sz w:val="17"/>
                <w:szCs w:val="17"/>
                <w:color w:val="auto"/>
                <w:w w:val="91"/>
              </w:rPr>
              <w:t>12,989,407</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900" w:type="dxa"/>
            <w:vAlign w:val="bottom"/>
          </w:tcPr>
          <w:p>
            <w:pPr>
              <w:jc w:val="right"/>
              <w:ind w:right="36"/>
              <w:spacing w:after="0"/>
              <w:rPr>
                <w:sz w:val="20"/>
                <w:szCs w:val="20"/>
                <w:color w:val="auto"/>
              </w:rPr>
            </w:pPr>
            <w:r>
              <w:rPr>
                <w:rFonts w:ascii="Arial" w:cs="Arial" w:eastAsia="Arial" w:hAnsi="Arial"/>
                <w:sz w:val="17"/>
                <w:szCs w:val="17"/>
                <w:color w:val="auto"/>
                <w:w w:val="89"/>
              </w:rPr>
              <w:t>10,831,451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Less: Ceding commission revenue</w:t>
            </w:r>
          </w:p>
        </w:tc>
        <w:tc>
          <w:tcPr>
            <w:tcW w:w="4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w w:val="94"/>
              </w:rPr>
              <w:t>(1,277,683)</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4"/>
              </w:rPr>
              <w:t>(1,695,158)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40" w:type="dxa"/>
            <w:vAlign w:val="bottom"/>
          </w:tcPr>
          <w:p>
            <w:pPr>
              <w:ind w:left="140"/>
              <w:spacing w:after="0"/>
              <w:rPr>
                <w:sz w:val="20"/>
                <w:szCs w:val="20"/>
                <w:color w:val="auto"/>
              </w:rPr>
            </w:pPr>
            <w:r>
              <w:rPr>
                <w:rFonts w:ascii="Arial" w:cs="Arial" w:eastAsia="Arial" w:hAnsi="Arial"/>
                <w:sz w:val="17"/>
                <w:szCs w:val="17"/>
                <w:color w:val="auto"/>
              </w:rPr>
              <w:t>Less: Other income</w:t>
            </w:r>
          </w:p>
        </w:tc>
        <w:tc>
          <w:tcPr>
            <w:tcW w:w="45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color w:val="auto"/>
              </w:rPr>
              <w:t>(314,738)</w:t>
            </w: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(292,222)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5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Net underwriting expenses</w:t>
            </w:r>
          </w:p>
        </w:tc>
        <w:tc>
          <w:tcPr>
            <w:tcW w:w="48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w w:val="91"/>
              </w:rPr>
              <w:t>11,396,986</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8,844,071</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40" w:type="dxa"/>
            <w:vAlign w:val="bottom"/>
            <w:tcBorders>
              <w:top w:val="single" w:sz="8" w:color="CCEEFF"/>
            </w:tcBorders>
          </w:tcPr>
          <w:p>
            <w:pPr>
              <w:spacing w:after="0"/>
              <w:rPr>
                <w:sz w:val="17"/>
                <w:szCs w:val="17"/>
                <w:color w:val="auto"/>
              </w:rPr>
            </w:pPr>
          </w:p>
        </w:tc>
        <w:tc>
          <w:tcPr>
            <w:tcW w:w="458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5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Net premiums earned</w:t>
            </w:r>
          </w:p>
        </w:tc>
        <w:tc>
          <w:tcPr>
            <w:tcW w:w="48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w w:val="91"/>
              </w:rPr>
              <w:t>29,595,889</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w w:val="89"/>
              </w:rPr>
              <w:t>22,837,617</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40" w:type="dxa"/>
            <w:vAlign w:val="bottom"/>
            <w:tcBorders>
              <w:top w:val="single" w:sz="8" w:color="CCEEFF"/>
            </w:tcBorders>
          </w:tcPr>
          <w:p>
            <w:pPr>
              <w:spacing w:after="0"/>
              <w:rPr>
                <w:sz w:val="17"/>
                <w:szCs w:val="17"/>
                <w:color w:val="auto"/>
              </w:rPr>
            </w:pPr>
          </w:p>
        </w:tc>
        <w:tc>
          <w:tcPr>
            <w:tcW w:w="458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4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5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Net Underwriting Expense Ratio</w:t>
            </w:r>
          </w:p>
        </w:tc>
        <w:tc>
          <w:tcPr>
            <w:tcW w:w="45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38.5%</w:t>
            </w:r>
          </w:p>
        </w:tc>
        <w:tc>
          <w:tcPr>
            <w:tcW w:w="1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38.7%</w:t>
            </w:r>
          </w:p>
        </w:tc>
        <w:tc>
          <w:tcPr>
            <w:tcW w:w="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567"/>
        </w:trPr>
        <w:tc>
          <w:tcPr>
            <w:tcW w:w="20" w:type="dxa"/>
            <w:vAlign w:val="bottom"/>
          </w:tcPr>
          <w:p>
            <w:pPr>
              <w:spacing w:after="0"/>
              <w:rPr>
                <w:sz w:val="24"/>
                <w:szCs w:val="24"/>
                <w:color w:val="auto"/>
              </w:rPr>
            </w:pPr>
          </w:p>
        </w:tc>
        <w:tc>
          <w:tcPr>
            <w:tcW w:w="4540" w:type="dxa"/>
            <w:vAlign w:val="bottom"/>
            <w:tcBorders>
              <w:bottom w:val="single" w:sz="8" w:color="auto"/>
            </w:tcBorders>
          </w:tcPr>
          <w:p>
            <w:pPr>
              <w:spacing w:after="0"/>
              <w:rPr>
                <w:sz w:val="24"/>
                <w:szCs w:val="24"/>
                <w:color w:val="auto"/>
              </w:rPr>
            </w:pPr>
          </w:p>
        </w:tc>
        <w:tc>
          <w:tcPr>
            <w:tcW w:w="4580" w:type="dxa"/>
            <w:vAlign w:val="bottom"/>
            <w:tcBorders>
              <w:bottom w:val="single" w:sz="8" w:color="auto"/>
            </w:tcBorders>
          </w:tcPr>
          <w:p>
            <w:pPr>
              <w:jc w:val="right"/>
              <w:ind w:right="3255"/>
              <w:spacing w:after="0"/>
              <w:rPr>
                <w:sz w:val="20"/>
                <w:szCs w:val="20"/>
                <w:color w:val="auto"/>
              </w:rPr>
            </w:pPr>
            <w:r>
              <w:rPr>
                <w:rFonts w:ascii="Arial" w:cs="Arial" w:eastAsia="Arial" w:hAnsi="Arial"/>
                <w:sz w:val="17"/>
                <w:szCs w:val="17"/>
                <w:color w:val="auto"/>
              </w:rPr>
              <w:t>49</w:t>
            </w:r>
          </w:p>
        </w:tc>
        <w:tc>
          <w:tcPr>
            <w:tcW w:w="2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493" w:right="199" w:bottom="1440" w:gutter="0" w:footer="0" w:header="0"/>
        </w:sectPr>
      </w:pPr>
    </w:p>
    <w:bookmarkStart w:id="49" w:name="page50"/>
    <w:bookmarkEnd w:id="49"/>
    <w:p>
      <w:pPr>
        <w:ind w:left="640"/>
        <w:spacing w:after="0"/>
        <w:rPr>
          <w:sz w:val="20"/>
          <w:szCs w:val="20"/>
          <w:color w:val="auto"/>
        </w:rPr>
      </w:pPr>
      <w:r>
        <w:rPr>
          <w:rFonts w:ascii="Arial" w:cs="Arial" w:eastAsia="Arial" w:hAnsi="Arial"/>
          <w:sz w:val="17"/>
          <w:szCs w:val="17"/>
          <w:color w:val="auto"/>
        </w:rPr>
        <w:t>An analysis of our direct, assumed and ceded earned premiums, loss and loss adjustment expenses, and loss ratios is shown below:</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20" w:type="dxa"/>
            <w:vAlign w:val="bottom"/>
          </w:tcPr>
          <w:p>
            <w:pPr>
              <w:spacing w:after="0"/>
              <w:rPr>
                <w:sz w:val="15"/>
                <w:szCs w:val="15"/>
                <w:color w:val="auto"/>
              </w:rPr>
            </w:pPr>
          </w:p>
        </w:tc>
        <w:tc>
          <w:tcPr>
            <w:tcW w:w="444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1220" w:type="dxa"/>
            <w:vAlign w:val="bottom"/>
          </w:tcPr>
          <w:p>
            <w:pPr>
              <w:jc w:val="right"/>
              <w:ind w:right="377"/>
              <w:spacing w:after="0"/>
              <w:rPr>
                <w:sz w:val="20"/>
                <w:szCs w:val="20"/>
                <w:color w:val="auto"/>
              </w:rPr>
            </w:pPr>
            <w:r>
              <w:rPr>
                <w:rFonts w:ascii="Arial" w:cs="Arial" w:eastAsia="Arial" w:hAnsi="Arial"/>
                <w:sz w:val="14"/>
                <w:szCs w:val="14"/>
                <w:b w:val="1"/>
                <w:bCs w:val="1"/>
                <w:color w:val="auto"/>
              </w:rPr>
              <w:t>Direct</w:t>
            </w:r>
          </w:p>
        </w:tc>
        <w:tc>
          <w:tcPr>
            <w:tcW w:w="180" w:type="dxa"/>
            <w:vAlign w:val="bottom"/>
          </w:tcPr>
          <w:p>
            <w:pPr>
              <w:spacing w:after="0"/>
              <w:rPr>
                <w:sz w:val="15"/>
                <w:szCs w:val="15"/>
                <w:color w:val="auto"/>
              </w:rPr>
            </w:pPr>
          </w:p>
        </w:tc>
        <w:tc>
          <w:tcPr>
            <w:tcW w:w="960" w:type="dxa"/>
            <w:vAlign w:val="bottom"/>
          </w:tcPr>
          <w:p>
            <w:pPr>
              <w:jc w:val="right"/>
              <w:ind w:right="276"/>
              <w:spacing w:after="0"/>
              <w:rPr>
                <w:sz w:val="20"/>
                <w:szCs w:val="20"/>
                <w:color w:val="auto"/>
              </w:rPr>
            </w:pPr>
            <w:r>
              <w:rPr>
                <w:rFonts w:ascii="Arial" w:cs="Arial" w:eastAsia="Arial" w:hAnsi="Arial"/>
                <w:sz w:val="14"/>
                <w:szCs w:val="14"/>
                <w:b w:val="1"/>
                <w:bCs w:val="1"/>
                <w:color w:val="auto"/>
                <w:w w:val="91"/>
              </w:rPr>
              <w:t>Assumed</w:t>
            </w:r>
          </w:p>
        </w:tc>
        <w:tc>
          <w:tcPr>
            <w:tcW w:w="180" w:type="dxa"/>
            <w:vAlign w:val="bottom"/>
          </w:tcPr>
          <w:p>
            <w:pPr>
              <w:spacing w:after="0"/>
              <w:rPr>
                <w:sz w:val="15"/>
                <w:szCs w:val="15"/>
                <w:color w:val="auto"/>
              </w:rPr>
            </w:pPr>
          </w:p>
        </w:tc>
        <w:tc>
          <w:tcPr>
            <w:tcW w:w="960" w:type="dxa"/>
            <w:vAlign w:val="bottom"/>
          </w:tcPr>
          <w:p>
            <w:pPr>
              <w:jc w:val="right"/>
              <w:ind w:right="356"/>
              <w:spacing w:after="0"/>
              <w:rPr>
                <w:sz w:val="20"/>
                <w:szCs w:val="20"/>
                <w:color w:val="auto"/>
              </w:rPr>
            </w:pPr>
            <w:r>
              <w:rPr>
                <w:rFonts w:ascii="Arial" w:cs="Arial" w:eastAsia="Arial" w:hAnsi="Arial"/>
                <w:sz w:val="14"/>
                <w:szCs w:val="14"/>
                <w:b w:val="1"/>
                <w:bCs w:val="1"/>
                <w:color w:val="auto"/>
              </w:rPr>
              <w:t>Ceded</w:t>
            </w:r>
          </w:p>
        </w:tc>
        <w:tc>
          <w:tcPr>
            <w:tcW w:w="1100" w:type="dxa"/>
            <w:vAlign w:val="bottom"/>
            <w:gridSpan w:val="2"/>
          </w:tcPr>
          <w:p>
            <w:pPr>
              <w:ind w:left="38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470"/>
        </w:trPr>
        <w:tc>
          <w:tcPr>
            <w:tcW w:w="4460" w:type="dxa"/>
            <w:vAlign w:val="bottom"/>
            <w:gridSpan w:val="2"/>
          </w:tcPr>
          <w:p>
            <w:pPr>
              <w:spacing w:after="0"/>
              <w:rPr>
                <w:sz w:val="20"/>
                <w:szCs w:val="20"/>
                <w:color w:val="auto"/>
              </w:rPr>
            </w:pPr>
            <w:r>
              <w:rPr>
                <w:rFonts w:ascii="Arial" w:cs="Arial" w:eastAsia="Arial" w:hAnsi="Arial"/>
                <w:sz w:val="17"/>
                <w:szCs w:val="17"/>
                <w:b w:val="1"/>
                <w:bCs w:val="1"/>
                <w:color w:val="auto"/>
              </w:rPr>
              <w:t>Three months ended March 31, 2019</w:t>
            </w:r>
          </w:p>
        </w:tc>
        <w:tc>
          <w:tcPr>
            <w:tcW w:w="2400" w:type="dxa"/>
            <w:vAlign w:val="bottom"/>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Written premiums</w:t>
            </w:r>
          </w:p>
        </w:tc>
        <w:tc>
          <w:tcPr>
            <w:tcW w:w="3620" w:type="dxa"/>
            <w:vAlign w:val="bottom"/>
            <w:gridSpan w:val="2"/>
            <w:shd w:val="clear" w:color="auto" w:fill="CCEEFF"/>
          </w:tcPr>
          <w:p>
            <w:pPr>
              <w:jc w:val="right"/>
              <w:ind w:right="97"/>
              <w:spacing w:after="0"/>
              <w:rPr>
                <w:sz w:val="20"/>
                <w:szCs w:val="20"/>
                <w:color w:val="auto"/>
              </w:rPr>
            </w:pPr>
            <w:r>
              <w:rPr>
                <w:rFonts w:ascii="Arial" w:cs="Arial" w:eastAsia="Arial" w:hAnsi="Arial"/>
                <w:sz w:val="17"/>
                <w:szCs w:val="17"/>
                <w:color w:val="auto"/>
              </w:rPr>
              <w:t>$ 37,488,548</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(34)</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w w:val="91"/>
              </w:rPr>
              <w:t>(7,127,909)</w:t>
            </w:r>
          </w:p>
        </w:tc>
        <w:tc>
          <w:tcPr>
            <w:tcW w:w="106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w w:val="92"/>
              </w:rPr>
              <w:t>$ 30,360,605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440" w:type="dxa"/>
            <w:vAlign w:val="bottom"/>
          </w:tcPr>
          <w:p>
            <w:pPr>
              <w:ind w:left="140"/>
              <w:spacing w:after="0"/>
              <w:rPr>
                <w:sz w:val="20"/>
                <w:szCs w:val="20"/>
                <w:color w:val="auto"/>
              </w:rPr>
            </w:pPr>
            <w:r>
              <w:rPr>
                <w:rFonts w:ascii="Arial" w:cs="Arial" w:eastAsia="Arial" w:hAnsi="Arial"/>
                <w:sz w:val="17"/>
                <w:szCs w:val="17"/>
                <w:color w:val="auto"/>
              </w:rPr>
              <w:t>Change in unearned premiums</w:t>
            </w:r>
          </w:p>
        </w:tc>
        <w:tc>
          <w:tcPr>
            <w:tcW w:w="2400" w:type="dxa"/>
            <w:vAlign w:val="bottom"/>
          </w:tcPr>
          <w:p>
            <w:pPr>
              <w:spacing w:after="0"/>
              <w:rPr>
                <w:sz w:val="18"/>
                <w:szCs w:val="18"/>
                <w:color w:val="auto"/>
              </w:rPr>
            </w:pPr>
          </w:p>
        </w:tc>
        <w:tc>
          <w:tcPr>
            <w:tcW w:w="122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(628,067)</w:t>
            </w: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96"/>
              <w:spacing w:after="0"/>
              <w:rPr>
                <w:sz w:val="20"/>
                <w:szCs w:val="20"/>
                <w:color w:val="auto"/>
              </w:rPr>
            </w:pPr>
            <w:r>
              <w:rPr>
                <w:rFonts w:ascii="Arial" w:cs="Arial" w:eastAsia="Arial" w:hAnsi="Arial"/>
                <w:sz w:val="17"/>
                <w:szCs w:val="17"/>
                <w:color w:val="auto"/>
              </w:rPr>
              <w:t>195</w:t>
            </w: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color w:val="auto"/>
              </w:rPr>
              <w:t>(136,844)</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(764,716)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4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Earned premiums</w:t>
            </w:r>
          </w:p>
        </w:tc>
        <w:tc>
          <w:tcPr>
            <w:tcW w:w="3620" w:type="dxa"/>
            <w:vAlign w:val="bottom"/>
            <w:gridSpan w:val="2"/>
            <w:shd w:val="clear" w:color="auto" w:fill="CCEEFF"/>
          </w:tcPr>
          <w:p>
            <w:pPr>
              <w:jc w:val="right"/>
              <w:ind w:right="97"/>
              <w:spacing w:after="0"/>
              <w:rPr>
                <w:sz w:val="20"/>
                <w:szCs w:val="20"/>
                <w:color w:val="auto"/>
              </w:rPr>
            </w:pPr>
            <w:r>
              <w:rPr>
                <w:rFonts w:ascii="Arial" w:cs="Arial" w:eastAsia="Arial" w:hAnsi="Arial"/>
                <w:sz w:val="17"/>
                <w:szCs w:val="17"/>
                <w:color w:val="auto"/>
              </w:rPr>
              <w:t>$ 36,860,481</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rPr>
              <w:t>161</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w w:val="91"/>
              </w:rPr>
              <w:t>(7,264,753)</w:t>
            </w:r>
          </w:p>
        </w:tc>
        <w:tc>
          <w:tcPr>
            <w:tcW w:w="106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w w:val="92"/>
              </w:rPr>
              <w:t>$ 29,595,889</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40" w:type="dxa"/>
            <w:vAlign w:val="bottom"/>
            <w:tcBorders>
              <w:top w:val="single" w:sz="8" w:color="CCEEFF"/>
            </w:tcBorders>
          </w:tcPr>
          <w:p>
            <w:pPr>
              <w:spacing w:after="0"/>
              <w:rPr>
                <w:sz w:val="17"/>
                <w:szCs w:val="17"/>
                <w:color w:val="auto"/>
              </w:rPr>
            </w:pPr>
          </w:p>
        </w:tc>
        <w:tc>
          <w:tcPr>
            <w:tcW w:w="2400" w:type="dxa"/>
            <w:vAlign w:val="bottom"/>
            <w:tcBorders>
              <w:top w:val="single" w:sz="8" w:color="CCEEFF"/>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Loss and loss adjustment expenses exluding</w:t>
            </w:r>
          </w:p>
        </w:tc>
        <w:tc>
          <w:tcPr>
            <w:tcW w:w="24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40" w:type="dxa"/>
            <w:vAlign w:val="bottom"/>
          </w:tcPr>
          <w:p>
            <w:pPr>
              <w:ind w:left="300"/>
              <w:spacing w:after="0"/>
              <w:rPr>
                <w:sz w:val="20"/>
                <w:szCs w:val="20"/>
                <w:color w:val="auto"/>
              </w:rPr>
            </w:pPr>
            <w:r>
              <w:rPr>
                <w:rFonts w:ascii="Arial" w:cs="Arial" w:eastAsia="Arial" w:hAnsi="Arial"/>
                <w:sz w:val="17"/>
                <w:szCs w:val="17"/>
                <w:color w:val="auto"/>
              </w:rPr>
              <w:t>the effect of catastrophes</w:t>
            </w:r>
          </w:p>
        </w:tc>
        <w:tc>
          <w:tcPr>
            <w:tcW w:w="3620" w:type="dxa"/>
            <w:vAlign w:val="bottom"/>
            <w:gridSpan w:val="2"/>
          </w:tcPr>
          <w:p>
            <w:pPr>
              <w:jc w:val="right"/>
              <w:ind w:right="97"/>
              <w:spacing w:after="0"/>
              <w:rPr>
                <w:sz w:val="20"/>
                <w:szCs w:val="20"/>
                <w:color w:val="auto"/>
              </w:rPr>
            </w:pPr>
            <w:r>
              <w:rPr>
                <w:rFonts w:ascii="Arial" w:cs="Arial" w:eastAsia="Arial" w:hAnsi="Arial"/>
                <w:sz w:val="17"/>
                <w:szCs w:val="17"/>
                <w:color w:val="auto"/>
              </w:rPr>
              <w:t>$ 26,645,777</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36"/>
              <w:spacing w:after="0"/>
              <w:rPr>
                <w:sz w:val="20"/>
                <w:szCs w:val="20"/>
                <w:color w:val="auto"/>
              </w:rPr>
            </w:pPr>
            <w:r>
              <w:rPr>
                <w:rFonts w:ascii="Arial" w:cs="Arial" w:eastAsia="Arial" w:hAnsi="Arial"/>
                <w:sz w:val="17"/>
                <w:szCs w:val="17"/>
                <w:color w:val="auto"/>
              </w:rPr>
              <w:t>(3,002)</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56"/>
              <w:spacing w:after="0"/>
              <w:rPr>
                <w:sz w:val="20"/>
                <w:szCs w:val="20"/>
                <w:color w:val="auto"/>
              </w:rPr>
            </w:pPr>
            <w:r>
              <w:rPr>
                <w:rFonts w:ascii="Arial" w:cs="Arial" w:eastAsia="Arial" w:hAnsi="Arial"/>
                <w:sz w:val="17"/>
                <w:szCs w:val="17"/>
                <w:color w:val="auto"/>
                <w:w w:val="91"/>
              </w:rPr>
              <w:t>(2,571,747)</w:t>
            </w:r>
          </w:p>
        </w:tc>
        <w:tc>
          <w:tcPr>
            <w:tcW w:w="1060" w:type="dxa"/>
            <w:vAlign w:val="bottom"/>
          </w:tcPr>
          <w:p>
            <w:pPr>
              <w:jc w:val="right"/>
              <w:ind w:right="36"/>
              <w:spacing w:after="0"/>
              <w:rPr>
                <w:sz w:val="20"/>
                <w:szCs w:val="20"/>
                <w:color w:val="auto"/>
              </w:rPr>
            </w:pPr>
            <w:r>
              <w:rPr>
                <w:rFonts w:ascii="Arial" w:cs="Arial" w:eastAsia="Arial" w:hAnsi="Arial"/>
                <w:sz w:val="17"/>
                <w:szCs w:val="17"/>
                <w:color w:val="auto"/>
                <w:w w:val="92"/>
              </w:rPr>
              <w:t>$ 24,071,028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4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Catastrophe loss</w:t>
            </w:r>
          </w:p>
        </w:tc>
        <w:tc>
          <w:tcPr>
            <w:tcW w:w="240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7"/>
                <w:szCs w:val="17"/>
                <w:color w:val="auto"/>
              </w:rPr>
              <w:t>5,627,343</w:t>
            </w: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color w:val="auto"/>
              </w:rPr>
              <w:t>(564,147)</w:t>
            </w:r>
          </w:p>
        </w:tc>
        <w:tc>
          <w:tcPr>
            <w:tcW w:w="10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5,063,196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40" w:type="dxa"/>
            <w:vAlign w:val="bottom"/>
          </w:tcPr>
          <w:p>
            <w:pPr>
              <w:ind w:left="140"/>
              <w:spacing w:after="0"/>
              <w:rPr>
                <w:sz w:val="20"/>
                <w:szCs w:val="20"/>
                <w:color w:val="auto"/>
              </w:rPr>
            </w:pPr>
            <w:r>
              <w:rPr>
                <w:rFonts w:ascii="Arial" w:cs="Arial" w:eastAsia="Arial" w:hAnsi="Arial"/>
                <w:sz w:val="17"/>
                <w:szCs w:val="17"/>
                <w:color w:val="auto"/>
              </w:rPr>
              <w:t>Loss and loss adjustment expenses</w:t>
            </w:r>
          </w:p>
        </w:tc>
        <w:tc>
          <w:tcPr>
            <w:tcW w:w="3620" w:type="dxa"/>
            <w:vAlign w:val="bottom"/>
            <w:gridSpan w:val="2"/>
          </w:tcPr>
          <w:p>
            <w:pPr>
              <w:jc w:val="right"/>
              <w:ind w:right="97"/>
              <w:spacing w:after="0"/>
              <w:rPr>
                <w:sz w:val="20"/>
                <w:szCs w:val="20"/>
                <w:color w:val="auto"/>
              </w:rPr>
            </w:pPr>
            <w:r>
              <w:rPr>
                <w:rFonts w:ascii="Arial" w:cs="Arial" w:eastAsia="Arial" w:hAnsi="Arial"/>
                <w:sz w:val="17"/>
                <w:szCs w:val="17"/>
                <w:color w:val="auto"/>
              </w:rPr>
              <w:t>$ 32,273,120</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36"/>
              <w:spacing w:after="0"/>
              <w:rPr>
                <w:sz w:val="20"/>
                <w:szCs w:val="20"/>
                <w:color w:val="auto"/>
              </w:rPr>
            </w:pPr>
            <w:r>
              <w:rPr>
                <w:rFonts w:ascii="Arial" w:cs="Arial" w:eastAsia="Arial" w:hAnsi="Arial"/>
                <w:sz w:val="17"/>
                <w:szCs w:val="17"/>
                <w:color w:val="auto"/>
              </w:rPr>
              <w:t>(3,002)</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56"/>
              <w:spacing w:after="0"/>
              <w:rPr>
                <w:sz w:val="20"/>
                <w:szCs w:val="20"/>
                <w:color w:val="auto"/>
              </w:rPr>
            </w:pPr>
            <w:r>
              <w:rPr>
                <w:rFonts w:ascii="Arial" w:cs="Arial" w:eastAsia="Arial" w:hAnsi="Arial"/>
                <w:sz w:val="17"/>
                <w:szCs w:val="17"/>
                <w:color w:val="auto"/>
                <w:w w:val="91"/>
              </w:rPr>
              <w:t>(3,135,894)</w:t>
            </w:r>
          </w:p>
        </w:tc>
        <w:tc>
          <w:tcPr>
            <w:tcW w:w="1060" w:type="dxa"/>
            <w:vAlign w:val="bottom"/>
          </w:tcPr>
          <w:p>
            <w:pPr>
              <w:jc w:val="right"/>
              <w:ind w:right="36"/>
              <w:spacing w:after="0"/>
              <w:rPr>
                <w:sz w:val="20"/>
                <w:szCs w:val="20"/>
                <w:color w:val="auto"/>
              </w:rPr>
            </w:pPr>
            <w:r>
              <w:rPr>
                <w:rFonts w:ascii="Arial" w:cs="Arial" w:eastAsia="Arial" w:hAnsi="Arial"/>
                <w:sz w:val="17"/>
                <w:szCs w:val="17"/>
                <w:color w:val="auto"/>
                <w:w w:val="92"/>
              </w:rPr>
              <w:t>$ 29,134,224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4440" w:type="dxa"/>
            <w:vAlign w:val="bottom"/>
            <w:shd w:val="clear" w:color="auto" w:fill="CCEEFF"/>
          </w:tcPr>
          <w:p>
            <w:pPr>
              <w:spacing w:after="0"/>
              <w:rPr>
                <w:sz w:val="17"/>
                <w:szCs w:val="17"/>
                <w:color w:val="auto"/>
              </w:rPr>
            </w:pPr>
          </w:p>
        </w:tc>
        <w:tc>
          <w:tcPr>
            <w:tcW w:w="24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4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40" w:type="dxa"/>
            <w:vAlign w:val="bottom"/>
          </w:tcPr>
          <w:p>
            <w:pPr>
              <w:ind w:left="140"/>
              <w:spacing w:after="0"/>
              <w:rPr>
                <w:sz w:val="20"/>
                <w:szCs w:val="20"/>
                <w:color w:val="auto"/>
              </w:rPr>
            </w:pPr>
            <w:r>
              <w:rPr>
                <w:rFonts w:ascii="Arial" w:cs="Arial" w:eastAsia="Arial" w:hAnsi="Arial"/>
                <w:sz w:val="17"/>
                <w:szCs w:val="17"/>
                <w:color w:val="auto"/>
              </w:rPr>
              <w:t>Loss ratio excluding the effect of catastrophes</w:t>
            </w:r>
          </w:p>
        </w:tc>
        <w:tc>
          <w:tcPr>
            <w:tcW w:w="3620" w:type="dxa"/>
            <w:vAlign w:val="bottom"/>
            <w:gridSpan w:val="2"/>
          </w:tcPr>
          <w:p>
            <w:pPr>
              <w:jc w:val="right"/>
              <w:spacing w:after="0"/>
              <w:rPr>
                <w:sz w:val="20"/>
                <w:szCs w:val="20"/>
                <w:color w:val="auto"/>
              </w:rPr>
            </w:pPr>
            <w:r>
              <w:rPr>
                <w:rFonts w:ascii="Arial" w:cs="Arial" w:eastAsia="Arial" w:hAnsi="Arial"/>
                <w:sz w:val="17"/>
                <w:szCs w:val="17"/>
                <w:color w:val="auto"/>
              </w:rPr>
              <w:t>72.3%</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-1864.6%</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35.4%</w:t>
            </w:r>
          </w:p>
        </w:tc>
        <w:tc>
          <w:tcPr>
            <w:tcW w:w="1060" w:type="dxa"/>
            <w:vAlign w:val="bottom"/>
          </w:tcPr>
          <w:p>
            <w:pPr>
              <w:jc w:val="right"/>
              <w:spacing w:after="0"/>
              <w:rPr>
                <w:sz w:val="20"/>
                <w:szCs w:val="20"/>
                <w:color w:val="auto"/>
              </w:rPr>
            </w:pPr>
            <w:r>
              <w:rPr>
                <w:rFonts w:ascii="Arial" w:cs="Arial" w:eastAsia="Arial" w:hAnsi="Arial"/>
                <w:sz w:val="17"/>
                <w:szCs w:val="17"/>
                <w:color w:val="auto"/>
              </w:rPr>
              <w:t>81.3%</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4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Catastrophe loss</w:t>
            </w:r>
          </w:p>
        </w:tc>
        <w:tc>
          <w:tcPr>
            <w:tcW w:w="240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15.3%</w:t>
            </w: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0.0%</w:t>
            </w: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7.8%</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40" w:type="dxa"/>
            <w:vAlign w:val="bottom"/>
          </w:tcPr>
          <w:p>
            <w:pPr>
              <w:ind w:left="140"/>
              <w:spacing w:after="0"/>
              <w:rPr>
                <w:sz w:val="20"/>
                <w:szCs w:val="20"/>
                <w:color w:val="auto"/>
              </w:rPr>
            </w:pPr>
            <w:r>
              <w:rPr>
                <w:rFonts w:ascii="Arial" w:cs="Arial" w:eastAsia="Arial" w:hAnsi="Arial"/>
                <w:sz w:val="17"/>
                <w:szCs w:val="17"/>
                <w:color w:val="auto"/>
              </w:rPr>
              <w:t>Loss ratio</w:t>
            </w:r>
          </w:p>
        </w:tc>
        <w:tc>
          <w:tcPr>
            <w:tcW w:w="3620" w:type="dxa"/>
            <w:vAlign w:val="bottom"/>
            <w:gridSpan w:val="2"/>
          </w:tcPr>
          <w:p>
            <w:pPr>
              <w:jc w:val="right"/>
              <w:spacing w:after="0"/>
              <w:rPr>
                <w:sz w:val="20"/>
                <w:szCs w:val="20"/>
                <w:color w:val="auto"/>
              </w:rPr>
            </w:pPr>
            <w:r>
              <w:rPr>
                <w:rFonts w:ascii="Arial" w:cs="Arial" w:eastAsia="Arial" w:hAnsi="Arial"/>
                <w:sz w:val="17"/>
                <w:szCs w:val="17"/>
                <w:color w:val="auto"/>
              </w:rPr>
              <w:t>87.6%</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-1864.6%</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43.2%</w:t>
            </w:r>
          </w:p>
        </w:tc>
        <w:tc>
          <w:tcPr>
            <w:tcW w:w="1060" w:type="dxa"/>
            <w:vAlign w:val="bottom"/>
          </w:tcPr>
          <w:p>
            <w:pPr>
              <w:jc w:val="right"/>
              <w:spacing w:after="0"/>
              <w:rPr>
                <w:sz w:val="20"/>
                <w:szCs w:val="20"/>
                <w:color w:val="auto"/>
              </w:rPr>
            </w:pPr>
            <w:r>
              <w:rPr>
                <w:rFonts w:ascii="Arial" w:cs="Arial" w:eastAsia="Arial" w:hAnsi="Arial"/>
                <w:sz w:val="17"/>
                <w:szCs w:val="17"/>
                <w:color w:val="auto"/>
              </w:rPr>
              <w:t>98.4%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restart"/>
          </w:tcPr>
          <w:p>
            <w:pPr>
              <w:spacing w:after="0"/>
              <w:rPr>
                <w:sz w:val="17"/>
                <w:szCs w:val="17"/>
                <w:color w:val="auto"/>
              </w:rPr>
            </w:pPr>
          </w:p>
        </w:tc>
        <w:tc>
          <w:tcPr>
            <w:tcW w:w="4440" w:type="dxa"/>
            <w:vAlign w:val="bottom"/>
            <w:shd w:val="clear" w:color="auto" w:fill="CCEEFF"/>
          </w:tcPr>
          <w:p>
            <w:pPr>
              <w:spacing w:after="0"/>
              <w:rPr>
                <w:sz w:val="17"/>
                <w:szCs w:val="17"/>
                <w:color w:val="auto"/>
              </w:rPr>
            </w:pPr>
          </w:p>
        </w:tc>
        <w:tc>
          <w:tcPr>
            <w:tcW w:w="24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7"/>
                <w:szCs w:val="17"/>
                <w:b w:val="1"/>
                <w:bCs w:val="1"/>
                <w:color w:val="auto"/>
              </w:rPr>
              <w:t>Three months ended March 31, 2018</w:t>
            </w:r>
          </w:p>
        </w:tc>
        <w:tc>
          <w:tcPr>
            <w:tcW w:w="24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Written premiums</w:t>
            </w:r>
          </w:p>
        </w:tc>
        <w:tc>
          <w:tcPr>
            <w:tcW w:w="3620" w:type="dxa"/>
            <w:vAlign w:val="bottom"/>
            <w:gridSpan w:val="2"/>
            <w:shd w:val="clear" w:color="auto" w:fill="CCEEFF"/>
          </w:tcPr>
          <w:p>
            <w:pPr>
              <w:jc w:val="right"/>
              <w:ind w:right="97"/>
              <w:spacing w:after="0"/>
              <w:rPr>
                <w:sz w:val="20"/>
                <w:szCs w:val="20"/>
                <w:color w:val="auto"/>
              </w:rPr>
            </w:pPr>
            <w:r>
              <w:rPr>
                <w:rFonts w:ascii="Arial" w:cs="Arial" w:eastAsia="Arial" w:hAnsi="Arial"/>
                <w:sz w:val="17"/>
                <w:szCs w:val="17"/>
                <w:color w:val="auto"/>
              </w:rPr>
              <w:t>$ 31,526,283</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rPr>
              <w:t>336</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w w:val="91"/>
              </w:rPr>
              <w:t>(7,826,235)</w:t>
            </w:r>
          </w:p>
        </w:tc>
        <w:tc>
          <w:tcPr>
            <w:tcW w:w="106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w w:val="92"/>
              </w:rPr>
              <w:t>$ 23,700,384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440" w:type="dxa"/>
            <w:vAlign w:val="bottom"/>
          </w:tcPr>
          <w:p>
            <w:pPr>
              <w:ind w:left="140"/>
              <w:spacing w:after="0"/>
              <w:rPr>
                <w:sz w:val="20"/>
                <w:szCs w:val="20"/>
                <w:color w:val="auto"/>
              </w:rPr>
            </w:pPr>
            <w:r>
              <w:rPr>
                <w:rFonts w:ascii="Arial" w:cs="Arial" w:eastAsia="Arial" w:hAnsi="Arial"/>
                <w:sz w:val="17"/>
                <w:szCs w:val="17"/>
                <w:color w:val="auto"/>
              </w:rPr>
              <w:t>Change in unearned premiums</w:t>
            </w:r>
          </w:p>
        </w:tc>
        <w:tc>
          <w:tcPr>
            <w:tcW w:w="2400" w:type="dxa"/>
            <w:vAlign w:val="bottom"/>
          </w:tcPr>
          <w:p>
            <w:pPr>
              <w:spacing w:after="0"/>
              <w:rPr>
                <w:sz w:val="18"/>
                <w:szCs w:val="18"/>
                <w:color w:val="auto"/>
              </w:rPr>
            </w:pPr>
          </w:p>
        </w:tc>
        <w:tc>
          <w:tcPr>
            <w:tcW w:w="122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(1,008,869)</w:t>
            </w: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96"/>
              <w:spacing w:after="0"/>
              <w:rPr>
                <w:sz w:val="20"/>
                <w:szCs w:val="20"/>
                <w:color w:val="auto"/>
              </w:rPr>
            </w:pPr>
            <w:r>
              <w:rPr>
                <w:rFonts w:ascii="Arial" w:cs="Arial" w:eastAsia="Arial" w:hAnsi="Arial"/>
                <w:sz w:val="17"/>
                <w:szCs w:val="17"/>
                <w:color w:val="auto"/>
              </w:rPr>
              <w:t>1,901</w:t>
            </w: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96"/>
              <w:spacing w:after="0"/>
              <w:rPr>
                <w:sz w:val="20"/>
                <w:szCs w:val="20"/>
                <w:color w:val="auto"/>
              </w:rPr>
            </w:pPr>
            <w:r>
              <w:rPr>
                <w:rFonts w:ascii="Arial" w:cs="Arial" w:eastAsia="Arial" w:hAnsi="Arial"/>
                <w:sz w:val="17"/>
                <w:szCs w:val="17"/>
                <w:color w:val="auto"/>
              </w:rPr>
              <w:t>144,201</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(862,767)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4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Earned premiums</w:t>
            </w:r>
          </w:p>
        </w:tc>
        <w:tc>
          <w:tcPr>
            <w:tcW w:w="3620" w:type="dxa"/>
            <w:vAlign w:val="bottom"/>
            <w:gridSpan w:val="2"/>
            <w:shd w:val="clear" w:color="auto" w:fill="CCEEFF"/>
          </w:tcPr>
          <w:p>
            <w:pPr>
              <w:jc w:val="right"/>
              <w:ind w:right="97"/>
              <w:spacing w:after="0"/>
              <w:rPr>
                <w:sz w:val="20"/>
                <w:szCs w:val="20"/>
                <w:color w:val="auto"/>
              </w:rPr>
            </w:pPr>
            <w:r>
              <w:rPr>
                <w:rFonts w:ascii="Arial" w:cs="Arial" w:eastAsia="Arial" w:hAnsi="Arial"/>
                <w:sz w:val="17"/>
                <w:szCs w:val="17"/>
                <w:color w:val="auto"/>
              </w:rPr>
              <w:t>$ 30,517,414</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rPr>
              <w:t>2,237</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w w:val="91"/>
              </w:rPr>
              <w:t>(7,682,034)</w:t>
            </w:r>
          </w:p>
        </w:tc>
        <w:tc>
          <w:tcPr>
            <w:tcW w:w="106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w w:val="92"/>
              </w:rPr>
              <w:t>$ 22,837,617</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40" w:type="dxa"/>
            <w:vAlign w:val="bottom"/>
            <w:tcBorders>
              <w:top w:val="single" w:sz="8" w:color="CCEEFF"/>
            </w:tcBorders>
          </w:tcPr>
          <w:p>
            <w:pPr>
              <w:spacing w:after="0"/>
              <w:rPr>
                <w:sz w:val="17"/>
                <w:szCs w:val="17"/>
                <w:color w:val="auto"/>
              </w:rPr>
            </w:pPr>
          </w:p>
        </w:tc>
        <w:tc>
          <w:tcPr>
            <w:tcW w:w="2400" w:type="dxa"/>
            <w:vAlign w:val="bottom"/>
            <w:tcBorders>
              <w:top w:val="single" w:sz="8" w:color="CCEEFF"/>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Loss and loss adjustment expenses exluding</w:t>
            </w:r>
          </w:p>
        </w:tc>
        <w:tc>
          <w:tcPr>
            <w:tcW w:w="24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40" w:type="dxa"/>
            <w:vAlign w:val="bottom"/>
          </w:tcPr>
          <w:p>
            <w:pPr>
              <w:ind w:left="300"/>
              <w:spacing w:after="0"/>
              <w:rPr>
                <w:sz w:val="20"/>
                <w:szCs w:val="20"/>
                <w:color w:val="auto"/>
              </w:rPr>
            </w:pPr>
            <w:r>
              <w:rPr>
                <w:rFonts w:ascii="Arial" w:cs="Arial" w:eastAsia="Arial" w:hAnsi="Arial"/>
                <w:sz w:val="17"/>
                <w:szCs w:val="17"/>
                <w:color w:val="auto"/>
              </w:rPr>
              <w:t>the effect of catastrophes</w:t>
            </w:r>
          </w:p>
        </w:tc>
        <w:tc>
          <w:tcPr>
            <w:tcW w:w="3620" w:type="dxa"/>
            <w:vAlign w:val="bottom"/>
            <w:gridSpan w:val="2"/>
          </w:tcPr>
          <w:p>
            <w:pPr>
              <w:jc w:val="right"/>
              <w:ind w:right="97"/>
              <w:spacing w:after="0"/>
              <w:rPr>
                <w:sz w:val="20"/>
                <w:szCs w:val="20"/>
                <w:color w:val="auto"/>
              </w:rPr>
            </w:pPr>
            <w:r>
              <w:rPr>
                <w:rFonts w:ascii="Arial" w:cs="Arial" w:eastAsia="Arial" w:hAnsi="Arial"/>
                <w:sz w:val="17"/>
                <w:szCs w:val="17"/>
                <w:color w:val="auto"/>
              </w:rPr>
              <w:t>$ 12,519,241</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96"/>
              <w:spacing w:after="0"/>
              <w:rPr>
                <w:sz w:val="20"/>
                <w:szCs w:val="20"/>
                <w:color w:val="auto"/>
              </w:rPr>
            </w:pPr>
            <w:r>
              <w:rPr>
                <w:rFonts w:ascii="Arial" w:cs="Arial" w:eastAsia="Arial" w:hAnsi="Arial"/>
                <w:sz w:val="17"/>
                <w:szCs w:val="17"/>
                <w:color w:val="auto"/>
              </w:rPr>
              <w:t>21,415</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56"/>
              <w:spacing w:after="0"/>
              <w:rPr>
                <w:sz w:val="20"/>
                <w:szCs w:val="20"/>
                <w:color w:val="auto"/>
              </w:rPr>
            </w:pPr>
            <w:r>
              <w:rPr>
                <w:rFonts w:ascii="Arial" w:cs="Arial" w:eastAsia="Arial" w:hAnsi="Arial"/>
                <w:sz w:val="17"/>
                <w:szCs w:val="17"/>
                <w:color w:val="auto"/>
              </w:rPr>
              <w:t>(821,175)</w:t>
            </w:r>
          </w:p>
        </w:tc>
        <w:tc>
          <w:tcPr>
            <w:tcW w:w="1060" w:type="dxa"/>
            <w:vAlign w:val="bottom"/>
          </w:tcPr>
          <w:p>
            <w:pPr>
              <w:jc w:val="right"/>
              <w:ind w:right="36"/>
              <w:spacing w:after="0"/>
              <w:rPr>
                <w:sz w:val="20"/>
                <w:szCs w:val="20"/>
                <w:color w:val="auto"/>
              </w:rPr>
            </w:pPr>
            <w:r>
              <w:rPr>
                <w:rFonts w:ascii="Arial" w:cs="Arial" w:eastAsia="Arial" w:hAnsi="Arial"/>
                <w:sz w:val="17"/>
                <w:szCs w:val="17"/>
                <w:color w:val="auto"/>
                <w:w w:val="92"/>
              </w:rPr>
              <w:t>$ 11,719,481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4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Catastrophe loss</w:t>
            </w:r>
          </w:p>
        </w:tc>
        <w:tc>
          <w:tcPr>
            <w:tcW w:w="240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7"/>
                <w:szCs w:val="17"/>
                <w:color w:val="auto"/>
              </w:rPr>
              <w:t>10,337,730</w:t>
            </w: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color w:val="auto"/>
                <w:w w:val="91"/>
              </w:rPr>
              <w:t>(4,790,881)</w:t>
            </w:r>
          </w:p>
        </w:tc>
        <w:tc>
          <w:tcPr>
            <w:tcW w:w="10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5,546,849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40" w:type="dxa"/>
            <w:vAlign w:val="bottom"/>
          </w:tcPr>
          <w:p>
            <w:pPr>
              <w:ind w:left="140"/>
              <w:spacing w:after="0"/>
              <w:rPr>
                <w:sz w:val="20"/>
                <w:szCs w:val="20"/>
                <w:color w:val="auto"/>
              </w:rPr>
            </w:pPr>
            <w:r>
              <w:rPr>
                <w:rFonts w:ascii="Arial" w:cs="Arial" w:eastAsia="Arial" w:hAnsi="Arial"/>
                <w:sz w:val="17"/>
                <w:szCs w:val="17"/>
                <w:color w:val="auto"/>
              </w:rPr>
              <w:t>Loss and loss adjustment expenses</w:t>
            </w:r>
          </w:p>
        </w:tc>
        <w:tc>
          <w:tcPr>
            <w:tcW w:w="3620" w:type="dxa"/>
            <w:vAlign w:val="bottom"/>
            <w:gridSpan w:val="2"/>
          </w:tcPr>
          <w:p>
            <w:pPr>
              <w:jc w:val="right"/>
              <w:ind w:right="97"/>
              <w:spacing w:after="0"/>
              <w:rPr>
                <w:sz w:val="20"/>
                <w:szCs w:val="20"/>
                <w:color w:val="auto"/>
              </w:rPr>
            </w:pPr>
            <w:r>
              <w:rPr>
                <w:rFonts w:ascii="Arial" w:cs="Arial" w:eastAsia="Arial" w:hAnsi="Arial"/>
                <w:sz w:val="17"/>
                <w:szCs w:val="17"/>
                <w:color w:val="auto"/>
              </w:rPr>
              <w:t>$ 22,856,971</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96"/>
              <w:spacing w:after="0"/>
              <w:rPr>
                <w:sz w:val="20"/>
                <w:szCs w:val="20"/>
                <w:color w:val="auto"/>
              </w:rPr>
            </w:pPr>
            <w:r>
              <w:rPr>
                <w:rFonts w:ascii="Arial" w:cs="Arial" w:eastAsia="Arial" w:hAnsi="Arial"/>
                <w:sz w:val="17"/>
                <w:szCs w:val="17"/>
                <w:color w:val="auto"/>
              </w:rPr>
              <w:t>21,415</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56"/>
              <w:spacing w:after="0"/>
              <w:rPr>
                <w:sz w:val="20"/>
                <w:szCs w:val="20"/>
                <w:color w:val="auto"/>
              </w:rPr>
            </w:pPr>
            <w:r>
              <w:rPr>
                <w:rFonts w:ascii="Arial" w:cs="Arial" w:eastAsia="Arial" w:hAnsi="Arial"/>
                <w:sz w:val="17"/>
                <w:szCs w:val="17"/>
                <w:color w:val="auto"/>
                <w:w w:val="91"/>
              </w:rPr>
              <w:t>(5,612,056)</w:t>
            </w:r>
          </w:p>
        </w:tc>
        <w:tc>
          <w:tcPr>
            <w:tcW w:w="1060" w:type="dxa"/>
            <w:vAlign w:val="bottom"/>
          </w:tcPr>
          <w:p>
            <w:pPr>
              <w:jc w:val="right"/>
              <w:ind w:right="36"/>
              <w:spacing w:after="0"/>
              <w:rPr>
                <w:sz w:val="20"/>
                <w:szCs w:val="20"/>
                <w:color w:val="auto"/>
              </w:rPr>
            </w:pPr>
            <w:r>
              <w:rPr>
                <w:rFonts w:ascii="Arial" w:cs="Arial" w:eastAsia="Arial" w:hAnsi="Arial"/>
                <w:sz w:val="17"/>
                <w:szCs w:val="17"/>
                <w:color w:val="auto"/>
                <w:w w:val="92"/>
              </w:rPr>
              <w:t>$ 17,266,330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4440" w:type="dxa"/>
            <w:vAlign w:val="bottom"/>
            <w:shd w:val="clear" w:color="auto" w:fill="CCEEFF"/>
          </w:tcPr>
          <w:p>
            <w:pPr>
              <w:spacing w:after="0"/>
              <w:rPr>
                <w:sz w:val="17"/>
                <w:szCs w:val="17"/>
                <w:color w:val="auto"/>
              </w:rPr>
            </w:pPr>
          </w:p>
        </w:tc>
        <w:tc>
          <w:tcPr>
            <w:tcW w:w="24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4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40" w:type="dxa"/>
            <w:vAlign w:val="bottom"/>
          </w:tcPr>
          <w:p>
            <w:pPr>
              <w:ind w:left="140"/>
              <w:spacing w:after="0"/>
              <w:rPr>
                <w:sz w:val="20"/>
                <w:szCs w:val="20"/>
                <w:color w:val="auto"/>
              </w:rPr>
            </w:pPr>
            <w:r>
              <w:rPr>
                <w:rFonts w:ascii="Arial" w:cs="Arial" w:eastAsia="Arial" w:hAnsi="Arial"/>
                <w:sz w:val="17"/>
                <w:szCs w:val="17"/>
                <w:color w:val="auto"/>
              </w:rPr>
              <w:t>Loss ratio excluding the effect of catastrophes</w:t>
            </w:r>
          </w:p>
        </w:tc>
        <w:tc>
          <w:tcPr>
            <w:tcW w:w="3620" w:type="dxa"/>
            <w:vAlign w:val="bottom"/>
            <w:gridSpan w:val="2"/>
          </w:tcPr>
          <w:p>
            <w:pPr>
              <w:jc w:val="right"/>
              <w:spacing w:after="0"/>
              <w:rPr>
                <w:sz w:val="20"/>
                <w:szCs w:val="20"/>
                <w:color w:val="auto"/>
              </w:rPr>
            </w:pPr>
            <w:r>
              <w:rPr>
                <w:rFonts w:ascii="Arial" w:cs="Arial" w:eastAsia="Arial" w:hAnsi="Arial"/>
                <w:sz w:val="17"/>
                <w:szCs w:val="17"/>
                <w:color w:val="auto"/>
              </w:rPr>
              <w:t>41.0%</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957.3%</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10.7%</w:t>
            </w:r>
          </w:p>
        </w:tc>
        <w:tc>
          <w:tcPr>
            <w:tcW w:w="1060" w:type="dxa"/>
            <w:vAlign w:val="bottom"/>
          </w:tcPr>
          <w:p>
            <w:pPr>
              <w:jc w:val="right"/>
              <w:spacing w:after="0"/>
              <w:rPr>
                <w:sz w:val="20"/>
                <w:szCs w:val="20"/>
                <w:color w:val="auto"/>
              </w:rPr>
            </w:pPr>
            <w:r>
              <w:rPr>
                <w:rFonts w:ascii="Arial" w:cs="Arial" w:eastAsia="Arial" w:hAnsi="Arial"/>
                <w:sz w:val="17"/>
                <w:szCs w:val="17"/>
                <w:color w:val="auto"/>
              </w:rPr>
              <w:t>51.3%</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4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Catastrophe loss</w:t>
            </w:r>
          </w:p>
        </w:tc>
        <w:tc>
          <w:tcPr>
            <w:tcW w:w="240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33.9%</w:t>
            </w: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0.0%</w:t>
            </w: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62.4%</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40" w:type="dxa"/>
            <w:vAlign w:val="bottom"/>
          </w:tcPr>
          <w:p>
            <w:pPr>
              <w:ind w:left="140"/>
              <w:spacing w:after="0"/>
              <w:rPr>
                <w:sz w:val="20"/>
                <w:szCs w:val="20"/>
                <w:color w:val="auto"/>
              </w:rPr>
            </w:pPr>
            <w:r>
              <w:rPr>
                <w:rFonts w:ascii="Arial" w:cs="Arial" w:eastAsia="Arial" w:hAnsi="Arial"/>
                <w:sz w:val="17"/>
                <w:szCs w:val="17"/>
                <w:color w:val="auto"/>
              </w:rPr>
              <w:t>Loss ratio</w:t>
            </w:r>
          </w:p>
        </w:tc>
        <w:tc>
          <w:tcPr>
            <w:tcW w:w="3620" w:type="dxa"/>
            <w:vAlign w:val="bottom"/>
            <w:gridSpan w:val="2"/>
          </w:tcPr>
          <w:p>
            <w:pPr>
              <w:jc w:val="right"/>
              <w:spacing w:after="0"/>
              <w:rPr>
                <w:sz w:val="20"/>
                <w:szCs w:val="20"/>
                <w:color w:val="auto"/>
              </w:rPr>
            </w:pPr>
            <w:r>
              <w:rPr>
                <w:rFonts w:ascii="Arial" w:cs="Arial" w:eastAsia="Arial" w:hAnsi="Arial"/>
                <w:sz w:val="17"/>
                <w:szCs w:val="17"/>
                <w:color w:val="auto"/>
              </w:rPr>
              <w:t>74.9%</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957.3%</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73.1%</w:t>
            </w:r>
          </w:p>
        </w:tc>
        <w:tc>
          <w:tcPr>
            <w:tcW w:w="1060" w:type="dxa"/>
            <w:vAlign w:val="bottom"/>
          </w:tcPr>
          <w:p>
            <w:pPr>
              <w:jc w:val="right"/>
              <w:spacing w:after="0"/>
              <w:rPr>
                <w:sz w:val="20"/>
                <w:szCs w:val="20"/>
                <w:color w:val="auto"/>
              </w:rPr>
            </w:pPr>
            <w:r>
              <w:rPr>
                <w:rFonts w:ascii="Arial" w:cs="Arial" w:eastAsia="Arial" w:hAnsi="Arial"/>
                <w:sz w:val="17"/>
                <w:szCs w:val="17"/>
                <w:color w:val="auto"/>
              </w:rPr>
              <w:t>75.6%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400" w:type="dxa"/>
            <w:vAlign w:val="bottom"/>
            <w:vMerge w:val="restart"/>
          </w:tcPr>
          <w:p>
            <w:pPr>
              <w:jc w:val="right"/>
              <w:ind w:right="975"/>
              <w:spacing w:after="0"/>
              <w:rPr>
                <w:sz w:val="20"/>
                <w:szCs w:val="20"/>
                <w:color w:val="auto"/>
              </w:rPr>
            </w:pPr>
            <w:r>
              <w:rPr>
                <w:rFonts w:ascii="Arial" w:cs="Arial" w:eastAsia="Arial" w:hAnsi="Arial"/>
                <w:sz w:val="17"/>
                <w:szCs w:val="17"/>
                <w:color w:val="auto"/>
              </w:rPr>
              <w:t>50</w:t>
            </w: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7"/>
        </w:trPr>
        <w:tc>
          <w:tcPr>
            <w:tcW w:w="20" w:type="dxa"/>
            <w:vAlign w:val="bottom"/>
          </w:tcPr>
          <w:p>
            <w:pPr>
              <w:spacing w:after="0"/>
              <w:rPr>
                <w:sz w:val="24"/>
                <w:szCs w:val="24"/>
                <w:color w:val="auto"/>
              </w:rPr>
            </w:pPr>
          </w:p>
        </w:tc>
        <w:tc>
          <w:tcPr>
            <w:tcW w:w="444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vMerge w:val="continue"/>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497" w:right="199" w:bottom="1440" w:gutter="0" w:footer="0" w:header="0"/>
        </w:sectPr>
      </w:pPr>
    </w:p>
    <w:bookmarkStart w:id="50" w:name="page51"/>
    <w:bookmarkEnd w:id="50"/>
    <w:p>
      <w:pPr>
        <w:ind w:left="640"/>
        <w:spacing w:after="0"/>
        <w:rPr>
          <w:sz w:val="20"/>
          <w:szCs w:val="20"/>
          <w:color w:val="auto"/>
        </w:rPr>
      </w:pPr>
      <w:r>
        <w:rPr>
          <w:rFonts w:ascii="Arial" w:cs="Arial" w:eastAsia="Arial" w:hAnsi="Arial"/>
          <w:sz w:val="17"/>
          <w:szCs w:val="17"/>
          <w:color w:val="auto"/>
        </w:rPr>
        <w:t>The key measures for our insurance underwriting business for the periods indicated are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9120" w:type="dxa"/>
            <w:vAlign w:val="bottom"/>
          </w:tcPr>
          <w:p>
            <w:pPr>
              <w:spacing w:after="0"/>
              <w:rPr>
                <w:sz w:val="16"/>
                <w:szCs w:val="16"/>
                <w:color w:val="auto"/>
              </w:rPr>
            </w:pPr>
          </w:p>
        </w:tc>
        <w:tc>
          <w:tcPr>
            <w:tcW w:w="232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1"/>
              </w:rPr>
              <w:t>Three months ended</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9120" w:type="dxa"/>
            <w:vAlign w:val="bottom"/>
          </w:tcPr>
          <w:p>
            <w:pPr>
              <w:spacing w:after="0"/>
              <w:rPr>
                <w:sz w:val="17"/>
                <w:szCs w:val="17"/>
                <w:color w:val="auto"/>
              </w:rPr>
            </w:pPr>
          </w:p>
        </w:tc>
        <w:tc>
          <w:tcPr>
            <w:tcW w:w="232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5"/>
              </w:rPr>
              <w:t>March 31,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9120" w:type="dxa"/>
            <w:vAlign w:val="bottom"/>
          </w:tcPr>
          <w:p>
            <w:pPr>
              <w:spacing w:after="0"/>
              <w:rPr>
                <w:sz w:val="18"/>
                <w:szCs w:val="18"/>
                <w:color w:val="auto"/>
              </w:rPr>
            </w:pPr>
          </w:p>
        </w:tc>
        <w:tc>
          <w:tcPr>
            <w:tcW w:w="1220" w:type="dxa"/>
            <w:vAlign w:val="bottom"/>
            <w:tcBorders>
              <w:top w:val="single" w:sz="8" w:color="auto"/>
              <w:bottom w:val="single" w:sz="8" w:color="auto"/>
            </w:tcBorders>
          </w:tcPr>
          <w:p>
            <w:pPr>
              <w:jc w:val="right"/>
              <w:ind w:right="418"/>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0" w:type="dxa"/>
            <w:vAlign w:val="bottom"/>
            <w:vMerge w:val="restart"/>
          </w:tcPr>
          <w:p>
            <w:pPr>
              <w:spacing w:after="0"/>
              <w:rPr>
                <w:sz w:val="20"/>
                <w:szCs w:val="20"/>
                <w:color w:val="auto"/>
              </w:rPr>
            </w:pPr>
          </w:p>
        </w:tc>
        <w:tc>
          <w:tcPr>
            <w:tcW w:w="9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7"/>
                <w:szCs w:val="17"/>
                <w:color w:val="auto"/>
              </w:rPr>
              <w:t>Net premiums earned</w:t>
            </w:r>
          </w:p>
        </w:tc>
        <w:tc>
          <w:tcPr>
            <w:tcW w:w="1220" w:type="dxa"/>
            <w:vAlign w:val="bottom"/>
            <w:shd w:val="clear" w:color="auto" w:fill="CCEEFF"/>
          </w:tcPr>
          <w:p>
            <w:pPr>
              <w:jc w:val="right"/>
              <w:ind w:right="98"/>
              <w:spacing w:after="0"/>
              <w:rPr>
                <w:sz w:val="20"/>
                <w:szCs w:val="20"/>
                <w:color w:val="auto"/>
              </w:rPr>
            </w:pPr>
            <w:r>
              <w:rPr>
                <w:rFonts w:ascii="Arial" w:cs="Arial" w:eastAsia="Arial" w:hAnsi="Arial"/>
                <w:sz w:val="17"/>
                <w:szCs w:val="17"/>
                <w:color w:val="auto"/>
              </w:rPr>
              <w:t>$ 29,595,889</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w w:val="89"/>
              </w:rPr>
              <w:t>22,837,617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120" w:type="dxa"/>
            <w:vAlign w:val="bottom"/>
          </w:tcPr>
          <w:p>
            <w:pPr>
              <w:spacing w:after="0"/>
              <w:rPr>
                <w:sz w:val="20"/>
                <w:szCs w:val="20"/>
                <w:color w:val="auto"/>
              </w:rPr>
            </w:pPr>
            <w:r>
              <w:rPr>
                <w:rFonts w:ascii="Arial" w:cs="Arial" w:eastAsia="Arial" w:hAnsi="Arial"/>
                <w:sz w:val="17"/>
                <w:szCs w:val="17"/>
                <w:color w:val="auto"/>
              </w:rPr>
              <w:t>Ceding commission revenue</w:t>
            </w:r>
          </w:p>
        </w:tc>
        <w:tc>
          <w:tcPr>
            <w:tcW w:w="1220" w:type="dxa"/>
            <w:vAlign w:val="bottom"/>
          </w:tcPr>
          <w:p>
            <w:pPr>
              <w:jc w:val="right"/>
              <w:ind w:right="98"/>
              <w:spacing w:after="0"/>
              <w:rPr>
                <w:sz w:val="20"/>
                <w:szCs w:val="20"/>
                <w:color w:val="auto"/>
              </w:rPr>
            </w:pPr>
            <w:r>
              <w:rPr>
                <w:rFonts w:ascii="Arial" w:cs="Arial" w:eastAsia="Arial" w:hAnsi="Arial"/>
                <w:sz w:val="17"/>
                <w:szCs w:val="17"/>
                <w:color w:val="auto"/>
              </w:rPr>
              <w:t>1,277,683</w:t>
            </w:r>
          </w:p>
        </w:tc>
        <w:tc>
          <w:tcPr>
            <w:tcW w:w="160" w:type="dxa"/>
            <w:vAlign w:val="bottom"/>
          </w:tcPr>
          <w:p>
            <w:pPr>
              <w:spacing w:after="0"/>
              <w:rPr>
                <w:sz w:val="18"/>
                <w:szCs w:val="18"/>
                <w:color w:val="auto"/>
              </w:rPr>
            </w:pPr>
          </w:p>
        </w:tc>
        <w:tc>
          <w:tcPr>
            <w:tcW w:w="900" w:type="dxa"/>
            <w:vAlign w:val="bottom"/>
          </w:tcPr>
          <w:p>
            <w:pPr>
              <w:jc w:val="right"/>
              <w:ind w:right="36"/>
              <w:spacing w:after="0"/>
              <w:rPr>
                <w:sz w:val="20"/>
                <w:szCs w:val="20"/>
                <w:color w:val="auto"/>
              </w:rPr>
            </w:pPr>
            <w:r>
              <w:rPr>
                <w:rFonts w:ascii="Arial" w:cs="Arial" w:eastAsia="Arial" w:hAnsi="Arial"/>
                <w:sz w:val="17"/>
                <w:szCs w:val="17"/>
                <w:color w:val="auto"/>
              </w:rPr>
              <w:t>1,695,158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7"/>
                <w:szCs w:val="17"/>
                <w:color w:val="auto"/>
              </w:rPr>
              <w:t>Other income</w:t>
            </w:r>
          </w:p>
        </w:tc>
        <w:tc>
          <w:tcPr>
            <w:tcW w:w="1220" w:type="dxa"/>
            <w:vAlign w:val="bottom"/>
            <w:shd w:val="clear" w:color="auto" w:fill="CCEEFF"/>
          </w:tcPr>
          <w:p>
            <w:pPr>
              <w:jc w:val="right"/>
              <w:ind w:right="98"/>
              <w:spacing w:after="0"/>
              <w:rPr>
                <w:sz w:val="20"/>
                <w:szCs w:val="20"/>
                <w:color w:val="auto"/>
              </w:rPr>
            </w:pPr>
            <w:r>
              <w:rPr>
                <w:rFonts w:ascii="Arial" w:cs="Arial" w:eastAsia="Arial" w:hAnsi="Arial"/>
                <w:sz w:val="17"/>
                <w:szCs w:val="17"/>
                <w:color w:val="auto"/>
              </w:rPr>
              <w:t>314,738</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292,222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9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7"/>
                <w:szCs w:val="17"/>
                <w:color w:val="auto"/>
              </w:rPr>
              <w:t>Loss and loss adjustment expenses (1)</w:t>
            </w:r>
          </w:p>
        </w:tc>
        <w:tc>
          <w:tcPr>
            <w:tcW w:w="1220" w:type="dxa"/>
            <w:vAlign w:val="bottom"/>
            <w:shd w:val="clear" w:color="auto" w:fill="CCEEFF"/>
          </w:tcPr>
          <w:p>
            <w:pPr>
              <w:jc w:val="right"/>
              <w:ind w:right="98"/>
              <w:spacing w:after="0"/>
              <w:rPr>
                <w:sz w:val="20"/>
                <w:szCs w:val="20"/>
                <w:color w:val="auto"/>
              </w:rPr>
            </w:pPr>
            <w:r>
              <w:rPr>
                <w:rFonts w:ascii="Arial" w:cs="Arial" w:eastAsia="Arial" w:hAnsi="Arial"/>
                <w:sz w:val="17"/>
                <w:szCs w:val="17"/>
                <w:color w:val="auto"/>
              </w:rPr>
              <w:t>29,134,224</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w w:val="89"/>
              </w:rPr>
              <w:t>17,266,330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9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7"/>
                <w:szCs w:val="17"/>
                <w:color w:val="auto"/>
              </w:rPr>
              <w:t>Acquisition costs and other underwriting expenses:</w:t>
            </w: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120" w:type="dxa"/>
            <w:vAlign w:val="bottom"/>
          </w:tcPr>
          <w:p>
            <w:pPr>
              <w:ind w:left="140"/>
              <w:spacing w:after="0"/>
              <w:rPr>
                <w:sz w:val="20"/>
                <w:szCs w:val="20"/>
                <w:color w:val="auto"/>
              </w:rPr>
            </w:pPr>
            <w:r>
              <w:rPr>
                <w:rFonts w:ascii="Arial" w:cs="Arial" w:eastAsia="Arial" w:hAnsi="Arial"/>
                <w:sz w:val="17"/>
                <w:szCs w:val="17"/>
                <w:color w:val="auto"/>
              </w:rPr>
              <w:t>Commission expense</w:t>
            </w:r>
          </w:p>
        </w:tc>
        <w:tc>
          <w:tcPr>
            <w:tcW w:w="1220" w:type="dxa"/>
            <w:vAlign w:val="bottom"/>
          </w:tcPr>
          <w:p>
            <w:pPr>
              <w:jc w:val="right"/>
              <w:ind w:right="98"/>
              <w:spacing w:after="0"/>
              <w:rPr>
                <w:sz w:val="20"/>
                <w:szCs w:val="20"/>
                <w:color w:val="auto"/>
              </w:rPr>
            </w:pPr>
            <w:r>
              <w:rPr>
                <w:rFonts w:ascii="Arial" w:cs="Arial" w:eastAsia="Arial" w:hAnsi="Arial"/>
                <w:sz w:val="17"/>
                <w:szCs w:val="17"/>
                <w:color w:val="auto"/>
              </w:rPr>
              <w:t>6,853,416</w:t>
            </w:r>
          </w:p>
        </w:tc>
        <w:tc>
          <w:tcPr>
            <w:tcW w:w="160" w:type="dxa"/>
            <w:vAlign w:val="bottom"/>
          </w:tcPr>
          <w:p>
            <w:pPr>
              <w:spacing w:after="0"/>
              <w:rPr>
                <w:sz w:val="18"/>
                <w:szCs w:val="18"/>
                <w:color w:val="auto"/>
              </w:rPr>
            </w:pPr>
          </w:p>
        </w:tc>
        <w:tc>
          <w:tcPr>
            <w:tcW w:w="900" w:type="dxa"/>
            <w:vAlign w:val="bottom"/>
          </w:tcPr>
          <w:p>
            <w:pPr>
              <w:jc w:val="right"/>
              <w:ind w:right="36"/>
              <w:spacing w:after="0"/>
              <w:rPr>
                <w:sz w:val="20"/>
                <w:szCs w:val="20"/>
                <w:color w:val="auto"/>
              </w:rPr>
            </w:pPr>
            <w:r>
              <w:rPr>
                <w:rFonts w:ascii="Arial" w:cs="Arial" w:eastAsia="Arial" w:hAnsi="Arial"/>
                <w:sz w:val="17"/>
                <w:szCs w:val="17"/>
                <w:color w:val="auto"/>
              </w:rPr>
              <w:t>5,799,948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91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Other underwriting expenses</w:t>
            </w:r>
          </w:p>
        </w:tc>
        <w:tc>
          <w:tcPr>
            <w:tcW w:w="1220" w:type="dxa"/>
            <w:vAlign w:val="bottom"/>
            <w:tcBorders>
              <w:bottom w:val="single" w:sz="8" w:color="auto"/>
            </w:tcBorders>
            <w:shd w:val="clear" w:color="auto" w:fill="CCEEFF"/>
          </w:tcPr>
          <w:p>
            <w:pPr>
              <w:jc w:val="right"/>
              <w:ind w:right="98"/>
              <w:spacing w:after="0"/>
              <w:rPr>
                <w:sz w:val="20"/>
                <w:szCs w:val="20"/>
                <w:color w:val="auto"/>
              </w:rPr>
            </w:pPr>
            <w:r>
              <w:rPr>
                <w:rFonts w:ascii="Arial" w:cs="Arial" w:eastAsia="Arial" w:hAnsi="Arial"/>
                <w:sz w:val="17"/>
                <w:szCs w:val="17"/>
                <w:color w:val="auto"/>
              </w:rPr>
              <w:t>6,135,991</w:t>
            </w:r>
          </w:p>
        </w:tc>
        <w:tc>
          <w:tcPr>
            <w:tcW w:w="1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5,031,503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120" w:type="dxa"/>
            <w:vAlign w:val="bottom"/>
          </w:tcPr>
          <w:p>
            <w:pPr>
              <w:spacing w:after="0"/>
              <w:rPr>
                <w:sz w:val="20"/>
                <w:szCs w:val="20"/>
                <w:color w:val="auto"/>
              </w:rPr>
            </w:pPr>
            <w:r>
              <w:rPr>
                <w:rFonts w:ascii="Arial" w:cs="Arial" w:eastAsia="Arial" w:hAnsi="Arial"/>
                <w:sz w:val="17"/>
                <w:szCs w:val="17"/>
                <w:color w:val="auto"/>
              </w:rPr>
              <w:t>Total acquisition costs and other</w:t>
            </w: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91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underwriting expenses</w:t>
            </w:r>
          </w:p>
        </w:tc>
        <w:tc>
          <w:tcPr>
            <w:tcW w:w="1220" w:type="dxa"/>
            <w:vAlign w:val="bottom"/>
            <w:tcBorders>
              <w:bottom w:val="single" w:sz="8" w:color="auto"/>
            </w:tcBorders>
            <w:shd w:val="clear" w:color="auto" w:fill="CCEEFF"/>
          </w:tcPr>
          <w:p>
            <w:pPr>
              <w:jc w:val="right"/>
              <w:ind w:right="98"/>
              <w:spacing w:after="0"/>
              <w:rPr>
                <w:sz w:val="20"/>
                <w:szCs w:val="20"/>
                <w:color w:val="auto"/>
              </w:rPr>
            </w:pPr>
            <w:r>
              <w:rPr>
                <w:rFonts w:ascii="Arial" w:cs="Arial" w:eastAsia="Arial" w:hAnsi="Arial"/>
                <w:sz w:val="17"/>
                <w:szCs w:val="17"/>
                <w:color w:val="auto"/>
              </w:rPr>
              <w:t>12,989,407</w:t>
            </w:r>
          </w:p>
        </w:tc>
        <w:tc>
          <w:tcPr>
            <w:tcW w:w="1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w w:val="89"/>
              </w:rPr>
              <w:t>10,831,451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9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0" w:type="dxa"/>
            <w:vAlign w:val="bottom"/>
            <w:vMerge w:val="continue"/>
          </w:tcPr>
          <w:p>
            <w:pPr>
              <w:spacing w:after="0"/>
              <w:rPr>
                <w:sz w:val="21"/>
                <w:szCs w:val="21"/>
                <w:color w:val="auto"/>
              </w:rPr>
            </w:pPr>
          </w:p>
        </w:tc>
        <w:tc>
          <w:tcPr>
            <w:tcW w:w="9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Underwriting income</w:t>
            </w:r>
          </w:p>
        </w:tc>
        <w:tc>
          <w:tcPr>
            <w:tcW w:w="122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(10,935,321)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4"/>
              </w:rPr>
              <w:t>(3,272,784)</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9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7"/>
                <w:szCs w:val="17"/>
                <w:color w:val="auto"/>
              </w:rPr>
              <w:t>Key Measures:</w:t>
            </w: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120" w:type="dxa"/>
            <w:vAlign w:val="bottom"/>
          </w:tcPr>
          <w:p>
            <w:pPr>
              <w:ind w:left="140"/>
              <w:spacing w:after="0"/>
              <w:rPr>
                <w:sz w:val="20"/>
                <w:szCs w:val="20"/>
                <w:color w:val="auto"/>
              </w:rPr>
            </w:pPr>
            <w:r>
              <w:rPr>
                <w:rFonts w:ascii="Arial" w:cs="Arial" w:eastAsia="Arial" w:hAnsi="Arial"/>
                <w:sz w:val="17"/>
                <w:szCs w:val="17"/>
                <w:color w:val="auto"/>
              </w:rPr>
              <w:t>Net loss ratio excluding the effect of catastrophes</w:t>
            </w:r>
          </w:p>
        </w:tc>
        <w:tc>
          <w:tcPr>
            <w:tcW w:w="1220" w:type="dxa"/>
            <w:vAlign w:val="bottom"/>
          </w:tcPr>
          <w:p>
            <w:pPr>
              <w:jc w:val="right"/>
              <w:spacing w:after="0"/>
              <w:rPr>
                <w:sz w:val="20"/>
                <w:szCs w:val="20"/>
                <w:color w:val="auto"/>
              </w:rPr>
            </w:pPr>
            <w:r>
              <w:rPr>
                <w:rFonts w:ascii="Arial" w:cs="Arial" w:eastAsia="Arial" w:hAnsi="Arial"/>
                <w:sz w:val="17"/>
                <w:szCs w:val="17"/>
                <w:color w:val="auto"/>
              </w:rPr>
              <w:t>81.3%</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51.3%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91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Effect of catastrophe loss on net loss ratio (1)</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17.1%</w:t>
            </w:r>
          </w:p>
        </w:tc>
        <w:tc>
          <w:tcPr>
            <w:tcW w:w="1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9120" w:type="dxa"/>
            <w:vAlign w:val="bottom"/>
          </w:tcPr>
          <w:p>
            <w:pPr>
              <w:ind w:left="140"/>
              <w:spacing w:after="0"/>
              <w:rPr>
                <w:sz w:val="20"/>
                <w:szCs w:val="20"/>
                <w:color w:val="auto"/>
              </w:rPr>
            </w:pPr>
            <w:r>
              <w:rPr>
                <w:rFonts w:ascii="Arial" w:cs="Arial" w:eastAsia="Arial" w:hAnsi="Arial"/>
                <w:sz w:val="17"/>
                <w:szCs w:val="17"/>
                <w:color w:val="auto"/>
              </w:rPr>
              <w:t>Net loss ratio</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98.4%</w:t>
            </w: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75.6%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460"/>
          </w:cols>
          <w:pgMar w:left="240" w:top="497" w:right="199" w:bottom="1440" w:gutter="0" w:footer="0" w:header="0"/>
        </w:sectPr>
      </w:pPr>
    </w:p>
    <w:p>
      <w:pPr>
        <w:ind w:left="160"/>
        <w:spacing w:after="0"/>
        <w:rPr>
          <w:sz w:val="20"/>
          <w:szCs w:val="20"/>
          <w:color w:val="auto"/>
        </w:rPr>
      </w:pPr>
      <w:r>
        <w:rPr>
          <w:rFonts w:ascii="Arial" w:cs="Arial" w:eastAsia="Arial" w:hAnsi="Arial"/>
          <w:sz w:val="16"/>
          <w:szCs w:val="16"/>
          <w:color w:val="auto"/>
        </w:rPr>
        <w:t>Net underwriting expense ratio excluding the</w:t>
      </w:r>
    </w:p>
    <w:p>
      <w:pPr>
        <w:spacing w:after="0" w:line="23" w:lineRule="exact"/>
        <w:rPr>
          <w:sz w:val="20"/>
          <w:szCs w:val="20"/>
          <w:color w:val="auto"/>
        </w:rPr>
      </w:pPr>
    </w:p>
    <w:p>
      <w:pPr>
        <w:ind w:left="320"/>
        <w:spacing w:after="0"/>
        <w:rPr>
          <w:sz w:val="20"/>
          <w:szCs w:val="20"/>
          <w:color w:val="auto"/>
        </w:rPr>
      </w:pPr>
      <w:r>
        <w:rPr>
          <w:rFonts w:ascii="Arial" w:cs="Arial" w:eastAsia="Arial" w:hAnsi="Arial"/>
          <w:sz w:val="17"/>
          <w:szCs w:val="17"/>
          <w:color w:val="auto"/>
        </w:rPr>
        <w:t>effect of catastrophes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-121920</wp:posOffset>
            </wp:positionV>
            <wp:extent cx="7251065" cy="1327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1065" cy="132715"/>
                    </a:xfrm>
                    <a:prstGeom prst="rect">
                      <a:avLst/>
                    </a:prstGeom>
                    <a:noFill/>
                  </pic:spPr>
                </pic:pic>
              </a:graphicData>
            </a:graphic>
          </wp:anchor>
        </w:drawing>
      </w:r>
    </w:p>
    <w:p>
      <w:pPr>
        <w:ind w:left="160"/>
        <w:spacing w:after="0"/>
        <w:rPr>
          <w:sz w:val="20"/>
          <w:szCs w:val="20"/>
          <w:color w:val="auto"/>
        </w:rPr>
      </w:pPr>
      <w:r>
        <w:rPr>
          <w:rFonts w:ascii="Arial" w:cs="Arial" w:eastAsia="Arial" w:hAnsi="Arial"/>
          <w:sz w:val="16"/>
          <w:szCs w:val="16"/>
          <w:color w:val="auto"/>
        </w:rPr>
        <w:t>Effect of catastrophe loss on net underwriting</w:t>
      </w:r>
    </w:p>
    <w:p>
      <w:pPr>
        <w:spacing w:after="0" w:line="2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expense ratio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-121920</wp:posOffset>
            </wp:positionV>
            <wp:extent cx="7251065" cy="14922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1065" cy="149225"/>
                    </a:xfrm>
                    <a:prstGeom prst="rect">
                      <a:avLst/>
                    </a:prstGeom>
                    <a:noFill/>
                  </pic:spPr>
                </pic:pic>
              </a:graphicData>
            </a:graphic>
          </wp:anchor>
        </w:drawing>
      </w:r>
    </w:p>
    <w:p>
      <w:pPr>
        <w:spacing w:after="0" w:line="14" w:lineRule="exact"/>
        <w:rPr>
          <w:sz w:val="20"/>
          <w:szCs w:val="20"/>
          <w:color w:val="auto"/>
        </w:rPr>
      </w:pPr>
    </w:p>
    <w:p>
      <w:pPr>
        <w:ind w:left="160"/>
        <w:spacing w:after="0"/>
        <w:rPr>
          <w:sz w:val="20"/>
          <w:szCs w:val="20"/>
          <w:color w:val="auto"/>
        </w:rPr>
      </w:pPr>
      <w:r>
        <w:rPr>
          <w:rFonts w:ascii="Arial" w:cs="Arial" w:eastAsia="Arial" w:hAnsi="Arial"/>
          <w:sz w:val="17"/>
          <w:szCs w:val="17"/>
          <w:color w:val="auto"/>
        </w:rPr>
        <w:t>Net underwriting expense ratio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31115</wp:posOffset>
            </wp:positionV>
            <wp:extent cx="7251065" cy="1327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1065" cy="132715"/>
                    </a:xfrm>
                    <a:prstGeom prst="rect">
                      <a:avLst/>
                    </a:prstGeom>
                    <a:noFill/>
                  </pic:spPr>
                </pic:pic>
              </a:graphicData>
            </a:graphic>
          </wp:anchor>
        </w:drawing>
      </w:r>
    </w:p>
    <w:p>
      <w:pPr>
        <w:spacing w:after="0" w:line="229" w:lineRule="exact"/>
        <w:rPr>
          <w:sz w:val="20"/>
          <w:szCs w:val="20"/>
          <w:color w:val="auto"/>
        </w:rPr>
      </w:pPr>
    </w:p>
    <w:p>
      <w:pPr>
        <w:ind w:left="160"/>
        <w:spacing w:after="0"/>
        <w:rPr>
          <w:sz w:val="20"/>
          <w:szCs w:val="20"/>
          <w:color w:val="auto"/>
        </w:rPr>
      </w:pPr>
      <w:r>
        <w:rPr>
          <w:rFonts w:ascii="Arial" w:cs="Arial" w:eastAsia="Arial" w:hAnsi="Arial"/>
          <w:sz w:val="17"/>
          <w:szCs w:val="17"/>
          <w:color w:val="auto"/>
        </w:rPr>
        <w:t>Net combined ratio excluding the effect</w:t>
      </w:r>
    </w:p>
    <w:p>
      <w:pPr>
        <w:spacing w:after="0" w:line="2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of catastrophes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-121920</wp:posOffset>
            </wp:positionV>
            <wp:extent cx="7251065" cy="1327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1065" cy="132715"/>
                    </a:xfrm>
                    <a:prstGeom prst="rect">
                      <a:avLst/>
                    </a:prstGeom>
                    <a:noFill/>
                  </pic:spPr>
                </pic:pic>
              </a:graphicData>
            </a:graphic>
          </wp:anchor>
        </w:drawing>
      </w:r>
    </w:p>
    <w:p>
      <w:pPr>
        <w:ind w:left="160"/>
        <w:spacing w:after="0"/>
        <w:rPr>
          <w:sz w:val="20"/>
          <w:szCs w:val="20"/>
          <w:color w:val="auto"/>
        </w:rPr>
      </w:pPr>
      <w:r>
        <w:rPr>
          <w:rFonts w:ascii="Arial" w:cs="Arial" w:eastAsia="Arial" w:hAnsi="Arial"/>
          <w:sz w:val="17"/>
          <w:szCs w:val="17"/>
          <w:color w:val="auto"/>
        </w:rPr>
        <w:t>Effect of catastrophe loss on net combined</w:t>
      </w:r>
    </w:p>
    <w:p>
      <w:pPr>
        <w:spacing w:after="0" w:line="1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ratio (1)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-121920</wp:posOffset>
            </wp:positionV>
            <wp:extent cx="7251065" cy="14922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1065" cy="149225"/>
                    </a:xfrm>
                    <a:prstGeom prst="rect">
                      <a:avLst/>
                    </a:prstGeom>
                    <a:noFill/>
                  </pic:spPr>
                </pic:pic>
              </a:graphicData>
            </a:graphic>
          </wp:anchor>
        </w:drawing>
      </w:r>
    </w:p>
    <w:p>
      <w:pPr>
        <w:spacing w:after="0" w:line="14" w:lineRule="exact"/>
        <w:rPr>
          <w:sz w:val="20"/>
          <w:szCs w:val="20"/>
          <w:color w:val="auto"/>
        </w:rPr>
      </w:pPr>
    </w:p>
    <w:p>
      <w:pPr>
        <w:ind w:left="160"/>
        <w:spacing w:after="0"/>
        <w:rPr>
          <w:sz w:val="20"/>
          <w:szCs w:val="20"/>
          <w:color w:val="auto"/>
        </w:rPr>
      </w:pPr>
      <w:r>
        <w:rPr>
          <w:rFonts w:ascii="Arial" w:cs="Arial" w:eastAsia="Arial" w:hAnsi="Arial"/>
          <w:sz w:val="17"/>
          <w:szCs w:val="17"/>
          <w:color w:val="auto"/>
        </w:rPr>
        <w:t>Net combined ratio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47625</wp:posOffset>
            </wp:positionV>
            <wp:extent cx="7251065" cy="1327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1065" cy="132715"/>
                    </a:xfrm>
                    <a:prstGeom prst="rect">
                      <a:avLst/>
                    </a:prstGeom>
                    <a:noFill/>
                  </pic:spPr>
                </pic:pic>
              </a:graphicData>
            </a:graphic>
          </wp:anchor>
        </w:drawing>
      </w:r>
    </w:p>
    <w:p>
      <w:pPr>
        <w:spacing w:after="0" w:line="255" w:lineRule="exact"/>
        <w:rPr>
          <w:sz w:val="20"/>
          <w:szCs w:val="20"/>
          <w:color w:val="auto"/>
        </w:rPr>
      </w:pPr>
    </w:p>
    <w:p>
      <w:pPr>
        <w:ind w:left="160"/>
        <w:spacing w:after="0"/>
        <w:rPr>
          <w:sz w:val="20"/>
          <w:szCs w:val="20"/>
          <w:color w:val="auto"/>
        </w:rPr>
      </w:pPr>
      <w:r>
        <w:rPr>
          <w:rFonts w:ascii="Arial" w:cs="Arial" w:eastAsia="Arial" w:hAnsi="Arial"/>
          <w:sz w:val="15"/>
          <w:szCs w:val="15"/>
          <w:color w:val="auto"/>
        </w:rPr>
        <w:t>Reconciliation of net underwriting expense ratio:</w:t>
      </w:r>
    </w:p>
    <w:p>
      <w:pPr>
        <w:spacing w:after="0" w:line="43" w:lineRule="exact"/>
        <w:rPr>
          <w:sz w:val="20"/>
          <w:szCs w:val="20"/>
          <w:color w:val="auto"/>
        </w:rPr>
      </w:pPr>
    </w:p>
    <w:p>
      <w:pPr>
        <w:ind w:left="160"/>
        <w:spacing w:after="0"/>
        <w:rPr>
          <w:sz w:val="20"/>
          <w:szCs w:val="20"/>
          <w:color w:val="auto"/>
        </w:rPr>
      </w:pPr>
      <w:r>
        <w:rPr>
          <w:rFonts w:ascii="Arial" w:cs="Arial" w:eastAsia="Arial" w:hAnsi="Arial"/>
          <w:sz w:val="17"/>
          <w:szCs w:val="17"/>
          <w:color w:val="auto"/>
        </w:rPr>
        <w:t>Acquisition costs and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-121920</wp:posOffset>
            </wp:positionV>
            <wp:extent cx="7251065" cy="1327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1065" cy="132715"/>
                    </a:xfrm>
                    <a:prstGeom prst="rect">
                      <a:avLst/>
                    </a:prstGeom>
                    <a:noFill/>
                  </pic:spPr>
                </pic:pic>
              </a:graphicData>
            </a:graphic>
          </wp:anchor>
        </w:drawing>
      </w:r>
    </w:p>
    <w:p>
      <w:pPr>
        <w:ind w:left="320"/>
        <w:spacing w:after="0"/>
        <w:rPr>
          <w:sz w:val="20"/>
          <w:szCs w:val="20"/>
          <w:color w:val="auto"/>
        </w:rPr>
      </w:pPr>
      <w:r>
        <w:rPr>
          <w:rFonts w:ascii="Arial" w:cs="Arial" w:eastAsia="Arial" w:hAnsi="Arial"/>
          <w:sz w:val="17"/>
          <w:szCs w:val="17"/>
          <w:color w:val="auto"/>
        </w:rPr>
        <w:t>underwriting expenses</w:t>
      </w:r>
    </w:p>
    <w:p>
      <w:pPr>
        <w:spacing w:after="0" w:line="14" w:lineRule="exact"/>
        <w:rPr>
          <w:sz w:val="20"/>
          <w:szCs w:val="20"/>
          <w:color w:val="auto"/>
        </w:rPr>
      </w:pPr>
    </w:p>
    <w:p>
      <w:pPr>
        <w:ind w:left="160"/>
        <w:spacing w:after="0"/>
        <w:rPr>
          <w:sz w:val="20"/>
          <w:szCs w:val="20"/>
          <w:color w:val="auto"/>
        </w:rPr>
      </w:pPr>
      <w:r>
        <w:rPr>
          <w:rFonts w:ascii="Arial" w:cs="Arial" w:eastAsia="Arial" w:hAnsi="Arial"/>
          <w:sz w:val="17"/>
          <w:szCs w:val="17"/>
          <w:color w:val="auto"/>
        </w:rPr>
        <w:t>Less: Ceding commission revenue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-121920</wp:posOffset>
            </wp:positionV>
            <wp:extent cx="7251065" cy="1327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1065" cy="132715"/>
                    </a:xfrm>
                    <a:prstGeom prst="rect">
                      <a:avLst/>
                    </a:prstGeom>
                    <a:noFill/>
                  </pic:spPr>
                </pic:pic>
              </a:graphicData>
            </a:graphic>
          </wp:anchor>
        </w:drawing>
      </w:r>
    </w:p>
    <w:p>
      <w:pPr>
        <w:ind w:left="160"/>
        <w:spacing w:after="0"/>
        <w:rPr>
          <w:sz w:val="20"/>
          <w:szCs w:val="20"/>
          <w:color w:val="auto"/>
        </w:rPr>
      </w:pPr>
      <w:r>
        <w:rPr>
          <w:rFonts w:ascii="Arial" w:cs="Arial" w:eastAsia="Arial" w:hAnsi="Arial"/>
          <w:sz w:val="17"/>
          <w:szCs w:val="17"/>
          <w:color w:val="auto"/>
        </w:rPr>
        <w:t>Less: Other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26670</wp:posOffset>
            </wp:positionV>
            <wp:extent cx="7251065" cy="16637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1065" cy="1663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220" w:type="dxa"/>
            <w:vAlign w:val="bottom"/>
          </w:tcPr>
          <w:p>
            <w:pPr>
              <w:jc w:val="right"/>
              <w:spacing w:after="0"/>
              <w:rPr>
                <w:sz w:val="20"/>
                <w:szCs w:val="20"/>
                <w:color w:val="auto"/>
              </w:rPr>
            </w:pPr>
            <w:r>
              <w:rPr>
                <w:rFonts w:ascii="Arial" w:cs="Arial" w:eastAsia="Arial" w:hAnsi="Arial"/>
                <w:sz w:val="17"/>
                <w:szCs w:val="17"/>
                <w:color w:val="auto"/>
              </w:rPr>
              <w:t>38.5%</w:t>
            </w:r>
          </w:p>
        </w:tc>
        <w:tc>
          <w:tcPr>
            <w:tcW w:w="16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7"/>
                <w:szCs w:val="17"/>
                <w:color w:val="auto"/>
              </w:rPr>
              <w:t>37.4%</w:t>
            </w:r>
          </w:p>
        </w:tc>
      </w:tr>
      <w:tr>
        <w:trPr>
          <w:trHeight w:val="427"/>
        </w:trPr>
        <w:tc>
          <w:tcPr>
            <w:tcW w:w="1220" w:type="dxa"/>
            <w:vAlign w:val="bottom"/>
          </w:tcPr>
          <w:p>
            <w:pPr>
              <w:jc w:val="right"/>
              <w:spacing w:after="0"/>
              <w:rPr>
                <w:sz w:val="20"/>
                <w:szCs w:val="20"/>
                <w:color w:val="auto"/>
              </w:rPr>
            </w:pPr>
            <w:r>
              <w:rPr>
                <w:rFonts w:ascii="Arial" w:cs="Arial" w:eastAsia="Arial" w:hAnsi="Arial"/>
                <w:sz w:val="17"/>
                <w:szCs w:val="17"/>
                <w:color w:val="auto"/>
              </w:rPr>
              <w:t>0.0%</w:t>
            </w:r>
          </w:p>
        </w:tc>
        <w:tc>
          <w:tcPr>
            <w:tcW w:w="160" w:type="dxa"/>
            <w:vAlign w:val="bottom"/>
          </w:tcPr>
          <w:p>
            <w:pPr>
              <w:spacing w:after="0"/>
              <w:rPr>
                <w:sz w:val="24"/>
                <w:szCs w:val="24"/>
                <w:color w:val="auto"/>
              </w:rPr>
            </w:pPr>
          </w:p>
        </w:tc>
        <w:tc>
          <w:tcPr>
            <w:tcW w:w="940" w:type="dxa"/>
            <w:vAlign w:val="bottom"/>
            <w:gridSpan w:val="2"/>
          </w:tcPr>
          <w:p>
            <w:pPr>
              <w:jc w:val="right"/>
              <w:spacing w:after="0"/>
              <w:rPr>
                <w:sz w:val="20"/>
                <w:szCs w:val="20"/>
                <w:color w:val="auto"/>
              </w:rPr>
            </w:pPr>
            <w:r>
              <w:rPr>
                <w:rFonts w:ascii="Arial" w:cs="Arial" w:eastAsia="Arial" w:hAnsi="Arial"/>
                <w:sz w:val="17"/>
                <w:szCs w:val="17"/>
                <w:color w:val="auto"/>
              </w:rPr>
              <w:t>1.3%</w:t>
            </w:r>
          </w:p>
        </w:tc>
      </w:tr>
      <w:tr>
        <w:trPr>
          <w:trHeight w:val="215"/>
        </w:trPr>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38.5%</w:t>
            </w:r>
          </w:p>
        </w:tc>
        <w:tc>
          <w:tcPr>
            <w:tcW w:w="1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38.7%</w:t>
            </w:r>
          </w:p>
        </w:tc>
        <w:tc>
          <w:tcPr>
            <w:tcW w:w="40" w:type="dxa"/>
            <w:vAlign w:val="bottom"/>
          </w:tcPr>
          <w:p>
            <w:pPr>
              <w:spacing w:after="0"/>
              <w:rPr>
                <w:sz w:val="18"/>
                <w:szCs w:val="18"/>
                <w:color w:val="auto"/>
              </w:rPr>
            </w:pPr>
          </w:p>
        </w:tc>
      </w:tr>
      <w:tr>
        <w:trPr>
          <w:trHeight w:val="626"/>
        </w:trPr>
        <w:tc>
          <w:tcPr>
            <w:tcW w:w="1220" w:type="dxa"/>
            <w:vAlign w:val="bottom"/>
          </w:tcPr>
          <w:p>
            <w:pPr>
              <w:jc w:val="right"/>
              <w:spacing w:after="0"/>
              <w:rPr>
                <w:sz w:val="20"/>
                <w:szCs w:val="20"/>
                <w:color w:val="auto"/>
              </w:rPr>
            </w:pPr>
            <w:r>
              <w:rPr>
                <w:rFonts w:ascii="Arial" w:cs="Arial" w:eastAsia="Arial" w:hAnsi="Arial"/>
                <w:sz w:val="17"/>
                <w:szCs w:val="17"/>
                <w:color w:val="auto"/>
              </w:rPr>
              <w:t>119.8%</w:t>
            </w:r>
          </w:p>
        </w:tc>
        <w:tc>
          <w:tcPr>
            <w:tcW w:w="160" w:type="dxa"/>
            <w:vAlign w:val="bottom"/>
          </w:tcPr>
          <w:p>
            <w:pPr>
              <w:spacing w:after="0"/>
              <w:rPr>
                <w:sz w:val="24"/>
                <w:szCs w:val="24"/>
                <w:color w:val="auto"/>
              </w:rPr>
            </w:pPr>
          </w:p>
        </w:tc>
        <w:tc>
          <w:tcPr>
            <w:tcW w:w="940" w:type="dxa"/>
            <w:vAlign w:val="bottom"/>
            <w:gridSpan w:val="2"/>
          </w:tcPr>
          <w:p>
            <w:pPr>
              <w:jc w:val="right"/>
              <w:spacing w:after="0"/>
              <w:rPr>
                <w:sz w:val="20"/>
                <w:szCs w:val="20"/>
                <w:color w:val="auto"/>
              </w:rPr>
            </w:pPr>
            <w:r>
              <w:rPr>
                <w:rFonts w:ascii="Arial" w:cs="Arial" w:eastAsia="Arial" w:hAnsi="Arial"/>
                <w:sz w:val="17"/>
                <w:szCs w:val="17"/>
                <w:color w:val="auto"/>
              </w:rPr>
              <w:t>88.7%</w:t>
            </w:r>
          </w:p>
        </w:tc>
      </w:tr>
      <w:tr>
        <w:trPr>
          <w:trHeight w:val="427"/>
        </w:trPr>
        <w:tc>
          <w:tcPr>
            <w:tcW w:w="1220" w:type="dxa"/>
            <w:vAlign w:val="bottom"/>
          </w:tcPr>
          <w:p>
            <w:pPr>
              <w:jc w:val="right"/>
              <w:spacing w:after="0"/>
              <w:rPr>
                <w:sz w:val="20"/>
                <w:szCs w:val="20"/>
                <w:color w:val="auto"/>
              </w:rPr>
            </w:pPr>
            <w:r>
              <w:rPr>
                <w:rFonts w:ascii="Arial" w:cs="Arial" w:eastAsia="Arial" w:hAnsi="Arial"/>
                <w:sz w:val="17"/>
                <w:szCs w:val="17"/>
                <w:color w:val="auto"/>
              </w:rPr>
              <w:t>17.1%</w:t>
            </w:r>
          </w:p>
        </w:tc>
        <w:tc>
          <w:tcPr>
            <w:tcW w:w="160" w:type="dxa"/>
            <w:vAlign w:val="bottom"/>
          </w:tcPr>
          <w:p>
            <w:pPr>
              <w:spacing w:after="0"/>
              <w:rPr>
                <w:sz w:val="24"/>
                <w:szCs w:val="24"/>
                <w:color w:val="auto"/>
              </w:rPr>
            </w:pPr>
          </w:p>
        </w:tc>
        <w:tc>
          <w:tcPr>
            <w:tcW w:w="940" w:type="dxa"/>
            <w:vAlign w:val="bottom"/>
            <w:gridSpan w:val="2"/>
          </w:tcPr>
          <w:p>
            <w:pPr>
              <w:jc w:val="right"/>
              <w:spacing w:after="0"/>
              <w:rPr>
                <w:sz w:val="20"/>
                <w:szCs w:val="20"/>
                <w:color w:val="auto"/>
              </w:rPr>
            </w:pPr>
            <w:r>
              <w:rPr>
                <w:rFonts w:ascii="Arial" w:cs="Arial" w:eastAsia="Arial" w:hAnsi="Arial"/>
                <w:sz w:val="17"/>
                <w:szCs w:val="17"/>
                <w:color w:val="auto"/>
              </w:rPr>
              <w:t>25.6%</w:t>
            </w:r>
          </w:p>
        </w:tc>
      </w:tr>
      <w:tr>
        <w:trPr>
          <w:trHeight w:val="209"/>
        </w:trPr>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136.9%</w:t>
            </w:r>
          </w:p>
        </w:tc>
        <w:tc>
          <w:tcPr>
            <w:tcW w:w="1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114.3%</w:t>
            </w:r>
          </w:p>
        </w:tc>
        <w:tc>
          <w:tcPr>
            <w:tcW w:w="40" w:type="dxa"/>
            <w:vAlign w:val="bottom"/>
          </w:tcPr>
          <w:p>
            <w:pPr>
              <w:spacing w:after="0"/>
              <w:rPr>
                <w:sz w:val="18"/>
                <w:szCs w:val="18"/>
                <w:color w:val="auto"/>
              </w:rPr>
            </w:pPr>
          </w:p>
        </w:tc>
      </w:tr>
      <w:tr>
        <w:trPr>
          <w:trHeight w:val="20"/>
        </w:trPr>
        <w:tc>
          <w:tcPr>
            <w:tcW w:w="1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821"/>
        </w:trPr>
        <w:tc>
          <w:tcPr>
            <w:tcW w:w="1220" w:type="dxa"/>
            <w:vAlign w:val="bottom"/>
          </w:tcPr>
          <w:p>
            <w:pPr>
              <w:jc w:val="right"/>
              <w:ind w:right="95"/>
              <w:spacing w:after="0"/>
              <w:rPr>
                <w:sz w:val="20"/>
                <w:szCs w:val="20"/>
                <w:color w:val="auto"/>
              </w:rPr>
            </w:pPr>
            <w:r>
              <w:rPr>
                <w:rFonts w:ascii="Arial" w:cs="Arial" w:eastAsia="Arial" w:hAnsi="Arial"/>
                <w:sz w:val="17"/>
                <w:szCs w:val="17"/>
                <w:color w:val="auto"/>
              </w:rPr>
              <w:t>$ 12,989,407</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900" w:type="dxa"/>
            <w:vAlign w:val="bottom"/>
          </w:tcPr>
          <w:p>
            <w:pPr>
              <w:jc w:val="right"/>
              <w:ind w:right="35"/>
              <w:spacing w:after="0"/>
              <w:rPr>
                <w:sz w:val="20"/>
                <w:szCs w:val="20"/>
                <w:color w:val="auto"/>
              </w:rPr>
            </w:pPr>
            <w:r>
              <w:rPr>
                <w:rFonts w:ascii="Arial" w:cs="Arial" w:eastAsia="Arial" w:hAnsi="Arial"/>
                <w:sz w:val="17"/>
                <w:szCs w:val="17"/>
                <w:color w:val="auto"/>
                <w:w w:val="89"/>
              </w:rPr>
              <w:t>10,831,451</w:t>
            </w:r>
          </w:p>
        </w:tc>
        <w:tc>
          <w:tcPr>
            <w:tcW w:w="40" w:type="dxa"/>
            <w:vAlign w:val="bottom"/>
          </w:tcPr>
          <w:p>
            <w:pPr>
              <w:spacing w:after="0"/>
              <w:rPr>
                <w:sz w:val="24"/>
                <w:szCs w:val="24"/>
                <w:color w:val="auto"/>
              </w:rPr>
            </w:pPr>
          </w:p>
        </w:tc>
      </w:tr>
      <w:tr>
        <w:trPr>
          <w:trHeight w:val="209"/>
        </w:trPr>
        <w:tc>
          <w:tcPr>
            <w:tcW w:w="1220" w:type="dxa"/>
            <w:vAlign w:val="bottom"/>
          </w:tcPr>
          <w:p>
            <w:pPr>
              <w:jc w:val="right"/>
              <w:ind w:right="55"/>
              <w:spacing w:after="0"/>
              <w:rPr>
                <w:sz w:val="20"/>
                <w:szCs w:val="20"/>
                <w:color w:val="auto"/>
              </w:rPr>
            </w:pPr>
            <w:r>
              <w:rPr>
                <w:rFonts w:ascii="Arial" w:cs="Arial" w:eastAsia="Arial" w:hAnsi="Arial"/>
                <w:sz w:val="17"/>
                <w:szCs w:val="17"/>
                <w:color w:val="auto"/>
              </w:rPr>
              <w:t>(1,277,683)</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w w:val="94"/>
              </w:rPr>
              <w:t>(1,695,158)</w:t>
            </w:r>
          </w:p>
        </w:tc>
        <w:tc>
          <w:tcPr>
            <w:tcW w:w="40" w:type="dxa"/>
            <w:vAlign w:val="bottom"/>
          </w:tcPr>
          <w:p>
            <w:pPr>
              <w:spacing w:after="0"/>
              <w:rPr>
                <w:sz w:val="18"/>
                <w:szCs w:val="18"/>
                <w:color w:val="auto"/>
              </w:rPr>
            </w:pPr>
          </w:p>
        </w:tc>
      </w:tr>
      <w:tr>
        <w:trPr>
          <w:trHeight w:val="224"/>
        </w:trPr>
        <w:tc>
          <w:tcPr>
            <w:tcW w:w="122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(314,738)</w:t>
            </w: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(292,222)</w:t>
            </w:r>
          </w:p>
        </w:tc>
        <w:tc>
          <w:tcPr>
            <w:tcW w:w="40" w:type="dxa"/>
            <w:vAlign w:val="bottom"/>
          </w:tcPr>
          <w:p>
            <w:pPr>
              <w:spacing w:after="0"/>
              <w:rPr>
                <w:sz w:val="19"/>
                <w:szCs w:val="19"/>
                <w:color w:val="auto"/>
              </w:rPr>
            </w:pPr>
          </w:p>
        </w:tc>
      </w:tr>
      <w:tr>
        <w:trPr>
          <w:trHeight w:val="209"/>
        </w:trPr>
        <w:tc>
          <w:tcPr>
            <w:tcW w:w="122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$ 11,396,986</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8,844,071</w:t>
            </w:r>
          </w:p>
        </w:tc>
        <w:tc>
          <w:tcPr>
            <w:tcW w:w="40" w:type="dxa"/>
            <w:vAlign w:val="bottom"/>
          </w:tcPr>
          <w:p>
            <w:pPr>
              <w:spacing w:after="0"/>
              <w:rPr>
                <w:sz w:val="18"/>
                <w:szCs w:val="18"/>
                <w:color w:val="auto"/>
              </w:rPr>
            </w:pPr>
          </w:p>
        </w:tc>
      </w:tr>
      <w:tr>
        <w:trPr>
          <w:trHeight w:val="20"/>
        </w:trPr>
        <w:tc>
          <w:tcPr>
            <w:tcW w:w="1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8420" w:space="720"/>
            <w:col w:w="2320"/>
          </w:cols>
          <w:pgMar w:left="240" w:top="497" w:right="199" w:bottom="1440" w:gutter="0" w:footer="0" w:header="0"/>
          <w:type w:val="continuous"/>
        </w:sectPr>
      </w:pP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91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Net earned premium</w:t>
            </w:r>
          </w:p>
        </w:tc>
        <w:tc>
          <w:tcPr>
            <w:tcW w:w="122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rPr>
              <w:t>$ 29,595,889</w:t>
            </w:r>
          </w:p>
        </w:tc>
        <w:tc>
          <w:tcPr>
            <w:tcW w:w="10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w w:val="92"/>
              </w:rPr>
              <w:t>$ 22,837,617</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9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91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Net Underwriting Expense Ratio</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38.5%</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38.7%</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40" w:firstLine="5"/>
        <w:spacing w:after="0" w:line="260" w:lineRule="auto"/>
        <w:tabs>
          <w:tab w:leader="none" w:pos="258" w:val="left"/>
        </w:tabs>
        <w:numPr>
          <w:ilvl w:val="0"/>
          <w:numId w:val="17"/>
        </w:numPr>
        <w:rPr>
          <w:rFonts w:ascii="Arial" w:cs="Arial" w:eastAsia="Arial" w:hAnsi="Arial"/>
          <w:sz w:val="17"/>
          <w:szCs w:val="17"/>
          <w:color w:val="auto"/>
        </w:rPr>
      </w:pPr>
      <w:r>
        <w:rPr>
          <w:rFonts w:ascii="Arial" w:cs="Arial" w:eastAsia="Arial" w:hAnsi="Arial"/>
          <w:sz w:val="17"/>
          <w:szCs w:val="17"/>
          <w:color w:val="auto"/>
        </w:rPr>
        <w:t>For the three months ended March 31, 2019 and 2018, includes the sum of net catastrophe losses and loss adjustment expenses of $5,063,196 and $5,546,849, respectively.</w:t>
      </w:r>
    </w:p>
    <w:p>
      <w:pPr>
        <w:spacing w:after="0" w:line="1" w:lineRule="exact"/>
        <w:rPr>
          <w:rFonts w:ascii="Arial" w:cs="Arial" w:eastAsia="Arial" w:hAnsi="Arial"/>
          <w:sz w:val="17"/>
          <w:szCs w:val="17"/>
          <w:color w:val="auto"/>
        </w:rPr>
      </w:pPr>
    </w:p>
    <w:p>
      <w:pPr>
        <w:ind w:right="40" w:firstLine="5"/>
        <w:spacing w:after="0" w:line="273" w:lineRule="auto"/>
        <w:tabs>
          <w:tab w:leader="none" w:pos="251" w:val="left"/>
        </w:tabs>
        <w:numPr>
          <w:ilvl w:val="0"/>
          <w:numId w:val="17"/>
        </w:numPr>
        <w:rPr>
          <w:rFonts w:ascii="Arial" w:cs="Arial" w:eastAsia="Arial" w:hAnsi="Arial"/>
          <w:sz w:val="17"/>
          <w:szCs w:val="17"/>
          <w:color w:val="auto"/>
        </w:rPr>
      </w:pPr>
      <w:r>
        <w:rPr>
          <w:rFonts w:ascii="Arial" w:cs="Arial" w:eastAsia="Arial" w:hAnsi="Arial"/>
          <w:sz w:val="17"/>
          <w:szCs w:val="17"/>
          <w:color w:val="auto"/>
        </w:rPr>
        <w:t>For the three months ended March 31, 2018, the effect of catastrophe loss on our net underwriting expense ratio includes the effect of reduced contingent ceding commission revenue by $334,139 and does not include the indirect effects of a $29,167 decrease in other underwriting expenses.</w:t>
      </w:r>
    </w:p>
    <w:p>
      <w:pPr>
        <w:spacing w:after="0" w:line="334"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25106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ectPr>
          <w:pgSz w:w="11900" w:h="16838" w:orient="portrait"/>
          <w:cols w:equalWidth="0" w:num="1">
            <w:col w:w="11460"/>
          </w:cols>
          <w:pgMar w:left="240" w:top="497" w:right="199" w:bottom="1440" w:gutter="0" w:footer="0" w:header="0"/>
          <w:type w:val="continuous"/>
        </w:sectPr>
      </w:pPr>
    </w:p>
    <w:bookmarkStart w:id="51" w:name="page52"/>
    <w:bookmarkEnd w:id="51"/>
    <w:p>
      <w:pPr>
        <w:spacing w:after="0"/>
        <w:rPr>
          <w:sz w:val="20"/>
          <w:szCs w:val="20"/>
          <w:color w:val="auto"/>
        </w:rPr>
      </w:pPr>
      <w:r>
        <w:rPr>
          <w:rFonts w:ascii="Arial" w:cs="Arial" w:eastAsia="Arial" w:hAnsi="Arial"/>
          <w:sz w:val="17"/>
          <w:szCs w:val="17"/>
          <w:b w:val="1"/>
          <w:bCs w:val="1"/>
          <w:color w:val="auto"/>
        </w:rPr>
        <w:t>Investments</w:t>
      </w:r>
    </w:p>
    <w:p>
      <w:pPr>
        <w:spacing w:after="0" w:line="162"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Portfolio Summary</w:t>
      </w:r>
    </w:p>
    <w:p>
      <w:pPr>
        <w:spacing w:after="0" w:line="158" w:lineRule="exact"/>
        <w:rPr>
          <w:sz w:val="20"/>
          <w:szCs w:val="20"/>
          <w:color w:val="auto"/>
        </w:rPr>
      </w:pPr>
    </w:p>
    <w:p>
      <w:pPr>
        <w:ind w:left="640"/>
        <w:spacing w:after="0"/>
        <w:rPr>
          <w:sz w:val="20"/>
          <w:szCs w:val="20"/>
          <w:color w:val="auto"/>
        </w:rPr>
      </w:pPr>
      <w:r>
        <w:rPr>
          <w:rFonts w:ascii="Arial" w:cs="Arial" w:eastAsia="Arial" w:hAnsi="Arial"/>
          <w:sz w:val="17"/>
          <w:szCs w:val="17"/>
          <w:u w:val="single" w:color="auto"/>
          <w:color w:val="auto"/>
        </w:rPr>
        <w:t>Fixed-Maturity Securities</w:t>
      </w:r>
    </w:p>
    <w:p>
      <w:pPr>
        <w:spacing w:after="0" w:line="223" w:lineRule="exact"/>
        <w:rPr>
          <w:sz w:val="20"/>
          <w:szCs w:val="20"/>
          <w:color w:val="auto"/>
        </w:rPr>
      </w:pPr>
    </w:p>
    <w:p>
      <w:pPr>
        <w:ind w:right="340" w:firstLine="628"/>
        <w:spacing w:after="0" w:line="281" w:lineRule="auto"/>
        <w:rPr>
          <w:sz w:val="20"/>
          <w:szCs w:val="20"/>
          <w:color w:val="auto"/>
        </w:rPr>
      </w:pPr>
      <w:r>
        <w:rPr>
          <w:rFonts w:ascii="Arial" w:cs="Arial" w:eastAsia="Arial" w:hAnsi="Arial"/>
          <w:sz w:val="17"/>
          <w:szCs w:val="17"/>
          <w:color w:val="auto"/>
        </w:rPr>
        <w:t>The following table presents a breakdown of the amortized cost, estimated fair value, and unrealized gains and losses of our investments in fixed-maturity securities classified as available-for-sale as of March 31, 2019 and December 31, 2018:</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20" w:type="dxa"/>
            <w:vAlign w:val="bottom"/>
          </w:tcPr>
          <w:p>
            <w:pPr>
              <w:spacing w:after="0"/>
              <w:rPr>
                <w:sz w:val="15"/>
                <w:szCs w:val="15"/>
                <w:color w:val="auto"/>
              </w:rPr>
            </w:pPr>
          </w:p>
        </w:tc>
        <w:tc>
          <w:tcPr>
            <w:tcW w:w="45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gridSpan w:val="3"/>
          </w:tcPr>
          <w:p>
            <w:pPr>
              <w:jc w:val="right"/>
              <w:ind w:right="577"/>
              <w:spacing w:after="0"/>
              <w:rPr>
                <w:sz w:val="20"/>
                <w:szCs w:val="20"/>
                <w:color w:val="auto"/>
              </w:rPr>
            </w:pPr>
            <w:r>
              <w:rPr>
                <w:rFonts w:ascii="Arial" w:cs="Arial" w:eastAsia="Arial" w:hAnsi="Arial"/>
                <w:sz w:val="14"/>
                <w:szCs w:val="14"/>
                <w:b w:val="1"/>
                <w:bCs w:val="1"/>
                <w:color w:val="auto"/>
              </w:rPr>
              <w:t>March 31, 2019</w:t>
            </w:r>
          </w:p>
        </w:tc>
        <w:tc>
          <w:tcPr>
            <w:tcW w:w="12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5"/>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center"/>
              <w:ind w:right="142"/>
              <w:spacing w:after="0"/>
              <w:rPr>
                <w:sz w:val="20"/>
                <w:szCs w:val="20"/>
                <w:color w:val="auto"/>
              </w:rPr>
            </w:pPr>
            <w:r>
              <w:rPr>
                <w:rFonts w:ascii="Arial" w:cs="Arial" w:eastAsia="Arial" w:hAnsi="Arial"/>
                <w:sz w:val="14"/>
                <w:szCs w:val="14"/>
                <w:b w:val="1"/>
                <w:bCs w:val="1"/>
                <w:color w:val="auto"/>
                <w:w w:val="89"/>
              </w:rPr>
              <w:t>Cost or</w:t>
            </w:r>
          </w:p>
        </w:tc>
        <w:tc>
          <w:tcPr>
            <w:tcW w:w="220" w:type="dxa"/>
            <w:vAlign w:val="bottom"/>
          </w:tcPr>
          <w:p>
            <w:pPr>
              <w:spacing w:after="0"/>
              <w:rPr>
                <w:sz w:val="24"/>
                <w:szCs w:val="24"/>
                <w:color w:val="auto"/>
              </w:rPr>
            </w:pPr>
          </w:p>
        </w:tc>
        <w:tc>
          <w:tcPr>
            <w:tcW w:w="920" w:type="dxa"/>
            <w:vAlign w:val="bottom"/>
          </w:tcPr>
          <w:p>
            <w:pPr>
              <w:jc w:val="center"/>
              <w:ind w:right="160"/>
              <w:spacing w:after="0"/>
              <w:rPr>
                <w:sz w:val="20"/>
                <w:szCs w:val="20"/>
                <w:color w:val="auto"/>
              </w:rPr>
            </w:pPr>
            <w:r>
              <w:rPr>
                <w:rFonts w:ascii="Arial" w:cs="Arial" w:eastAsia="Arial" w:hAnsi="Arial"/>
                <w:sz w:val="14"/>
                <w:szCs w:val="14"/>
                <w:b w:val="1"/>
                <w:bCs w:val="1"/>
                <w:color w:val="auto"/>
                <w:w w:val="88"/>
              </w:rPr>
              <w:t>Gross</w:t>
            </w:r>
          </w:p>
        </w:tc>
        <w:tc>
          <w:tcPr>
            <w:tcW w:w="26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3"/>
          </w:tcPr>
          <w:p>
            <w:pPr>
              <w:jc w:val="right"/>
              <w:ind w:right="297"/>
              <w:spacing w:after="0"/>
              <w:rPr>
                <w:sz w:val="20"/>
                <w:szCs w:val="20"/>
                <w:color w:val="auto"/>
              </w:rPr>
            </w:pPr>
            <w:r>
              <w:rPr>
                <w:rFonts w:ascii="Arial" w:cs="Arial" w:eastAsia="Arial" w:hAnsi="Arial"/>
                <w:sz w:val="14"/>
                <w:szCs w:val="14"/>
                <w:b w:val="1"/>
                <w:bCs w:val="1"/>
                <w:color w:val="auto"/>
                <w:w w:val="95"/>
              </w:rPr>
              <w:t>Gross Unrealized Losses</w:t>
            </w: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2"/>
              </w:rPr>
              <w:t>Estimated</w:t>
            </w:r>
          </w:p>
        </w:tc>
        <w:tc>
          <w:tcPr>
            <w:tcW w:w="11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225"/>
        </w:trPr>
        <w:tc>
          <w:tcPr>
            <w:tcW w:w="458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Category</w:t>
            </w:r>
          </w:p>
        </w:tc>
        <w:tc>
          <w:tcPr>
            <w:tcW w:w="220" w:type="dxa"/>
            <w:vAlign w:val="bottom"/>
          </w:tcPr>
          <w:p>
            <w:pPr>
              <w:spacing w:after="0"/>
              <w:rPr>
                <w:sz w:val="19"/>
                <w:szCs w:val="19"/>
                <w:color w:val="auto"/>
              </w:rPr>
            </w:pPr>
          </w:p>
        </w:tc>
        <w:tc>
          <w:tcPr>
            <w:tcW w:w="940" w:type="dxa"/>
            <w:vAlign w:val="bottom"/>
          </w:tcPr>
          <w:p>
            <w:pPr>
              <w:jc w:val="center"/>
              <w:ind w:right="142"/>
              <w:spacing w:after="0"/>
              <w:rPr>
                <w:sz w:val="20"/>
                <w:szCs w:val="20"/>
                <w:color w:val="auto"/>
              </w:rPr>
            </w:pPr>
            <w:r>
              <w:rPr>
                <w:rFonts w:ascii="Arial" w:cs="Arial" w:eastAsia="Arial" w:hAnsi="Arial"/>
                <w:sz w:val="14"/>
                <w:szCs w:val="14"/>
                <w:b w:val="1"/>
                <w:bCs w:val="1"/>
                <w:color w:val="auto"/>
                <w:w w:val="93"/>
              </w:rPr>
              <w:t>Amortized</w:t>
            </w:r>
          </w:p>
        </w:tc>
        <w:tc>
          <w:tcPr>
            <w:tcW w:w="220" w:type="dxa"/>
            <w:vAlign w:val="bottom"/>
          </w:tcPr>
          <w:p>
            <w:pPr>
              <w:spacing w:after="0"/>
              <w:rPr>
                <w:sz w:val="19"/>
                <w:szCs w:val="19"/>
                <w:color w:val="auto"/>
              </w:rPr>
            </w:pPr>
          </w:p>
        </w:tc>
        <w:tc>
          <w:tcPr>
            <w:tcW w:w="920" w:type="dxa"/>
            <w:vAlign w:val="bottom"/>
          </w:tcPr>
          <w:p>
            <w:pPr>
              <w:jc w:val="center"/>
              <w:ind w:right="160"/>
              <w:spacing w:after="0"/>
              <w:rPr>
                <w:sz w:val="20"/>
                <w:szCs w:val="20"/>
                <w:color w:val="auto"/>
              </w:rPr>
            </w:pPr>
            <w:r>
              <w:rPr>
                <w:rFonts w:ascii="Arial" w:cs="Arial" w:eastAsia="Arial" w:hAnsi="Arial"/>
                <w:sz w:val="14"/>
                <w:szCs w:val="14"/>
                <w:b w:val="1"/>
                <w:bCs w:val="1"/>
                <w:color w:val="auto"/>
                <w:w w:val="95"/>
              </w:rPr>
              <w:t>Unrealized</w:t>
            </w:r>
          </w:p>
        </w:tc>
        <w:tc>
          <w:tcPr>
            <w:tcW w:w="116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Less than 12</w:t>
            </w:r>
          </w:p>
        </w:tc>
        <w:tc>
          <w:tcPr>
            <w:tcW w:w="1100" w:type="dxa"/>
            <w:vAlign w:val="bottom"/>
            <w:gridSpan w:val="2"/>
          </w:tcPr>
          <w:p>
            <w:pPr>
              <w:jc w:val="right"/>
              <w:ind w:right="57"/>
              <w:spacing w:after="0"/>
              <w:rPr>
                <w:sz w:val="20"/>
                <w:szCs w:val="20"/>
                <w:color w:val="auto"/>
              </w:rPr>
            </w:pPr>
            <w:r>
              <w:rPr>
                <w:rFonts w:ascii="Arial" w:cs="Arial" w:eastAsia="Arial" w:hAnsi="Arial"/>
                <w:sz w:val="14"/>
                <w:szCs w:val="14"/>
                <w:b w:val="1"/>
                <w:bCs w:val="1"/>
                <w:color w:val="auto"/>
              </w:rPr>
              <w:t>More than 12</w:t>
            </w: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rPr>
              <w:t>Fair</w:t>
            </w:r>
          </w:p>
        </w:tc>
        <w:tc>
          <w:tcPr>
            <w:tcW w:w="11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Estimated</w:t>
            </w:r>
          </w:p>
        </w:tc>
        <w:tc>
          <w:tcPr>
            <w:tcW w:w="0" w:type="dxa"/>
            <w:vAlign w:val="bottom"/>
          </w:tcPr>
          <w:p>
            <w:pPr>
              <w:spacing w:after="0"/>
              <w:rPr>
                <w:sz w:val="1"/>
                <w:szCs w:val="1"/>
                <w:color w:val="auto"/>
              </w:rPr>
            </w:pPr>
          </w:p>
        </w:tc>
      </w:tr>
      <w:tr>
        <w:trPr>
          <w:trHeight w:val="200"/>
        </w:trPr>
        <w:tc>
          <w:tcPr>
            <w:tcW w:w="458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center"/>
              <w:ind w:right="182"/>
              <w:spacing w:after="0"/>
              <w:rPr>
                <w:sz w:val="20"/>
                <w:szCs w:val="20"/>
                <w:color w:val="auto"/>
              </w:rPr>
            </w:pPr>
            <w:r>
              <w:rPr>
                <w:rFonts w:ascii="Arial" w:cs="Arial" w:eastAsia="Arial" w:hAnsi="Arial"/>
                <w:sz w:val="14"/>
                <w:szCs w:val="14"/>
                <w:b w:val="1"/>
                <w:bCs w:val="1"/>
                <w:color w:val="auto"/>
                <w:w w:val="89"/>
              </w:rPr>
              <w:t>Cost</w:t>
            </w:r>
          </w:p>
        </w:tc>
        <w:tc>
          <w:tcPr>
            <w:tcW w:w="220" w:type="dxa"/>
            <w:vAlign w:val="bottom"/>
          </w:tcPr>
          <w:p>
            <w:pPr>
              <w:spacing w:after="0"/>
              <w:rPr>
                <w:sz w:val="17"/>
                <w:szCs w:val="17"/>
                <w:color w:val="auto"/>
              </w:rPr>
            </w:pPr>
          </w:p>
        </w:tc>
        <w:tc>
          <w:tcPr>
            <w:tcW w:w="920" w:type="dxa"/>
            <w:vAlign w:val="bottom"/>
          </w:tcPr>
          <w:p>
            <w:pPr>
              <w:jc w:val="center"/>
              <w:ind w:right="160"/>
              <w:spacing w:after="0"/>
              <w:rPr>
                <w:sz w:val="20"/>
                <w:szCs w:val="20"/>
                <w:color w:val="auto"/>
              </w:rPr>
            </w:pPr>
            <w:r>
              <w:rPr>
                <w:rFonts w:ascii="Arial" w:cs="Arial" w:eastAsia="Arial" w:hAnsi="Arial"/>
                <w:sz w:val="14"/>
                <w:szCs w:val="14"/>
                <w:b w:val="1"/>
                <w:bCs w:val="1"/>
                <w:color w:val="auto"/>
                <w:w w:val="92"/>
              </w:rPr>
              <w:t>Gains</w:t>
            </w:r>
          </w:p>
        </w:tc>
        <w:tc>
          <w:tcPr>
            <w:tcW w:w="260" w:type="dxa"/>
            <w:vAlign w:val="bottom"/>
          </w:tcPr>
          <w:p>
            <w:pPr>
              <w:spacing w:after="0"/>
              <w:rPr>
                <w:sz w:val="17"/>
                <w:szCs w:val="17"/>
                <w:color w:val="auto"/>
              </w:rPr>
            </w:pPr>
          </w:p>
        </w:tc>
        <w:tc>
          <w:tcPr>
            <w:tcW w:w="900" w:type="dxa"/>
            <w:vAlign w:val="bottom"/>
          </w:tcPr>
          <w:p>
            <w:pPr>
              <w:jc w:val="right"/>
              <w:ind w:right="280"/>
              <w:spacing w:after="0"/>
              <w:rPr>
                <w:sz w:val="20"/>
                <w:szCs w:val="20"/>
                <w:color w:val="auto"/>
              </w:rPr>
            </w:pPr>
            <w:r>
              <w:rPr>
                <w:rFonts w:ascii="Arial" w:cs="Arial" w:eastAsia="Arial" w:hAnsi="Arial"/>
                <w:sz w:val="14"/>
                <w:szCs w:val="14"/>
                <w:b w:val="1"/>
                <w:bCs w:val="1"/>
                <w:color w:val="auto"/>
              </w:rPr>
              <w:t>Months</w:t>
            </w:r>
          </w:p>
        </w:tc>
        <w:tc>
          <w:tcPr>
            <w:tcW w:w="220" w:type="dxa"/>
            <w:vAlign w:val="bottom"/>
          </w:tcPr>
          <w:p>
            <w:pPr>
              <w:spacing w:after="0"/>
              <w:rPr>
                <w:sz w:val="17"/>
                <w:szCs w:val="17"/>
                <w:color w:val="auto"/>
              </w:rPr>
            </w:pPr>
          </w:p>
        </w:tc>
        <w:tc>
          <w:tcPr>
            <w:tcW w:w="880" w:type="dxa"/>
            <w:vAlign w:val="bottom"/>
          </w:tcPr>
          <w:p>
            <w:pPr>
              <w:jc w:val="right"/>
              <w:ind w:right="237"/>
              <w:spacing w:after="0"/>
              <w:rPr>
                <w:sz w:val="20"/>
                <w:szCs w:val="20"/>
                <w:color w:val="auto"/>
              </w:rPr>
            </w:pPr>
            <w:r>
              <w:rPr>
                <w:rFonts w:ascii="Arial" w:cs="Arial" w:eastAsia="Arial" w:hAnsi="Arial"/>
                <w:sz w:val="14"/>
                <w:szCs w:val="14"/>
                <w:b w:val="1"/>
                <w:bCs w:val="1"/>
                <w:color w:val="auto"/>
              </w:rPr>
              <w:t>Months</w:t>
            </w: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0"/>
              </w:rPr>
              <w:t>Value</w:t>
            </w:r>
          </w:p>
        </w:tc>
        <w:tc>
          <w:tcPr>
            <w:tcW w:w="11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U.S. Treasury securities and obligations of U.S. government</w:t>
            </w:r>
          </w:p>
        </w:tc>
        <w:tc>
          <w:tcPr>
            <w:tcW w:w="22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right w:val="single" w:sz="8" w:color="CCEEFF"/>
            </w:tcBorders>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7"/>
                <w:szCs w:val="17"/>
                <w:color w:val="auto"/>
              </w:rPr>
              <w:t>corporations and agencies</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ind w:right="42"/>
              <w:spacing w:after="0"/>
              <w:rPr>
                <w:sz w:val="20"/>
                <w:szCs w:val="20"/>
                <w:color w:val="auto"/>
              </w:rPr>
            </w:pPr>
            <w:r>
              <w:rPr>
                <w:rFonts w:ascii="Arial" w:cs="Arial" w:eastAsia="Arial" w:hAnsi="Arial"/>
                <w:sz w:val="17"/>
                <w:szCs w:val="17"/>
                <w:color w:val="auto"/>
              </w:rPr>
              <w:t>8,229,100</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ind w:right="40"/>
              <w:spacing w:after="0"/>
              <w:rPr>
                <w:sz w:val="20"/>
                <w:szCs w:val="20"/>
                <w:color w:val="auto"/>
              </w:rPr>
            </w:pPr>
            <w:r>
              <w:rPr>
                <w:rFonts w:ascii="Arial" w:cs="Arial" w:eastAsia="Arial" w:hAnsi="Arial"/>
                <w:sz w:val="17"/>
                <w:szCs w:val="17"/>
                <w:color w:val="auto"/>
              </w:rPr>
              <w:t>70,628</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(9,784)</w:t>
            </w:r>
          </w:p>
        </w:tc>
        <w:tc>
          <w:tcPr>
            <w:tcW w:w="1220" w:type="dxa"/>
            <w:vAlign w:val="bottom"/>
            <w:shd w:val="clear" w:color="auto" w:fill="CCEEFF"/>
          </w:tcPr>
          <w:p>
            <w:pPr>
              <w:jc w:val="right"/>
              <w:ind w:right="100"/>
              <w:spacing w:after="0"/>
              <w:rPr>
                <w:sz w:val="20"/>
                <w:szCs w:val="20"/>
                <w:color w:val="auto"/>
              </w:rPr>
            </w:pPr>
            <w:r>
              <w:rPr>
                <w:rFonts w:ascii="Arial" w:cs="Arial" w:eastAsia="Arial" w:hAnsi="Arial"/>
                <w:sz w:val="17"/>
                <w:szCs w:val="17"/>
                <w:color w:val="auto"/>
              </w:rPr>
              <w:t>$  8,289,944</w:t>
            </w: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8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7"/>
                <w:szCs w:val="17"/>
                <w:color w:val="auto"/>
              </w:rPr>
              <w:t>Political subdivisions of States, Territories and Possessions</w:t>
            </w:r>
          </w:p>
        </w:tc>
        <w:tc>
          <w:tcPr>
            <w:tcW w:w="22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42"/>
              <w:spacing w:after="0"/>
              <w:rPr>
                <w:sz w:val="20"/>
                <w:szCs w:val="20"/>
                <w:color w:val="auto"/>
              </w:rPr>
            </w:pPr>
            <w:r>
              <w:rPr>
                <w:rFonts w:ascii="Arial" w:cs="Arial" w:eastAsia="Arial" w:hAnsi="Arial"/>
                <w:sz w:val="17"/>
                <w:szCs w:val="17"/>
                <w:color w:val="auto"/>
              </w:rPr>
              <w:t>5,688,302</w:t>
            </w: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40"/>
              <w:spacing w:after="0"/>
              <w:rPr>
                <w:sz w:val="20"/>
                <w:szCs w:val="20"/>
                <w:color w:val="auto"/>
              </w:rPr>
            </w:pPr>
            <w:r>
              <w:rPr>
                <w:rFonts w:ascii="Arial" w:cs="Arial" w:eastAsia="Arial" w:hAnsi="Arial"/>
                <w:sz w:val="17"/>
                <w:szCs w:val="17"/>
                <w:color w:val="auto"/>
              </w:rPr>
              <w:t>117,032</w:t>
            </w: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(6,230)</w:t>
            </w:r>
          </w:p>
        </w:tc>
        <w:tc>
          <w:tcPr>
            <w:tcW w:w="1220" w:type="dxa"/>
            <w:vAlign w:val="bottom"/>
            <w:shd w:val="clear" w:color="auto" w:fill="CCEEFF"/>
          </w:tcPr>
          <w:p>
            <w:pPr>
              <w:jc w:val="right"/>
              <w:ind w:right="100"/>
              <w:spacing w:after="0"/>
              <w:rPr>
                <w:sz w:val="20"/>
                <w:szCs w:val="20"/>
                <w:color w:val="auto"/>
              </w:rPr>
            </w:pPr>
            <w:r>
              <w:rPr>
                <w:rFonts w:ascii="Arial" w:cs="Arial" w:eastAsia="Arial" w:hAnsi="Arial"/>
                <w:sz w:val="17"/>
                <w:szCs w:val="17"/>
                <w:color w:val="auto"/>
              </w:rPr>
              <w:t>5,799,104</w:t>
            </w: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7"/>
                <w:szCs w:val="17"/>
                <w:color w:val="auto"/>
              </w:rPr>
              <w:t>Corporate and other bonds</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7"/>
                <w:szCs w:val="17"/>
                <w:color w:val="auto"/>
              </w:rPr>
              <w:t>Industrial and miscellaneous</w:t>
            </w:r>
          </w:p>
        </w:tc>
        <w:tc>
          <w:tcPr>
            <w:tcW w:w="1160" w:type="dxa"/>
            <w:vAlign w:val="bottom"/>
            <w:gridSpan w:val="2"/>
          </w:tcPr>
          <w:p>
            <w:pPr>
              <w:jc w:val="right"/>
              <w:ind w:right="42"/>
              <w:spacing w:after="0"/>
              <w:rPr>
                <w:sz w:val="20"/>
                <w:szCs w:val="20"/>
                <w:color w:val="auto"/>
              </w:rPr>
            </w:pPr>
            <w:r>
              <w:rPr>
                <w:rFonts w:ascii="Arial" w:cs="Arial" w:eastAsia="Arial" w:hAnsi="Arial"/>
                <w:sz w:val="17"/>
                <w:szCs w:val="17"/>
                <w:color w:val="auto"/>
              </w:rPr>
              <w:t>124,354,135</w:t>
            </w:r>
          </w:p>
        </w:tc>
        <w:tc>
          <w:tcPr>
            <w:tcW w:w="220" w:type="dxa"/>
            <w:vAlign w:val="bottom"/>
          </w:tcPr>
          <w:p>
            <w:pPr>
              <w:spacing w:after="0"/>
              <w:rPr>
                <w:sz w:val="18"/>
                <w:szCs w:val="18"/>
                <w:color w:val="auto"/>
              </w:rPr>
            </w:pPr>
          </w:p>
        </w:tc>
        <w:tc>
          <w:tcPr>
            <w:tcW w:w="920" w:type="dxa"/>
            <w:vAlign w:val="bottom"/>
          </w:tcPr>
          <w:p>
            <w:pPr>
              <w:jc w:val="right"/>
              <w:ind w:right="40"/>
              <w:spacing w:after="0"/>
              <w:rPr>
                <w:sz w:val="20"/>
                <w:szCs w:val="20"/>
                <w:color w:val="auto"/>
              </w:rPr>
            </w:pPr>
            <w:r>
              <w:rPr>
                <w:rFonts w:ascii="Arial" w:cs="Arial" w:eastAsia="Arial" w:hAnsi="Arial"/>
                <w:sz w:val="17"/>
                <w:szCs w:val="17"/>
                <w:color w:val="auto"/>
              </w:rPr>
              <w:t>1,368,129</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(57,955)</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(710,936)</w:t>
            </w:r>
          </w:p>
        </w:tc>
        <w:tc>
          <w:tcPr>
            <w:tcW w:w="1220" w:type="dxa"/>
            <w:vAlign w:val="bottom"/>
          </w:tcPr>
          <w:p>
            <w:pPr>
              <w:jc w:val="right"/>
              <w:ind w:right="100"/>
              <w:spacing w:after="0"/>
              <w:rPr>
                <w:sz w:val="20"/>
                <w:szCs w:val="20"/>
                <w:color w:val="auto"/>
              </w:rPr>
            </w:pPr>
            <w:r>
              <w:rPr>
                <w:rFonts w:ascii="Arial" w:cs="Arial" w:eastAsia="Arial" w:hAnsi="Arial"/>
                <w:sz w:val="17"/>
                <w:szCs w:val="17"/>
                <w:color w:val="auto"/>
              </w:rPr>
              <w:t>124,953,373</w:t>
            </w:r>
          </w:p>
        </w:tc>
        <w:tc>
          <w:tcPr>
            <w:tcW w:w="1060" w:type="dxa"/>
            <w:vAlign w:val="bottom"/>
          </w:tcPr>
          <w:p>
            <w:pPr>
              <w:jc w:val="right"/>
              <w:spacing w:after="0"/>
              <w:rPr>
                <w:sz w:val="20"/>
                <w:szCs w:val="20"/>
                <w:color w:val="auto"/>
              </w:rPr>
            </w:pPr>
            <w:r>
              <w:rPr>
                <w:rFonts w:ascii="Arial" w:cs="Arial" w:eastAsia="Arial" w:hAnsi="Arial"/>
                <w:sz w:val="17"/>
                <w:szCs w:val="17"/>
                <w:color w:val="auto"/>
              </w:rPr>
              <w:t>77.8%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580" w:type="dxa"/>
            <w:vAlign w:val="bottom"/>
            <w:gridSpan w:val="2"/>
          </w:tcPr>
          <w:p>
            <w:pPr>
              <w:spacing w:after="0"/>
              <w:rPr>
                <w:sz w:val="20"/>
                <w:szCs w:val="20"/>
                <w:color w:val="auto"/>
              </w:rPr>
            </w:pPr>
            <w:r>
              <w:rPr>
                <w:rFonts w:ascii="Arial" w:cs="Arial" w:eastAsia="Arial" w:hAnsi="Arial"/>
                <w:sz w:val="17"/>
                <w:szCs w:val="17"/>
                <w:color w:val="auto"/>
              </w:rPr>
              <w:t>Residential mortgage and other asset backed securities (1)</w:t>
            </w: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2"/>
              <w:spacing w:after="0"/>
              <w:rPr>
                <w:sz w:val="20"/>
                <w:szCs w:val="20"/>
                <w:color w:val="auto"/>
              </w:rPr>
            </w:pPr>
            <w:r>
              <w:rPr>
                <w:rFonts w:ascii="Arial" w:cs="Arial" w:eastAsia="Arial" w:hAnsi="Arial"/>
                <w:sz w:val="17"/>
                <w:szCs w:val="17"/>
                <w:color w:val="auto"/>
                <w:w w:val="93"/>
              </w:rPr>
              <w:t>21,648,213</w:t>
            </w: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7"/>
                <w:szCs w:val="17"/>
                <w:color w:val="auto"/>
              </w:rPr>
              <w:t>271,364</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(95,026)</w:t>
            </w: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(389,820)</w:t>
            </w:r>
          </w:p>
        </w:tc>
        <w:tc>
          <w:tcPr>
            <w:tcW w:w="1220" w:type="dxa"/>
            <w:vAlign w:val="bottom"/>
            <w:tcBorders>
              <w:bottom w:val="single" w:sz="8" w:color="auto"/>
            </w:tcBorders>
          </w:tcPr>
          <w:p>
            <w:pPr>
              <w:jc w:val="right"/>
              <w:ind w:right="100"/>
              <w:spacing w:after="0"/>
              <w:rPr>
                <w:sz w:val="20"/>
                <w:szCs w:val="20"/>
                <w:color w:val="auto"/>
              </w:rPr>
            </w:pPr>
            <w:r>
              <w:rPr>
                <w:rFonts w:ascii="Arial" w:cs="Arial" w:eastAsia="Arial" w:hAnsi="Arial"/>
                <w:sz w:val="17"/>
                <w:szCs w:val="17"/>
                <w:color w:val="auto"/>
              </w:rPr>
              <w:t>21,434,731</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13.4%</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5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Total fixed-maturity securities</w:t>
            </w:r>
          </w:p>
        </w:tc>
        <w:tc>
          <w:tcPr>
            <w:tcW w:w="1160" w:type="dxa"/>
            <w:vAlign w:val="bottom"/>
            <w:gridSpan w:val="2"/>
            <w:shd w:val="clear" w:color="auto" w:fill="CCEEFF"/>
          </w:tcPr>
          <w:p>
            <w:pPr>
              <w:jc w:val="right"/>
              <w:ind w:right="42"/>
              <w:spacing w:after="0"/>
              <w:rPr>
                <w:sz w:val="20"/>
                <w:szCs w:val="20"/>
                <w:color w:val="auto"/>
              </w:rPr>
            </w:pPr>
            <w:r>
              <w:rPr>
                <w:rFonts w:ascii="Arial" w:cs="Arial" w:eastAsia="Arial" w:hAnsi="Arial"/>
                <w:sz w:val="17"/>
                <w:szCs w:val="17"/>
                <w:color w:val="auto"/>
                <w:w w:val="98"/>
              </w:rPr>
              <w:t>$159,919,750</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ind w:right="40"/>
              <w:spacing w:after="0"/>
              <w:rPr>
                <w:sz w:val="20"/>
                <w:szCs w:val="20"/>
                <w:color w:val="auto"/>
              </w:rPr>
            </w:pPr>
            <w:r>
              <w:rPr>
                <w:rFonts w:ascii="Arial" w:cs="Arial" w:eastAsia="Arial" w:hAnsi="Arial"/>
                <w:sz w:val="17"/>
                <w:szCs w:val="17"/>
                <w:color w:val="auto"/>
              </w:rPr>
              <w:t>1,827,153</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(152,981)</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4"/>
              </w:rPr>
              <w:t>(1,116,770)</w:t>
            </w:r>
          </w:p>
        </w:tc>
        <w:tc>
          <w:tcPr>
            <w:tcW w:w="1220" w:type="dxa"/>
            <w:vAlign w:val="bottom"/>
            <w:shd w:val="clear" w:color="auto" w:fill="CCEEFF"/>
          </w:tcPr>
          <w:p>
            <w:pPr>
              <w:jc w:val="right"/>
              <w:ind w:right="100"/>
              <w:spacing w:after="0"/>
              <w:rPr>
                <w:sz w:val="20"/>
                <w:szCs w:val="20"/>
                <w:color w:val="auto"/>
              </w:rPr>
            </w:pPr>
            <w:r>
              <w:rPr>
                <w:rFonts w:ascii="Arial" w:cs="Arial" w:eastAsia="Arial" w:hAnsi="Arial"/>
                <w:sz w:val="17"/>
                <w:szCs w:val="17"/>
                <w:color w:val="auto"/>
                <w:w w:val="98"/>
              </w:rPr>
              <w:t>$160,477,152</w:t>
            </w: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jc w:val="both"/>
        <w:ind w:left="320" w:right="40" w:hanging="315"/>
        <w:spacing w:after="0" w:line="286" w:lineRule="auto"/>
        <w:tabs>
          <w:tab w:leader="none" w:pos="3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 2017, KICO placed certain residential mortgage backed securities as eligible collateral in a designated custodian account related to its membership in the Federal Home Loan Bank of New York ("FHLBNY"). The eligible collateral would be pledged to FHLBNY if KICO draws an advance from the FHBLNY credit line. As of March 31, 2019, the estimated fair value of the eligible investments was approximately $5,553,000. KICO will retain all rights regarding all securities if pledged as collateral. As of March 31, 2019, there was no outstanding balance on the FHLBNY credit line.</w:t>
      </w:r>
    </w:p>
    <w:p>
      <w:pPr>
        <w:spacing w:after="0" w:line="261"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25106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ectPr>
          <w:pgSz w:w="11900" w:h="16838" w:orient="portrait"/>
          <w:cols w:equalWidth="0" w:num="1">
            <w:col w:w="11460"/>
          </w:cols>
          <w:pgMar w:left="240" w:top="519" w:right="19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177"/>
        </w:trPr>
        <w:tc>
          <w:tcPr>
            <w:tcW w:w="20" w:type="dxa"/>
            <w:vAlign w:val="bottom"/>
          </w:tcPr>
          <w:p>
            <w:pPr>
              <w:spacing w:after="0"/>
              <w:rPr>
                <w:sz w:val="15"/>
                <w:szCs w:val="15"/>
                <w:color w:val="auto"/>
              </w:rPr>
            </w:pPr>
          </w:p>
        </w:tc>
        <w:tc>
          <w:tcPr>
            <w:tcW w:w="45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gridSpan w:val="3"/>
          </w:tcPr>
          <w:p>
            <w:pPr>
              <w:jc w:val="right"/>
              <w:ind w:right="477"/>
              <w:spacing w:after="0"/>
              <w:rPr>
                <w:sz w:val="20"/>
                <w:szCs w:val="20"/>
                <w:color w:val="auto"/>
              </w:rPr>
            </w:pPr>
            <w:r>
              <w:rPr>
                <w:rFonts w:ascii="Arial" w:cs="Arial" w:eastAsia="Arial" w:hAnsi="Arial"/>
                <w:sz w:val="14"/>
                <w:szCs w:val="14"/>
                <w:b w:val="1"/>
                <w:bCs w:val="1"/>
                <w:color w:val="auto"/>
              </w:rPr>
              <w:t>December 31, 2018</w:t>
            </w:r>
          </w:p>
        </w:tc>
        <w:tc>
          <w:tcPr>
            <w:tcW w:w="12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5"/>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center"/>
              <w:ind w:right="142"/>
              <w:spacing w:after="0"/>
              <w:rPr>
                <w:sz w:val="20"/>
                <w:szCs w:val="20"/>
                <w:color w:val="auto"/>
              </w:rPr>
            </w:pPr>
            <w:r>
              <w:rPr>
                <w:rFonts w:ascii="Arial" w:cs="Arial" w:eastAsia="Arial" w:hAnsi="Arial"/>
                <w:sz w:val="14"/>
                <w:szCs w:val="14"/>
                <w:b w:val="1"/>
                <w:bCs w:val="1"/>
                <w:color w:val="auto"/>
                <w:w w:val="89"/>
              </w:rPr>
              <w:t>Cost or</w:t>
            </w:r>
          </w:p>
        </w:tc>
        <w:tc>
          <w:tcPr>
            <w:tcW w:w="220" w:type="dxa"/>
            <w:vAlign w:val="bottom"/>
          </w:tcPr>
          <w:p>
            <w:pPr>
              <w:spacing w:after="0"/>
              <w:rPr>
                <w:sz w:val="24"/>
                <w:szCs w:val="24"/>
                <w:color w:val="auto"/>
              </w:rPr>
            </w:pPr>
          </w:p>
        </w:tc>
        <w:tc>
          <w:tcPr>
            <w:tcW w:w="920" w:type="dxa"/>
            <w:vAlign w:val="bottom"/>
          </w:tcPr>
          <w:p>
            <w:pPr>
              <w:jc w:val="center"/>
              <w:ind w:right="160"/>
              <w:spacing w:after="0"/>
              <w:rPr>
                <w:sz w:val="20"/>
                <w:szCs w:val="20"/>
                <w:color w:val="auto"/>
              </w:rPr>
            </w:pPr>
            <w:r>
              <w:rPr>
                <w:rFonts w:ascii="Arial" w:cs="Arial" w:eastAsia="Arial" w:hAnsi="Arial"/>
                <w:sz w:val="14"/>
                <w:szCs w:val="14"/>
                <w:b w:val="1"/>
                <w:bCs w:val="1"/>
                <w:color w:val="auto"/>
                <w:w w:val="88"/>
              </w:rPr>
              <w:t>Gross</w:t>
            </w:r>
          </w:p>
        </w:tc>
        <w:tc>
          <w:tcPr>
            <w:tcW w:w="24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3"/>
          </w:tcPr>
          <w:p>
            <w:pPr>
              <w:jc w:val="right"/>
              <w:ind w:right="297"/>
              <w:spacing w:after="0"/>
              <w:rPr>
                <w:sz w:val="20"/>
                <w:szCs w:val="20"/>
                <w:color w:val="auto"/>
              </w:rPr>
            </w:pPr>
            <w:r>
              <w:rPr>
                <w:rFonts w:ascii="Arial" w:cs="Arial" w:eastAsia="Arial" w:hAnsi="Arial"/>
                <w:sz w:val="14"/>
                <w:szCs w:val="14"/>
                <w:b w:val="1"/>
                <w:bCs w:val="1"/>
                <w:color w:val="auto"/>
                <w:w w:val="96"/>
              </w:rPr>
              <w:t>Gross Unrealized Losses</w:t>
            </w: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2"/>
              </w:rPr>
              <w:t>Estimated</w:t>
            </w:r>
          </w:p>
        </w:tc>
        <w:tc>
          <w:tcPr>
            <w:tcW w:w="11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225"/>
        </w:trPr>
        <w:tc>
          <w:tcPr>
            <w:tcW w:w="458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Category</w:t>
            </w:r>
          </w:p>
        </w:tc>
        <w:tc>
          <w:tcPr>
            <w:tcW w:w="220" w:type="dxa"/>
            <w:vAlign w:val="bottom"/>
          </w:tcPr>
          <w:p>
            <w:pPr>
              <w:spacing w:after="0"/>
              <w:rPr>
                <w:sz w:val="19"/>
                <w:szCs w:val="19"/>
                <w:color w:val="auto"/>
              </w:rPr>
            </w:pPr>
          </w:p>
        </w:tc>
        <w:tc>
          <w:tcPr>
            <w:tcW w:w="940" w:type="dxa"/>
            <w:vAlign w:val="bottom"/>
          </w:tcPr>
          <w:p>
            <w:pPr>
              <w:jc w:val="center"/>
              <w:ind w:right="142"/>
              <w:spacing w:after="0"/>
              <w:rPr>
                <w:sz w:val="20"/>
                <w:szCs w:val="20"/>
                <w:color w:val="auto"/>
              </w:rPr>
            </w:pPr>
            <w:r>
              <w:rPr>
                <w:rFonts w:ascii="Arial" w:cs="Arial" w:eastAsia="Arial" w:hAnsi="Arial"/>
                <w:sz w:val="14"/>
                <w:szCs w:val="14"/>
                <w:b w:val="1"/>
                <w:bCs w:val="1"/>
                <w:color w:val="auto"/>
                <w:w w:val="93"/>
              </w:rPr>
              <w:t>Amortized</w:t>
            </w:r>
          </w:p>
        </w:tc>
        <w:tc>
          <w:tcPr>
            <w:tcW w:w="220" w:type="dxa"/>
            <w:vAlign w:val="bottom"/>
          </w:tcPr>
          <w:p>
            <w:pPr>
              <w:spacing w:after="0"/>
              <w:rPr>
                <w:sz w:val="19"/>
                <w:szCs w:val="19"/>
                <w:color w:val="auto"/>
              </w:rPr>
            </w:pPr>
          </w:p>
        </w:tc>
        <w:tc>
          <w:tcPr>
            <w:tcW w:w="920" w:type="dxa"/>
            <w:vAlign w:val="bottom"/>
          </w:tcPr>
          <w:p>
            <w:pPr>
              <w:jc w:val="center"/>
              <w:ind w:right="160"/>
              <w:spacing w:after="0"/>
              <w:rPr>
                <w:sz w:val="20"/>
                <w:szCs w:val="20"/>
                <w:color w:val="auto"/>
              </w:rPr>
            </w:pPr>
            <w:r>
              <w:rPr>
                <w:rFonts w:ascii="Arial" w:cs="Arial" w:eastAsia="Arial" w:hAnsi="Arial"/>
                <w:sz w:val="14"/>
                <w:szCs w:val="14"/>
                <w:b w:val="1"/>
                <w:bCs w:val="1"/>
                <w:color w:val="auto"/>
                <w:w w:val="95"/>
              </w:rPr>
              <w:t>Unrealized</w:t>
            </w:r>
          </w:p>
        </w:tc>
        <w:tc>
          <w:tcPr>
            <w:tcW w:w="116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Less than 12</w:t>
            </w:r>
          </w:p>
        </w:tc>
        <w:tc>
          <w:tcPr>
            <w:tcW w:w="1100" w:type="dxa"/>
            <w:vAlign w:val="bottom"/>
            <w:gridSpan w:val="2"/>
          </w:tcPr>
          <w:p>
            <w:pPr>
              <w:jc w:val="right"/>
              <w:ind w:right="57"/>
              <w:spacing w:after="0"/>
              <w:rPr>
                <w:sz w:val="20"/>
                <w:szCs w:val="20"/>
                <w:color w:val="auto"/>
              </w:rPr>
            </w:pPr>
            <w:r>
              <w:rPr>
                <w:rFonts w:ascii="Arial" w:cs="Arial" w:eastAsia="Arial" w:hAnsi="Arial"/>
                <w:sz w:val="14"/>
                <w:szCs w:val="14"/>
                <w:b w:val="1"/>
                <w:bCs w:val="1"/>
                <w:color w:val="auto"/>
              </w:rPr>
              <w:t>More than 12</w:t>
            </w: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rPr>
              <w:t>Fair</w:t>
            </w:r>
          </w:p>
        </w:tc>
        <w:tc>
          <w:tcPr>
            <w:tcW w:w="11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Estimated</w:t>
            </w:r>
          </w:p>
        </w:tc>
        <w:tc>
          <w:tcPr>
            <w:tcW w:w="0" w:type="dxa"/>
            <w:vAlign w:val="bottom"/>
          </w:tcPr>
          <w:p>
            <w:pPr>
              <w:spacing w:after="0"/>
              <w:rPr>
                <w:sz w:val="1"/>
                <w:szCs w:val="1"/>
                <w:color w:val="auto"/>
              </w:rPr>
            </w:pPr>
          </w:p>
        </w:tc>
      </w:tr>
      <w:tr>
        <w:trPr>
          <w:trHeight w:val="200"/>
        </w:trPr>
        <w:tc>
          <w:tcPr>
            <w:tcW w:w="458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center"/>
              <w:ind w:right="182"/>
              <w:spacing w:after="0"/>
              <w:rPr>
                <w:sz w:val="20"/>
                <w:szCs w:val="20"/>
                <w:color w:val="auto"/>
              </w:rPr>
            </w:pPr>
            <w:r>
              <w:rPr>
                <w:rFonts w:ascii="Arial" w:cs="Arial" w:eastAsia="Arial" w:hAnsi="Arial"/>
                <w:sz w:val="14"/>
                <w:szCs w:val="14"/>
                <w:b w:val="1"/>
                <w:bCs w:val="1"/>
                <w:color w:val="auto"/>
                <w:w w:val="89"/>
              </w:rPr>
              <w:t>Cost</w:t>
            </w:r>
          </w:p>
        </w:tc>
        <w:tc>
          <w:tcPr>
            <w:tcW w:w="220" w:type="dxa"/>
            <w:vAlign w:val="bottom"/>
          </w:tcPr>
          <w:p>
            <w:pPr>
              <w:spacing w:after="0"/>
              <w:rPr>
                <w:sz w:val="17"/>
                <w:szCs w:val="17"/>
                <w:color w:val="auto"/>
              </w:rPr>
            </w:pPr>
          </w:p>
        </w:tc>
        <w:tc>
          <w:tcPr>
            <w:tcW w:w="920" w:type="dxa"/>
            <w:vAlign w:val="bottom"/>
          </w:tcPr>
          <w:p>
            <w:pPr>
              <w:jc w:val="center"/>
              <w:ind w:right="160"/>
              <w:spacing w:after="0"/>
              <w:rPr>
                <w:sz w:val="20"/>
                <w:szCs w:val="20"/>
                <w:color w:val="auto"/>
              </w:rPr>
            </w:pPr>
            <w:r>
              <w:rPr>
                <w:rFonts w:ascii="Arial" w:cs="Arial" w:eastAsia="Arial" w:hAnsi="Arial"/>
                <w:sz w:val="14"/>
                <w:szCs w:val="14"/>
                <w:b w:val="1"/>
                <w:bCs w:val="1"/>
                <w:color w:val="auto"/>
                <w:w w:val="92"/>
              </w:rPr>
              <w:t>Gains</w:t>
            </w:r>
          </w:p>
        </w:tc>
        <w:tc>
          <w:tcPr>
            <w:tcW w:w="240" w:type="dxa"/>
            <w:vAlign w:val="bottom"/>
          </w:tcPr>
          <w:p>
            <w:pPr>
              <w:spacing w:after="0"/>
              <w:rPr>
                <w:sz w:val="17"/>
                <w:szCs w:val="17"/>
                <w:color w:val="auto"/>
              </w:rPr>
            </w:pPr>
          </w:p>
        </w:tc>
        <w:tc>
          <w:tcPr>
            <w:tcW w:w="920" w:type="dxa"/>
            <w:vAlign w:val="bottom"/>
          </w:tcPr>
          <w:p>
            <w:pPr>
              <w:jc w:val="right"/>
              <w:ind w:right="280"/>
              <w:spacing w:after="0"/>
              <w:rPr>
                <w:sz w:val="20"/>
                <w:szCs w:val="20"/>
                <w:color w:val="auto"/>
              </w:rPr>
            </w:pPr>
            <w:r>
              <w:rPr>
                <w:rFonts w:ascii="Arial" w:cs="Arial" w:eastAsia="Arial" w:hAnsi="Arial"/>
                <w:sz w:val="14"/>
                <w:szCs w:val="14"/>
                <w:b w:val="1"/>
                <w:bCs w:val="1"/>
                <w:color w:val="auto"/>
              </w:rPr>
              <w:t>Months</w:t>
            </w:r>
          </w:p>
        </w:tc>
        <w:tc>
          <w:tcPr>
            <w:tcW w:w="220" w:type="dxa"/>
            <w:vAlign w:val="bottom"/>
          </w:tcPr>
          <w:p>
            <w:pPr>
              <w:spacing w:after="0"/>
              <w:rPr>
                <w:sz w:val="17"/>
                <w:szCs w:val="17"/>
                <w:color w:val="auto"/>
              </w:rPr>
            </w:pPr>
          </w:p>
        </w:tc>
        <w:tc>
          <w:tcPr>
            <w:tcW w:w="880" w:type="dxa"/>
            <w:vAlign w:val="bottom"/>
          </w:tcPr>
          <w:p>
            <w:pPr>
              <w:jc w:val="right"/>
              <w:ind w:right="237"/>
              <w:spacing w:after="0"/>
              <w:rPr>
                <w:sz w:val="20"/>
                <w:szCs w:val="20"/>
                <w:color w:val="auto"/>
              </w:rPr>
            </w:pPr>
            <w:r>
              <w:rPr>
                <w:rFonts w:ascii="Arial" w:cs="Arial" w:eastAsia="Arial" w:hAnsi="Arial"/>
                <w:sz w:val="14"/>
                <w:szCs w:val="14"/>
                <w:b w:val="1"/>
                <w:bCs w:val="1"/>
                <w:color w:val="auto"/>
              </w:rPr>
              <w:t>Months</w:t>
            </w: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0"/>
              </w:rPr>
              <w:t>Value</w:t>
            </w:r>
          </w:p>
        </w:tc>
        <w:tc>
          <w:tcPr>
            <w:tcW w:w="11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456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7"/>
                <w:szCs w:val="17"/>
                <w:color w:val="auto"/>
              </w:rPr>
              <w:t>U.S. Treasury securities and obligations of U.S. government</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5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corporations and agencies</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ind w:right="42"/>
              <w:spacing w:after="0"/>
              <w:rPr>
                <w:sz w:val="20"/>
                <w:szCs w:val="20"/>
                <w:color w:val="auto"/>
              </w:rPr>
            </w:pPr>
            <w:r>
              <w:rPr>
                <w:rFonts w:ascii="Arial" w:cs="Arial" w:eastAsia="Arial" w:hAnsi="Arial"/>
                <w:sz w:val="17"/>
                <w:szCs w:val="17"/>
                <w:color w:val="auto"/>
              </w:rPr>
              <w:t>8,222,050</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ind w:right="40"/>
              <w:spacing w:after="0"/>
              <w:rPr>
                <w:sz w:val="20"/>
                <w:szCs w:val="20"/>
                <w:color w:val="auto"/>
              </w:rPr>
            </w:pPr>
            <w:r>
              <w:rPr>
                <w:rFonts w:ascii="Arial" w:cs="Arial" w:eastAsia="Arial" w:hAnsi="Arial"/>
                <w:sz w:val="17"/>
                <w:szCs w:val="17"/>
                <w:color w:val="auto"/>
              </w:rPr>
              <w:t>26,331</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(28,000)</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ind w:right="100"/>
              <w:spacing w:after="0"/>
              <w:rPr>
                <w:sz w:val="20"/>
                <w:szCs w:val="20"/>
                <w:color w:val="auto"/>
              </w:rPr>
            </w:pPr>
            <w:r>
              <w:rPr>
                <w:rFonts w:ascii="Arial" w:cs="Arial" w:eastAsia="Arial" w:hAnsi="Arial"/>
                <w:sz w:val="17"/>
                <w:szCs w:val="17"/>
                <w:color w:val="auto"/>
              </w:rPr>
              <w:t>$  8,220,381</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7"/>
                <w:szCs w:val="17"/>
                <w:color w:val="auto"/>
              </w:rPr>
              <w:t>Political subdivisions of States,</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7"/>
                <w:szCs w:val="17"/>
                <w:color w:val="auto"/>
              </w:rPr>
              <w:t>Territories and Possessions</w:t>
            </w:r>
          </w:p>
        </w:tc>
        <w:tc>
          <w:tcPr>
            <w:tcW w:w="220" w:type="dxa"/>
            <w:vAlign w:val="bottom"/>
          </w:tcPr>
          <w:p>
            <w:pPr>
              <w:spacing w:after="0"/>
              <w:rPr>
                <w:sz w:val="18"/>
                <w:szCs w:val="18"/>
                <w:color w:val="auto"/>
              </w:rPr>
            </w:pPr>
          </w:p>
        </w:tc>
        <w:tc>
          <w:tcPr>
            <w:tcW w:w="940" w:type="dxa"/>
            <w:vAlign w:val="bottom"/>
          </w:tcPr>
          <w:p>
            <w:pPr>
              <w:jc w:val="right"/>
              <w:ind w:right="42"/>
              <w:spacing w:after="0"/>
              <w:rPr>
                <w:sz w:val="20"/>
                <w:szCs w:val="20"/>
                <w:color w:val="auto"/>
              </w:rPr>
            </w:pPr>
            <w:r>
              <w:rPr>
                <w:rFonts w:ascii="Arial" w:cs="Arial" w:eastAsia="Arial" w:hAnsi="Arial"/>
                <w:sz w:val="17"/>
                <w:szCs w:val="17"/>
                <w:color w:val="auto"/>
              </w:rPr>
              <w:t>6,339,540</w:t>
            </w:r>
          </w:p>
        </w:tc>
        <w:tc>
          <w:tcPr>
            <w:tcW w:w="220" w:type="dxa"/>
            <w:vAlign w:val="bottom"/>
          </w:tcPr>
          <w:p>
            <w:pPr>
              <w:spacing w:after="0"/>
              <w:rPr>
                <w:sz w:val="18"/>
                <w:szCs w:val="18"/>
                <w:color w:val="auto"/>
              </w:rPr>
            </w:pPr>
          </w:p>
        </w:tc>
        <w:tc>
          <w:tcPr>
            <w:tcW w:w="920" w:type="dxa"/>
            <w:vAlign w:val="bottom"/>
          </w:tcPr>
          <w:p>
            <w:pPr>
              <w:jc w:val="right"/>
              <w:ind w:right="40"/>
              <w:spacing w:after="0"/>
              <w:rPr>
                <w:sz w:val="20"/>
                <w:szCs w:val="20"/>
                <w:color w:val="auto"/>
              </w:rPr>
            </w:pPr>
            <w:r>
              <w:rPr>
                <w:rFonts w:ascii="Arial" w:cs="Arial" w:eastAsia="Arial" w:hAnsi="Arial"/>
                <w:sz w:val="17"/>
                <w:szCs w:val="17"/>
                <w:color w:val="auto"/>
              </w:rPr>
              <w:t>50,903</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(12,327)</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(36,508)</w:t>
            </w:r>
          </w:p>
        </w:tc>
        <w:tc>
          <w:tcPr>
            <w:tcW w:w="1220" w:type="dxa"/>
            <w:vAlign w:val="bottom"/>
          </w:tcPr>
          <w:p>
            <w:pPr>
              <w:jc w:val="right"/>
              <w:ind w:right="100"/>
              <w:spacing w:after="0"/>
              <w:rPr>
                <w:sz w:val="20"/>
                <w:szCs w:val="20"/>
                <w:color w:val="auto"/>
              </w:rPr>
            </w:pPr>
            <w:r>
              <w:rPr>
                <w:rFonts w:ascii="Arial" w:cs="Arial" w:eastAsia="Arial" w:hAnsi="Arial"/>
                <w:sz w:val="17"/>
                <w:szCs w:val="17"/>
                <w:color w:val="auto"/>
              </w:rPr>
              <w:t>6,341,608</w:t>
            </w:r>
          </w:p>
        </w:tc>
        <w:tc>
          <w:tcPr>
            <w:tcW w:w="1060" w:type="dxa"/>
            <w:vAlign w:val="bottom"/>
          </w:tcPr>
          <w:p>
            <w:pPr>
              <w:jc w:val="right"/>
              <w:spacing w:after="0"/>
              <w:rPr>
                <w:sz w:val="20"/>
                <w:szCs w:val="20"/>
                <w:color w:val="auto"/>
              </w:rPr>
            </w:pPr>
            <w:r>
              <w:rPr>
                <w:rFonts w:ascii="Arial" w:cs="Arial" w:eastAsia="Arial" w:hAnsi="Arial"/>
                <w:sz w:val="17"/>
                <w:szCs w:val="17"/>
                <w:color w:val="auto"/>
              </w:rPr>
              <w:t>4.2%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7"/>
                <w:szCs w:val="17"/>
                <w:color w:val="auto"/>
              </w:rPr>
              <w:t>Corporate and other bonds</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7"/>
                <w:szCs w:val="17"/>
                <w:color w:val="auto"/>
              </w:rPr>
              <w:t>Industrial and miscellaneous</w:t>
            </w:r>
          </w:p>
        </w:tc>
        <w:tc>
          <w:tcPr>
            <w:tcW w:w="1160" w:type="dxa"/>
            <w:vAlign w:val="bottom"/>
            <w:gridSpan w:val="2"/>
            <w:shd w:val="clear" w:color="auto" w:fill="CCEEFF"/>
          </w:tcPr>
          <w:p>
            <w:pPr>
              <w:jc w:val="right"/>
              <w:ind w:right="42"/>
              <w:spacing w:after="0"/>
              <w:rPr>
                <w:sz w:val="20"/>
                <w:szCs w:val="20"/>
                <w:color w:val="auto"/>
              </w:rPr>
            </w:pPr>
            <w:r>
              <w:rPr>
                <w:rFonts w:ascii="Arial" w:cs="Arial" w:eastAsia="Arial" w:hAnsi="Arial"/>
                <w:sz w:val="17"/>
                <w:szCs w:val="17"/>
                <w:color w:val="auto"/>
              </w:rPr>
              <w:t>119,078,698</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40"/>
              <w:spacing w:after="0"/>
              <w:rPr>
                <w:sz w:val="20"/>
                <w:szCs w:val="20"/>
                <w:color w:val="auto"/>
              </w:rPr>
            </w:pPr>
            <w:r>
              <w:rPr>
                <w:rFonts w:ascii="Arial" w:cs="Arial" w:eastAsia="Arial" w:hAnsi="Arial"/>
                <w:sz w:val="17"/>
                <w:szCs w:val="17"/>
                <w:color w:val="auto"/>
              </w:rPr>
              <w:t>123,740</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4"/>
              </w:rPr>
              <w:t>(2,775,540)</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(676,605)</w:t>
            </w:r>
          </w:p>
        </w:tc>
        <w:tc>
          <w:tcPr>
            <w:tcW w:w="1220" w:type="dxa"/>
            <w:vAlign w:val="bottom"/>
            <w:shd w:val="clear" w:color="auto" w:fill="CCEEFF"/>
          </w:tcPr>
          <w:p>
            <w:pPr>
              <w:jc w:val="right"/>
              <w:ind w:right="100"/>
              <w:spacing w:after="0"/>
              <w:rPr>
                <w:sz w:val="20"/>
                <w:szCs w:val="20"/>
                <w:color w:val="auto"/>
              </w:rPr>
            </w:pPr>
            <w:r>
              <w:rPr>
                <w:rFonts w:ascii="Arial" w:cs="Arial" w:eastAsia="Arial" w:hAnsi="Arial"/>
                <w:sz w:val="17"/>
                <w:szCs w:val="17"/>
                <w:color w:val="auto"/>
              </w:rPr>
              <w:t>115,750,293</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8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Residential mortgage and other asset backed securities (1)</w:t>
            </w:r>
          </w:p>
        </w:tc>
        <w:tc>
          <w:tcPr>
            <w:tcW w:w="2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7"/>
                <w:szCs w:val="17"/>
                <w:color w:val="auto"/>
                <w:w w:val="93"/>
              </w:rPr>
              <w:t>21,790,973</w:t>
            </w: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7"/>
                <w:szCs w:val="17"/>
                <w:color w:val="auto"/>
              </w:rPr>
              <w:t>236,502</w:t>
            </w: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(231,229)</w:t>
            </w: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(331,012)</w:t>
            </w:r>
          </w:p>
        </w:tc>
        <w:tc>
          <w:tcPr>
            <w:tcW w:w="122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7"/>
                <w:szCs w:val="17"/>
                <w:color w:val="auto"/>
              </w:rPr>
              <w:t>21,465,234</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14.1%</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60" w:type="dxa"/>
            <w:vAlign w:val="bottom"/>
          </w:tcPr>
          <w:p>
            <w:pPr>
              <w:ind w:left="140"/>
              <w:spacing w:after="0"/>
              <w:rPr>
                <w:sz w:val="20"/>
                <w:szCs w:val="20"/>
                <w:color w:val="auto"/>
              </w:rPr>
            </w:pPr>
            <w:r>
              <w:rPr>
                <w:rFonts w:ascii="Arial" w:cs="Arial" w:eastAsia="Arial" w:hAnsi="Arial"/>
                <w:sz w:val="17"/>
                <w:szCs w:val="17"/>
                <w:color w:val="auto"/>
              </w:rPr>
              <w:t>Total fixed-maturity securities</w:t>
            </w:r>
          </w:p>
        </w:tc>
        <w:tc>
          <w:tcPr>
            <w:tcW w:w="1160" w:type="dxa"/>
            <w:vAlign w:val="bottom"/>
            <w:tcBorders>
              <w:bottom w:val="single" w:sz="8" w:color="auto"/>
            </w:tcBorders>
            <w:gridSpan w:val="2"/>
          </w:tcPr>
          <w:p>
            <w:pPr>
              <w:jc w:val="right"/>
              <w:ind w:right="42"/>
              <w:spacing w:after="0"/>
              <w:rPr>
                <w:sz w:val="20"/>
                <w:szCs w:val="20"/>
                <w:color w:val="auto"/>
              </w:rPr>
            </w:pPr>
            <w:r>
              <w:rPr>
                <w:rFonts w:ascii="Arial" w:cs="Arial" w:eastAsia="Arial" w:hAnsi="Arial"/>
                <w:sz w:val="17"/>
                <w:szCs w:val="17"/>
                <w:color w:val="auto"/>
                <w:w w:val="98"/>
              </w:rPr>
              <w:t>$155,431,261</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7"/>
                <w:szCs w:val="17"/>
                <w:color w:val="auto"/>
              </w:rPr>
              <w:t>437,476</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4"/>
              </w:rPr>
              <w:t>(3,047,096)</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4"/>
              </w:rPr>
              <w:t>(1,044,125)</w:t>
            </w:r>
          </w:p>
        </w:tc>
        <w:tc>
          <w:tcPr>
            <w:tcW w:w="1220" w:type="dxa"/>
            <w:vAlign w:val="bottom"/>
            <w:tcBorders>
              <w:bottom w:val="single" w:sz="8" w:color="auto"/>
            </w:tcBorders>
          </w:tcPr>
          <w:p>
            <w:pPr>
              <w:jc w:val="right"/>
              <w:ind w:right="100"/>
              <w:spacing w:after="0"/>
              <w:rPr>
                <w:sz w:val="20"/>
                <w:szCs w:val="20"/>
                <w:color w:val="auto"/>
              </w:rPr>
            </w:pPr>
            <w:r>
              <w:rPr>
                <w:rFonts w:ascii="Arial" w:cs="Arial" w:eastAsia="Arial" w:hAnsi="Arial"/>
                <w:sz w:val="17"/>
                <w:szCs w:val="17"/>
                <w:color w:val="auto"/>
                <w:w w:val="98"/>
              </w:rPr>
              <w:t>$151,777,516</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jc w:val="both"/>
        <w:ind w:left="640" w:right="40" w:hanging="321"/>
        <w:spacing w:after="0" w:line="265" w:lineRule="auto"/>
        <w:tabs>
          <w:tab w:leader="none" w:pos="744" w:val="left"/>
        </w:tabs>
        <w:numPr>
          <w:ilvl w:val="0"/>
          <w:numId w:val="19"/>
        </w:numPr>
        <w:rPr>
          <w:rFonts w:ascii="Arial" w:cs="Arial" w:eastAsia="Arial" w:hAnsi="Arial"/>
          <w:sz w:val="17"/>
          <w:szCs w:val="17"/>
          <w:color w:val="auto"/>
        </w:rPr>
      </w:pPr>
      <w:r>
        <w:rPr>
          <w:rFonts w:ascii="Arial" w:cs="Arial" w:eastAsia="Arial" w:hAnsi="Arial"/>
          <w:sz w:val="17"/>
          <w:szCs w:val="17"/>
          <w:color w:val="auto"/>
        </w:rPr>
        <w:t>In 2017, KICO placed certain residential mortgage backed securities as eligible collateral in a designated custodian account related to its relationship with the Federal Home Loan Bank of New York ("FHLBNY"). The eligible collateral would be pledged to FHLBNY if KICO draws an advance from FHBLNY. As of December 31, 2018, the estimated fair value of the eligible investments was $5,116,000. KICO will retain all rights regarding all securities if pledged as collateral. As of December 31, 2018, there was no outstanding balance on the FHLBNY credit line.</w:t>
      </w:r>
    </w:p>
    <w:p>
      <w:pPr>
        <w:spacing w:after="0" w:line="340"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25106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ectPr>
          <w:pgSz w:w="11900" w:h="16838" w:orient="portrait"/>
          <w:cols w:equalWidth="0" w:num="1">
            <w:col w:w="11460"/>
          </w:cols>
          <w:pgMar w:left="240" w:top="545" w:right="199" w:bottom="1440" w:gutter="0" w:footer="0" w:header="0"/>
        </w:sectPr>
      </w:pPr>
    </w:p>
    <w:bookmarkStart w:id="53" w:name="page54"/>
    <w:bookmarkEnd w:id="53"/>
    <w:p>
      <w:pPr>
        <w:ind w:left="640"/>
        <w:spacing w:after="0"/>
        <w:rPr>
          <w:sz w:val="20"/>
          <w:szCs w:val="20"/>
          <w:color w:val="auto"/>
        </w:rPr>
      </w:pPr>
      <w:r>
        <w:rPr>
          <w:rFonts w:ascii="Arial" w:cs="Arial" w:eastAsia="Arial" w:hAnsi="Arial"/>
          <w:sz w:val="17"/>
          <w:szCs w:val="17"/>
          <w:u w:val="single" w:color="auto"/>
          <w:color w:val="auto"/>
        </w:rPr>
        <w:t>Equity Securities</w:t>
      </w:r>
    </w:p>
    <w:p>
      <w:pPr>
        <w:spacing w:after="0" w:line="223" w:lineRule="exact"/>
        <w:rPr>
          <w:sz w:val="20"/>
          <w:szCs w:val="20"/>
          <w:color w:val="auto"/>
        </w:rPr>
      </w:pPr>
    </w:p>
    <w:p>
      <w:pPr>
        <w:ind w:right="60" w:firstLine="628"/>
        <w:spacing w:after="0" w:line="281" w:lineRule="auto"/>
        <w:rPr>
          <w:sz w:val="20"/>
          <w:szCs w:val="20"/>
          <w:color w:val="auto"/>
        </w:rPr>
      </w:pPr>
      <w:r>
        <w:rPr>
          <w:rFonts w:ascii="Arial" w:cs="Arial" w:eastAsia="Arial" w:hAnsi="Arial"/>
          <w:sz w:val="17"/>
          <w:szCs w:val="17"/>
          <w:color w:val="auto"/>
        </w:rPr>
        <w:t>The following table presents a breakdown of the cost, estimated fair value, and gross gains and losses of investments in equity securities as of March 31, 2019 and December 31, 2018:</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20" w:type="dxa"/>
            <w:vAlign w:val="bottom"/>
          </w:tcPr>
          <w:p>
            <w:pPr>
              <w:spacing w:after="0"/>
              <w:rPr>
                <w:sz w:val="15"/>
                <w:szCs w:val="15"/>
                <w:color w:val="auto"/>
              </w:rPr>
            </w:pPr>
          </w:p>
        </w:tc>
        <w:tc>
          <w:tcPr>
            <w:tcW w:w="384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March 31, 2019</w:t>
            </w:r>
          </w:p>
        </w:tc>
        <w:tc>
          <w:tcPr>
            <w:tcW w:w="1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center"/>
              <w:ind w:right="242"/>
              <w:spacing w:after="0"/>
              <w:rPr>
                <w:sz w:val="20"/>
                <w:szCs w:val="20"/>
                <w:color w:val="auto"/>
              </w:rPr>
            </w:pPr>
            <w:r>
              <w:rPr>
                <w:rFonts w:ascii="Arial" w:cs="Arial" w:eastAsia="Arial" w:hAnsi="Arial"/>
                <w:sz w:val="14"/>
                <w:szCs w:val="14"/>
                <w:b w:val="1"/>
                <w:bCs w:val="1"/>
                <w:color w:val="auto"/>
                <w:w w:val="92"/>
              </w:rPr>
              <w:t>Estimated</w:t>
            </w:r>
          </w:p>
        </w:tc>
        <w:tc>
          <w:tcPr>
            <w:tcW w:w="11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209"/>
        </w:trPr>
        <w:tc>
          <w:tcPr>
            <w:tcW w:w="386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Category</w:t>
            </w:r>
          </w:p>
        </w:tc>
        <w:tc>
          <w:tcPr>
            <w:tcW w:w="1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ind w:right="240"/>
              <w:spacing w:after="0"/>
              <w:rPr>
                <w:sz w:val="20"/>
                <w:szCs w:val="20"/>
                <w:color w:val="auto"/>
              </w:rPr>
            </w:pPr>
            <w:r>
              <w:rPr>
                <w:rFonts w:ascii="Arial" w:cs="Arial" w:eastAsia="Arial" w:hAnsi="Arial"/>
                <w:sz w:val="14"/>
                <w:szCs w:val="14"/>
                <w:b w:val="1"/>
                <w:bCs w:val="1"/>
                <w:color w:val="auto"/>
              </w:rPr>
              <w:t>Gross</w:t>
            </w:r>
          </w:p>
        </w:tc>
        <w:tc>
          <w:tcPr>
            <w:tcW w:w="320" w:type="dxa"/>
            <w:vAlign w:val="bottom"/>
          </w:tcPr>
          <w:p>
            <w:pPr>
              <w:spacing w:after="0"/>
              <w:rPr>
                <w:sz w:val="18"/>
                <w:szCs w:val="18"/>
                <w:color w:val="auto"/>
              </w:rPr>
            </w:pPr>
          </w:p>
        </w:tc>
        <w:tc>
          <w:tcPr>
            <w:tcW w:w="940" w:type="dxa"/>
            <w:vAlign w:val="bottom"/>
          </w:tcPr>
          <w:p>
            <w:pPr>
              <w:jc w:val="center"/>
              <w:ind w:right="220"/>
              <w:spacing w:after="0"/>
              <w:rPr>
                <w:sz w:val="20"/>
                <w:szCs w:val="20"/>
                <w:color w:val="auto"/>
              </w:rPr>
            </w:pPr>
            <w:r>
              <w:rPr>
                <w:rFonts w:ascii="Arial" w:cs="Arial" w:eastAsia="Arial" w:hAnsi="Arial"/>
                <w:sz w:val="14"/>
                <w:szCs w:val="14"/>
                <w:b w:val="1"/>
                <w:bCs w:val="1"/>
                <w:color w:val="auto"/>
                <w:w w:val="88"/>
              </w:rPr>
              <w:t>Gross</w:t>
            </w:r>
          </w:p>
        </w:tc>
        <w:tc>
          <w:tcPr>
            <w:tcW w:w="180" w:type="dxa"/>
            <w:vAlign w:val="bottom"/>
          </w:tcPr>
          <w:p>
            <w:pPr>
              <w:spacing w:after="0"/>
              <w:rPr>
                <w:sz w:val="18"/>
                <w:szCs w:val="18"/>
                <w:color w:val="auto"/>
              </w:rPr>
            </w:pPr>
          </w:p>
        </w:tc>
        <w:tc>
          <w:tcPr>
            <w:tcW w:w="980" w:type="dxa"/>
            <w:vAlign w:val="bottom"/>
          </w:tcPr>
          <w:p>
            <w:pPr>
              <w:jc w:val="center"/>
              <w:ind w:right="242"/>
              <w:spacing w:after="0"/>
              <w:rPr>
                <w:sz w:val="20"/>
                <w:szCs w:val="20"/>
                <w:color w:val="auto"/>
              </w:rPr>
            </w:pPr>
            <w:r>
              <w:rPr>
                <w:rFonts w:ascii="Arial" w:cs="Arial" w:eastAsia="Arial" w:hAnsi="Arial"/>
                <w:sz w:val="14"/>
                <w:szCs w:val="14"/>
                <w:b w:val="1"/>
                <w:bCs w:val="1"/>
                <w:color w:val="auto"/>
              </w:rPr>
              <w:t>Fair</w:t>
            </w:r>
          </w:p>
        </w:tc>
        <w:tc>
          <w:tcPr>
            <w:tcW w:w="11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Estimated</w:t>
            </w:r>
          </w:p>
        </w:tc>
        <w:tc>
          <w:tcPr>
            <w:tcW w:w="0" w:type="dxa"/>
            <w:vAlign w:val="bottom"/>
          </w:tcPr>
          <w:p>
            <w:pPr>
              <w:spacing w:after="0"/>
              <w:rPr>
                <w:sz w:val="1"/>
                <w:szCs w:val="1"/>
                <w:color w:val="auto"/>
              </w:rPr>
            </w:pPr>
          </w:p>
        </w:tc>
      </w:tr>
      <w:tr>
        <w:trPr>
          <w:trHeight w:val="200"/>
        </w:trPr>
        <w:tc>
          <w:tcPr>
            <w:tcW w:w="3860" w:type="dxa"/>
            <w:vAlign w:val="bottom"/>
            <w:gridSpan w:val="2"/>
            <w:vMerge w:val="continue"/>
          </w:tcPr>
          <w:p>
            <w:pPr>
              <w:spacing w:after="0"/>
              <w:rPr>
                <w:sz w:val="17"/>
                <w:szCs w:val="17"/>
                <w:color w:val="auto"/>
              </w:rPr>
            </w:pPr>
          </w:p>
        </w:tc>
        <w:tc>
          <w:tcPr>
            <w:tcW w:w="1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ind w:right="358"/>
              <w:spacing w:after="0"/>
              <w:rPr>
                <w:sz w:val="20"/>
                <w:szCs w:val="20"/>
                <w:color w:val="auto"/>
              </w:rPr>
            </w:pPr>
            <w:r>
              <w:rPr>
                <w:rFonts w:ascii="Arial" w:cs="Arial" w:eastAsia="Arial" w:hAnsi="Arial"/>
                <w:sz w:val="14"/>
                <w:szCs w:val="14"/>
                <w:b w:val="1"/>
                <w:bCs w:val="1"/>
                <w:color w:val="auto"/>
              </w:rPr>
              <w:t>Cost</w:t>
            </w:r>
          </w:p>
        </w:tc>
        <w:tc>
          <w:tcPr>
            <w:tcW w:w="280" w:type="dxa"/>
            <w:vAlign w:val="bottom"/>
          </w:tcPr>
          <w:p>
            <w:pPr>
              <w:spacing w:after="0"/>
              <w:rPr>
                <w:sz w:val="17"/>
                <w:szCs w:val="17"/>
                <w:color w:val="auto"/>
              </w:rPr>
            </w:pPr>
          </w:p>
        </w:tc>
        <w:tc>
          <w:tcPr>
            <w:tcW w:w="780" w:type="dxa"/>
            <w:vAlign w:val="bottom"/>
          </w:tcPr>
          <w:p>
            <w:pPr>
              <w:jc w:val="right"/>
              <w:ind w:right="240"/>
              <w:spacing w:after="0"/>
              <w:rPr>
                <w:sz w:val="20"/>
                <w:szCs w:val="20"/>
                <w:color w:val="auto"/>
              </w:rPr>
            </w:pPr>
            <w:r>
              <w:rPr>
                <w:rFonts w:ascii="Arial" w:cs="Arial" w:eastAsia="Arial" w:hAnsi="Arial"/>
                <w:sz w:val="14"/>
                <w:szCs w:val="14"/>
                <w:b w:val="1"/>
                <w:bCs w:val="1"/>
                <w:color w:val="auto"/>
              </w:rPr>
              <w:t>Gains</w:t>
            </w:r>
          </w:p>
        </w:tc>
        <w:tc>
          <w:tcPr>
            <w:tcW w:w="320" w:type="dxa"/>
            <w:vAlign w:val="bottom"/>
          </w:tcPr>
          <w:p>
            <w:pPr>
              <w:spacing w:after="0"/>
              <w:rPr>
                <w:sz w:val="17"/>
                <w:szCs w:val="17"/>
                <w:color w:val="auto"/>
              </w:rPr>
            </w:pPr>
          </w:p>
        </w:tc>
        <w:tc>
          <w:tcPr>
            <w:tcW w:w="940" w:type="dxa"/>
            <w:vAlign w:val="bottom"/>
          </w:tcPr>
          <w:p>
            <w:pPr>
              <w:jc w:val="center"/>
              <w:ind w:right="220"/>
              <w:spacing w:after="0"/>
              <w:rPr>
                <w:sz w:val="20"/>
                <w:szCs w:val="20"/>
                <w:color w:val="auto"/>
              </w:rPr>
            </w:pPr>
            <w:r>
              <w:rPr>
                <w:rFonts w:ascii="Arial" w:cs="Arial" w:eastAsia="Arial" w:hAnsi="Arial"/>
                <w:sz w:val="14"/>
                <w:szCs w:val="14"/>
                <w:b w:val="1"/>
                <w:bCs w:val="1"/>
                <w:color w:val="auto"/>
                <w:w w:val="82"/>
              </w:rPr>
              <w:t>Losses</w:t>
            </w:r>
          </w:p>
        </w:tc>
        <w:tc>
          <w:tcPr>
            <w:tcW w:w="180" w:type="dxa"/>
            <w:vAlign w:val="bottom"/>
          </w:tcPr>
          <w:p>
            <w:pPr>
              <w:spacing w:after="0"/>
              <w:rPr>
                <w:sz w:val="17"/>
                <w:szCs w:val="17"/>
                <w:color w:val="auto"/>
              </w:rPr>
            </w:pPr>
          </w:p>
        </w:tc>
        <w:tc>
          <w:tcPr>
            <w:tcW w:w="980" w:type="dxa"/>
            <w:vAlign w:val="bottom"/>
          </w:tcPr>
          <w:p>
            <w:pPr>
              <w:jc w:val="center"/>
              <w:ind w:right="242"/>
              <w:spacing w:after="0"/>
              <w:rPr>
                <w:sz w:val="20"/>
                <w:szCs w:val="20"/>
                <w:color w:val="auto"/>
              </w:rPr>
            </w:pPr>
            <w:r>
              <w:rPr>
                <w:rFonts w:ascii="Arial" w:cs="Arial" w:eastAsia="Arial" w:hAnsi="Arial"/>
                <w:sz w:val="14"/>
                <w:szCs w:val="14"/>
                <w:b w:val="1"/>
                <w:bCs w:val="1"/>
                <w:color w:val="auto"/>
                <w:w w:val="90"/>
              </w:rPr>
              <w:t>Value</w:t>
            </w:r>
          </w:p>
        </w:tc>
        <w:tc>
          <w:tcPr>
            <w:tcW w:w="11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469"/>
        </w:trPr>
        <w:tc>
          <w:tcPr>
            <w:tcW w:w="3860" w:type="dxa"/>
            <w:vAlign w:val="bottom"/>
            <w:tcBorders>
              <w:top w:val="single" w:sz="8" w:color="auto"/>
            </w:tcBorders>
            <w:gridSpan w:val="2"/>
          </w:tcPr>
          <w:p>
            <w:pPr>
              <w:spacing w:after="0"/>
              <w:rPr>
                <w:sz w:val="20"/>
                <w:szCs w:val="20"/>
                <w:color w:val="auto"/>
              </w:rPr>
            </w:pPr>
            <w:r>
              <w:rPr>
                <w:rFonts w:ascii="Arial" w:cs="Arial" w:eastAsia="Arial" w:hAnsi="Arial"/>
                <w:sz w:val="17"/>
                <w:szCs w:val="17"/>
                <w:b w:val="1"/>
                <w:bCs w:val="1"/>
                <w:color w:val="auto"/>
              </w:rPr>
              <w:t>Equity Securities:</w:t>
            </w:r>
          </w:p>
        </w:tc>
        <w:tc>
          <w:tcPr>
            <w:tcW w:w="186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7"/>
                <w:szCs w:val="17"/>
                <w:color w:val="auto"/>
              </w:rPr>
              <w:t>Preferred stocks</w:t>
            </w:r>
          </w:p>
        </w:tc>
        <w:tc>
          <w:tcPr>
            <w:tcW w:w="21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ind w:right="38"/>
              <w:spacing w:after="0"/>
              <w:rPr>
                <w:sz w:val="20"/>
                <w:szCs w:val="20"/>
                <w:color w:val="auto"/>
              </w:rPr>
            </w:pPr>
            <w:r>
              <w:rPr>
                <w:rFonts w:ascii="Arial" w:cs="Arial" w:eastAsia="Arial" w:hAnsi="Arial"/>
                <w:sz w:val="17"/>
                <w:szCs w:val="17"/>
                <w:color w:val="auto"/>
              </w:rPr>
              <w:t>7,882,618</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109,135</w:t>
            </w: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ind w:right="20"/>
              <w:spacing w:after="0"/>
              <w:rPr>
                <w:sz w:val="20"/>
                <w:szCs w:val="20"/>
                <w:color w:val="auto"/>
              </w:rPr>
            </w:pPr>
            <w:r>
              <w:rPr>
                <w:rFonts w:ascii="Arial" w:cs="Arial" w:eastAsia="Arial" w:hAnsi="Arial"/>
                <w:sz w:val="17"/>
                <w:szCs w:val="17"/>
                <w:color w:val="auto"/>
              </w:rPr>
              <w:t>(101,961)</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ind w:right="102"/>
              <w:spacing w:after="0"/>
              <w:rPr>
                <w:sz w:val="20"/>
                <w:szCs w:val="20"/>
                <w:color w:val="auto"/>
              </w:rPr>
            </w:pPr>
            <w:r>
              <w:rPr>
                <w:rFonts w:ascii="Arial" w:cs="Arial" w:eastAsia="Arial" w:hAnsi="Arial"/>
                <w:sz w:val="17"/>
                <w:szCs w:val="17"/>
                <w:color w:val="auto"/>
              </w:rPr>
              <w:t>7,889,792</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7"/>
                <w:szCs w:val="17"/>
                <w:color w:val="auto"/>
              </w:rPr>
              <w:t>Common stocks and exchange</w:t>
            </w:r>
          </w:p>
        </w:tc>
        <w:tc>
          <w:tcPr>
            <w:tcW w:w="1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8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traded mutual funds</w:t>
            </w:r>
          </w:p>
        </w:tc>
        <w:tc>
          <w:tcPr>
            <w:tcW w:w="18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7"/>
                <w:szCs w:val="17"/>
                <w:color w:val="auto"/>
                <w:w w:val="91"/>
              </w:rPr>
              <w:t>11,763,863</w:t>
            </w:r>
          </w:p>
        </w:tc>
        <w:tc>
          <w:tcPr>
            <w:tcW w:w="2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679,795</w:t>
            </w:r>
          </w:p>
        </w:tc>
        <w:tc>
          <w:tcPr>
            <w:tcW w:w="3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7"/>
                <w:szCs w:val="17"/>
                <w:color w:val="auto"/>
              </w:rPr>
              <w:t>(669,463)</w:t>
            </w:r>
          </w:p>
        </w:tc>
        <w:tc>
          <w:tcPr>
            <w:tcW w:w="1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02"/>
              <w:spacing w:after="0"/>
              <w:rPr>
                <w:sz w:val="20"/>
                <w:szCs w:val="20"/>
                <w:color w:val="auto"/>
              </w:rPr>
            </w:pPr>
            <w:r>
              <w:rPr>
                <w:rFonts w:ascii="Arial" w:cs="Arial" w:eastAsia="Arial" w:hAnsi="Arial"/>
                <w:sz w:val="17"/>
                <w:szCs w:val="17"/>
                <w:color w:val="auto"/>
                <w:w w:val="91"/>
              </w:rPr>
              <w:t>11,774,195</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59.9%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7"/>
                <w:szCs w:val="17"/>
                <w:color w:val="auto"/>
              </w:rPr>
              <w:t>Total</w:t>
            </w:r>
          </w:p>
        </w:tc>
        <w:tc>
          <w:tcPr>
            <w:tcW w:w="21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20" w:type="dxa"/>
            <w:vAlign w:val="bottom"/>
          </w:tcPr>
          <w:p>
            <w:pPr>
              <w:jc w:val="right"/>
              <w:ind w:right="38"/>
              <w:spacing w:after="0"/>
              <w:rPr>
                <w:sz w:val="20"/>
                <w:szCs w:val="20"/>
                <w:color w:val="auto"/>
              </w:rPr>
            </w:pPr>
            <w:r>
              <w:rPr>
                <w:rFonts w:ascii="Arial" w:cs="Arial" w:eastAsia="Arial" w:hAnsi="Arial"/>
                <w:sz w:val="17"/>
                <w:szCs w:val="17"/>
                <w:color w:val="auto"/>
                <w:w w:val="91"/>
              </w:rPr>
              <w:t>19,646,481</w:t>
            </w:r>
          </w:p>
        </w:tc>
        <w:tc>
          <w:tcPr>
            <w:tcW w:w="280" w:type="dxa"/>
            <w:vAlign w:val="bottom"/>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788,930</w:t>
            </w:r>
          </w:p>
        </w:tc>
        <w:tc>
          <w:tcPr>
            <w:tcW w:w="320" w:type="dxa"/>
            <w:vAlign w:val="bottom"/>
          </w:tcPr>
          <w:p>
            <w:pPr>
              <w:jc w:val="right"/>
              <w:spacing w:after="0"/>
              <w:rPr>
                <w:sz w:val="20"/>
                <w:szCs w:val="20"/>
                <w:color w:val="auto"/>
              </w:rPr>
            </w:pPr>
            <w:r>
              <w:rPr>
                <w:rFonts w:ascii="Arial" w:cs="Arial" w:eastAsia="Arial" w:hAnsi="Arial"/>
                <w:sz w:val="17"/>
                <w:szCs w:val="17"/>
                <w:color w:val="auto"/>
              </w:rPr>
              <w:t>$</w:t>
            </w:r>
          </w:p>
        </w:tc>
        <w:tc>
          <w:tcPr>
            <w:tcW w:w="940" w:type="dxa"/>
            <w:vAlign w:val="bottom"/>
          </w:tcPr>
          <w:p>
            <w:pPr>
              <w:jc w:val="right"/>
              <w:ind w:right="20"/>
              <w:spacing w:after="0"/>
              <w:rPr>
                <w:sz w:val="20"/>
                <w:szCs w:val="20"/>
                <w:color w:val="auto"/>
              </w:rPr>
            </w:pPr>
            <w:r>
              <w:rPr>
                <w:rFonts w:ascii="Arial" w:cs="Arial" w:eastAsia="Arial" w:hAnsi="Arial"/>
                <w:sz w:val="17"/>
                <w:szCs w:val="17"/>
                <w:color w:val="auto"/>
              </w:rPr>
              <w:t>(771,424)</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980" w:type="dxa"/>
            <w:vAlign w:val="bottom"/>
          </w:tcPr>
          <w:p>
            <w:pPr>
              <w:jc w:val="right"/>
              <w:ind w:right="102"/>
              <w:spacing w:after="0"/>
              <w:rPr>
                <w:sz w:val="20"/>
                <w:szCs w:val="20"/>
                <w:color w:val="auto"/>
              </w:rPr>
            </w:pPr>
            <w:r>
              <w:rPr>
                <w:rFonts w:ascii="Arial" w:cs="Arial" w:eastAsia="Arial" w:hAnsi="Arial"/>
                <w:sz w:val="17"/>
                <w:szCs w:val="17"/>
                <w:color w:val="auto"/>
                <w:w w:val="91"/>
              </w:rPr>
              <w:t>19,663,987</w:t>
            </w:r>
          </w:p>
        </w:tc>
        <w:tc>
          <w:tcPr>
            <w:tcW w:w="1060" w:type="dxa"/>
            <w:vAlign w:val="bottom"/>
          </w:tcPr>
          <w:p>
            <w:pPr>
              <w:jc w:val="right"/>
              <w:spacing w:after="0"/>
              <w:rPr>
                <w:sz w:val="20"/>
                <w:szCs w:val="20"/>
                <w:color w:val="auto"/>
              </w:rPr>
            </w:pPr>
            <w:r>
              <w:rPr>
                <w:rFonts w:ascii="Arial" w:cs="Arial" w:eastAsia="Arial" w:hAnsi="Arial"/>
                <w:sz w:val="17"/>
                <w:szCs w:val="17"/>
                <w:color w:val="auto"/>
              </w:rPr>
              <w:t>100.0%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2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December 31, 2018</w:t>
            </w: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center"/>
              <w:ind w:right="242"/>
              <w:spacing w:after="0"/>
              <w:rPr>
                <w:sz w:val="20"/>
                <w:szCs w:val="20"/>
                <w:color w:val="auto"/>
              </w:rPr>
            </w:pPr>
            <w:r>
              <w:rPr>
                <w:rFonts w:ascii="Arial" w:cs="Arial" w:eastAsia="Arial" w:hAnsi="Arial"/>
                <w:sz w:val="14"/>
                <w:szCs w:val="14"/>
                <w:b w:val="1"/>
                <w:bCs w:val="1"/>
                <w:color w:val="auto"/>
                <w:w w:val="92"/>
              </w:rPr>
              <w:t>Estimated</w:t>
            </w:r>
          </w:p>
        </w:tc>
        <w:tc>
          <w:tcPr>
            <w:tcW w:w="11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209"/>
        </w:trPr>
        <w:tc>
          <w:tcPr>
            <w:tcW w:w="386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Category</w:t>
            </w:r>
          </w:p>
        </w:tc>
        <w:tc>
          <w:tcPr>
            <w:tcW w:w="1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ind w:right="240"/>
              <w:spacing w:after="0"/>
              <w:rPr>
                <w:sz w:val="20"/>
                <w:szCs w:val="20"/>
                <w:color w:val="auto"/>
              </w:rPr>
            </w:pPr>
            <w:r>
              <w:rPr>
                <w:rFonts w:ascii="Arial" w:cs="Arial" w:eastAsia="Arial" w:hAnsi="Arial"/>
                <w:sz w:val="14"/>
                <w:szCs w:val="14"/>
                <w:b w:val="1"/>
                <w:bCs w:val="1"/>
                <w:color w:val="auto"/>
              </w:rPr>
              <w:t>Gross</w:t>
            </w:r>
          </w:p>
        </w:tc>
        <w:tc>
          <w:tcPr>
            <w:tcW w:w="320" w:type="dxa"/>
            <w:vAlign w:val="bottom"/>
          </w:tcPr>
          <w:p>
            <w:pPr>
              <w:spacing w:after="0"/>
              <w:rPr>
                <w:sz w:val="18"/>
                <w:szCs w:val="18"/>
                <w:color w:val="auto"/>
              </w:rPr>
            </w:pPr>
          </w:p>
        </w:tc>
        <w:tc>
          <w:tcPr>
            <w:tcW w:w="940" w:type="dxa"/>
            <w:vAlign w:val="bottom"/>
          </w:tcPr>
          <w:p>
            <w:pPr>
              <w:jc w:val="center"/>
              <w:ind w:right="220"/>
              <w:spacing w:after="0"/>
              <w:rPr>
                <w:sz w:val="20"/>
                <w:szCs w:val="20"/>
                <w:color w:val="auto"/>
              </w:rPr>
            </w:pPr>
            <w:r>
              <w:rPr>
                <w:rFonts w:ascii="Arial" w:cs="Arial" w:eastAsia="Arial" w:hAnsi="Arial"/>
                <w:sz w:val="14"/>
                <w:szCs w:val="14"/>
                <w:b w:val="1"/>
                <w:bCs w:val="1"/>
                <w:color w:val="auto"/>
                <w:w w:val="88"/>
              </w:rPr>
              <w:t>Gross</w:t>
            </w:r>
          </w:p>
        </w:tc>
        <w:tc>
          <w:tcPr>
            <w:tcW w:w="180" w:type="dxa"/>
            <w:vAlign w:val="bottom"/>
          </w:tcPr>
          <w:p>
            <w:pPr>
              <w:spacing w:after="0"/>
              <w:rPr>
                <w:sz w:val="18"/>
                <w:szCs w:val="18"/>
                <w:color w:val="auto"/>
              </w:rPr>
            </w:pPr>
          </w:p>
        </w:tc>
        <w:tc>
          <w:tcPr>
            <w:tcW w:w="980" w:type="dxa"/>
            <w:vAlign w:val="bottom"/>
          </w:tcPr>
          <w:p>
            <w:pPr>
              <w:jc w:val="center"/>
              <w:ind w:right="242"/>
              <w:spacing w:after="0"/>
              <w:rPr>
                <w:sz w:val="20"/>
                <w:szCs w:val="20"/>
                <w:color w:val="auto"/>
              </w:rPr>
            </w:pPr>
            <w:r>
              <w:rPr>
                <w:rFonts w:ascii="Arial" w:cs="Arial" w:eastAsia="Arial" w:hAnsi="Arial"/>
                <w:sz w:val="14"/>
                <w:szCs w:val="14"/>
                <w:b w:val="1"/>
                <w:bCs w:val="1"/>
                <w:color w:val="auto"/>
              </w:rPr>
              <w:t>Fair</w:t>
            </w:r>
          </w:p>
        </w:tc>
        <w:tc>
          <w:tcPr>
            <w:tcW w:w="11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Estimated</w:t>
            </w:r>
          </w:p>
        </w:tc>
        <w:tc>
          <w:tcPr>
            <w:tcW w:w="0" w:type="dxa"/>
            <w:vAlign w:val="bottom"/>
          </w:tcPr>
          <w:p>
            <w:pPr>
              <w:spacing w:after="0"/>
              <w:rPr>
                <w:sz w:val="1"/>
                <w:szCs w:val="1"/>
                <w:color w:val="auto"/>
              </w:rPr>
            </w:pPr>
          </w:p>
        </w:tc>
      </w:tr>
      <w:tr>
        <w:trPr>
          <w:trHeight w:val="200"/>
        </w:trPr>
        <w:tc>
          <w:tcPr>
            <w:tcW w:w="3860" w:type="dxa"/>
            <w:vAlign w:val="bottom"/>
            <w:gridSpan w:val="2"/>
            <w:vMerge w:val="continue"/>
          </w:tcPr>
          <w:p>
            <w:pPr>
              <w:spacing w:after="0"/>
              <w:rPr>
                <w:sz w:val="17"/>
                <w:szCs w:val="17"/>
                <w:color w:val="auto"/>
              </w:rPr>
            </w:pPr>
          </w:p>
        </w:tc>
        <w:tc>
          <w:tcPr>
            <w:tcW w:w="1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ind w:right="358"/>
              <w:spacing w:after="0"/>
              <w:rPr>
                <w:sz w:val="20"/>
                <w:szCs w:val="20"/>
                <w:color w:val="auto"/>
              </w:rPr>
            </w:pPr>
            <w:r>
              <w:rPr>
                <w:rFonts w:ascii="Arial" w:cs="Arial" w:eastAsia="Arial" w:hAnsi="Arial"/>
                <w:sz w:val="14"/>
                <w:szCs w:val="14"/>
                <w:b w:val="1"/>
                <w:bCs w:val="1"/>
                <w:color w:val="auto"/>
              </w:rPr>
              <w:t>Cost</w:t>
            </w:r>
          </w:p>
        </w:tc>
        <w:tc>
          <w:tcPr>
            <w:tcW w:w="280" w:type="dxa"/>
            <w:vAlign w:val="bottom"/>
          </w:tcPr>
          <w:p>
            <w:pPr>
              <w:spacing w:after="0"/>
              <w:rPr>
                <w:sz w:val="17"/>
                <w:szCs w:val="17"/>
                <w:color w:val="auto"/>
              </w:rPr>
            </w:pPr>
          </w:p>
        </w:tc>
        <w:tc>
          <w:tcPr>
            <w:tcW w:w="780" w:type="dxa"/>
            <w:vAlign w:val="bottom"/>
          </w:tcPr>
          <w:p>
            <w:pPr>
              <w:jc w:val="right"/>
              <w:ind w:right="240"/>
              <w:spacing w:after="0"/>
              <w:rPr>
                <w:sz w:val="20"/>
                <w:szCs w:val="20"/>
                <w:color w:val="auto"/>
              </w:rPr>
            </w:pPr>
            <w:r>
              <w:rPr>
                <w:rFonts w:ascii="Arial" w:cs="Arial" w:eastAsia="Arial" w:hAnsi="Arial"/>
                <w:sz w:val="14"/>
                <w:szCs w:val="14"/>
                <w:b w:val="1"/>
                <w:bCs w:val="1"/>
                <w:color w:val="auto"/>
              </w:rPr>
              <w:t>Gains</w:t>
            </w:r>
          </w:p>
        </w:tc>
        <w:tc>
          <w:tcPr>
            <w:tcW w:w="320" w:type="dxa"/>
            <w:vAlign w:val="bottom"/>
          </w:tcPr>
          <w:p>
            <w:pPr>
              <w:spacing w:after="0"/>
              <w:rPr>
                <w:sz w:val="17"/>
                <w:szCs w:val="17"/>
                <w:color w:val="auto"/>
              </w:rPr>
            </w:pPr>
          </w:p>
        </w:tc>
        <w:tc>
          <w:tcPr>
            <w:tcW w:w="940" w:type="dxa"/>
            <w:vAlign w:val="bottom"/>
          </w:tcPr>
          <w:p>
            <w:pPr>
              <w:jc w:val="center"/>
              <w:ind w:right="220"/>
              <w:spacing w:after="0"/>
              <w:rPr>
                <w:sz w:val="20"/>
                <w:szCs w:val="20"/>
                <w:color w:val="auto"/>
              </w:rPr>
            </w:pPr>
            <w:r>
              <w:rPr>
                <w:rFonts w:ascii="Arial" w:cs="Arial" w:eastAsia="Arial" w:hAnsi="Arial"/>
                <w:sz w:val="14"/>
                <w:szCs w:val="14"/>
                <w:b w:val="1"/>
                <w:bCs w:val="1"/>
                <w:color w:val="auto"/>
                <w:w w:val="82"/>
              </w:rPr>
              <w:t>Losses</w:t>
            </w:r>
          </w:p>
        </w:tc>
        <w:tc>
          <w:tcPr>
            <w:tcW w:w="180" w:type="dxa"/>
            <w:vAlign w:val="bottom"/>
          </w:tcPr>
          <w:p>
            <w:pPr>
              <w:spacing w:after="0"/>
              <w:rPr>
                <w:sz w:val="17"/>
                <w:szCs w:val="17"/>
                <w:color w:val="auto"/>
              </w:rPr>
            </w:pPr>
          </w:p>
        </w:tc>
        <w:tc>
          <w:tcPr>
            <w:tcW w:w="980" w:type="dxa"/>
            <w:vAlign w:val="bottom"/>
          </w:tcPr>
          <w:p>
            <w:pPr>
              <w:jc w:val="center"/>
              <w:ind w:right="242"/>
              <w:spacing w:after="0"/>
              <w:rPr>
                <w:sz w:val="20"/>
                <w:szCs w:val="20"/>
                <w:color w:val="auto"/>
              </w:rPr>
            </w:pPr>
            <w:r>
              <w:rPr>
                <w:rFonts w:ascii="Arial" w:cs="Arial" w:eastAsia="Arial" w:hAnsi="Arial"/>
                <w:sz w:val="14"/>
                <w:szCs w:val="14"/>
                <w:b w:val="1"/>
                <w:bCs w:val="1"/>
                <w:color w:val="auto"/>
                <w:w w:val="90"/>
              </w:rPr>
              <w:t>Value</w:t>
            </w:r>
          </w:p>
        </w:tc>
        <w:tc>
          <w:tcPr>
            <w:tcW w:w="11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469"/>
        </w:trPr>
        <w:tc>
          <w:tcPr>
            <w:tcW w:w="3860" w:type="dxa"/>
            <w:vAlign w:val="bottom"/>
            <w:tcBorders>
              <w:top w:val="single" w:sz="8" w:color="auto"/>
            </w:tcBorders>
            <w:gridSpan w:val="2"/>
          </w:tcPr>
          <w:p>
            <w:pPr>
              <w:spacing w:after="0"/>
              <w:rPr>
                <w:sz w:val="20"/>
                <w:szCs w:val="20"/>
                <w:color w:val="auto"/>
              </w:rPr>
            </w:pPr>
            <w:r>
              <w:rPr>
                <w:rFonts w:ascii="Arial" w:cs="Arial" w:eastAsia="Arial" w:hAnsi="Arial"/>
                <w:sz w:val="17"/>
                <w:szCs w:val="17"/>
                <w:b w:val="1"/>
                <w:bCs w:val="1"/>
                <w:color w:val="auto"/>
              </w:rPr>
              <w:t>Equity Securities:</w:t>
            </w:r>
          </w:p>
        </w:tc>
        <w:tc>
          <w:tcPr>
            <w:tcW w:w="186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7"/>
                <w:szCs w:val="17"/>
                <w:color w:val="auto"/>
              </w:rPr>
              <w:t>Preferred stocks</w:t>
            </w:r>
          </w:p>
        </w:tc>
        <w:tc>
          <w:tcPr>
            <w:tcW w:w="21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ind w:right="38"/>
              <w:spacing w:after="0"/>
              <w:rPr>
                <w:sz w:val="20"/>
                <w:szCs w:val="20"/>
                <w:color w:val="auto"/>
              </w:rPr>
            </w:pPr>
            <w:r>
              <w:rPr>
                <w:rFonts w:ascii="Arial" w:cs="Arial" w:eastAsia="Arial" w:hAnsi="Arial"/>
                <w:sz w:val="17"/>
                <w:szCs w:val="17"/>
                <w:color w:val="auto"/>
              </w:rPr>
              <w:t>6,694,754</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ind w:right="20"/>
              <w:spacing w:after="0"/>
              <w:rPr>
                <w:sz w:val="20"/>
                <w:szCs w:val="20"/>
                <w:color w:val="auto"/>
              </w:rPr>
            </w:pPr>
            <w:r>
              <w:rPr>
                <w:rFonts w:ascii="Arial" w:cs="Arial" w:eastAsia="Arial" w:hAnsi="Arial"/>
                <w:sz w:val="17"/>
                <w:szCs w:val="17"/>
                <w:color w:val="auto"/>
              </w:rPr>
              <w:t>(541,798)</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ind w:right="102"/>
              <w:spacing w:after="0"/>
              <w:rPr>
                <w:sz w:val="20"/>
                <w:szCs w:val="20"/>
                <w:color w:val="auto"/>
              </w:rPr>
            </w:pPr>
            <w:r>
              <w:rPr>
                <w:rFonts w:ascii="Arial" w:cs="Arial" w:eastAsia="Arial" w:hAnsi="Arial"/>
                <w:sz w:val="17"/>
                <w:szCs w:val="17"/>
                <w:color w:val="auto"/>
              </w:rPr>
              <w:t>6,152,956</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7"/>
                <w:szCs w:val="17"/>
                <w:color w:val="auto"/>
              </w:rPr>
              <w:t>Common stocks and exchange</w:t>
            </w:r>
          </w:p>
        </w:tc>
        <w:tc>
          <w:tcPr>
            <w:tcW w:w="1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8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traded mutual funds</w:t>
            </w:r>
          </w:p>
        </w:tc>
        <w:tc>
          <w:tcPr>
            <w:tcW w:w="18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7"/>
                <w:szCs w:val="17"/>
                <w:color w:val="auto"/>
                <w:w w:val="91"/>
              </w:rPr>
              <w:t>11,611,232</w:t>
            </w:r>
          </w:p>
        </w:tc>
        <w:tc>
          <w:tcPr>
            <w:tcW w:w="2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99,817</w:t>
            </w:r>
          </w:p>
        </w:tc>
        <w:tc>
          <w:tcPr>
            <w:tcW w:w="3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7"/>
                <w:szCs w:val="17"/>
                <w:color w:val="auto"/>
                <w:w w:val="94"/>
              </w:rPr>
              <w:t>(1,291,389)</w:t>
            </w:r>
          </w:p>
        </w:tc>
        <w:tc>
          <w:tcPr>
            <w:tcW w:w="1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02"/>
              <w:spacing w:after="0"/>
              <w:rPr>
                <w:sz w:val="20"/>
                <w:szCs w:val="20"/>
                <w:color w:val="auto"/>
              </w:rPr>
            </w:pPr>
            <w:r>
              <w:rPr>
                <w:rFonts w:ascii="Arial" w:cs="Arial" w:eastAsia="Arial" w:hAnsi="Arial"/>
                <w:sz w:val="17"/>
                <w:szCs w:val="17"/>
                <w:color w:val="auto"/>
                <w:w w:val="91"/>
              </w:rPr>
              <w:t>10,419,660</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62.9%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7"/>
                <w:szCs w:val="17"/>
                <w:color w:val="auto"/>
              </w:rPr>
              <w:t>Total</w:t>
            </w:r>
          </w:p>
        </w:tc>
        <w:tc>
          <w:tcPr>
            <w:tcW w:w="1860" w:type="dxa"/>
            <w:vAlign w:val="bottom"/>
          </w:tcPr>
          <w:p>
            <w:pPr>
              <w:spacing w:after="0"/>
              <w:rPr>
                <w:sz w:val="18"/>
                <w:szCs w:val="18"/>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tcPr>
          <w:p>
            <w:pPr>
              <w:jc w:val="right"/>
              <w:ind w:right="38"/>
              <w:spacing w:after="0"/>
              <w:rPr>
                <w:sz w:val="20"/>
                <w:szCs w:val="20"/>
                <w:color w:val="auto"/>
              </w:rPr>
            </w:pPr>
            <w:r>
              <w:rPr>
                <w:rFonts w:ascii="Arial" w:cs="Arial" w:eastAsia="Arial" w:hAnsi="Arial"/>
                <w:sz w:val="17"/>
                <w:szCs w:val="17"/>
                <w:color w:val="auto"/>
                <w:w w:val="91"/>
              </w:rPr>
              <w:t>18,305,986</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99,817</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7"/>
                <w:szCs w:val="17"/>
                <w:color w:val="auto"/>
                <w:w w:val="94"/>
              </w:rPr>
              <w:t>(1,833,187)</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tcPr>
          <w:p>
            <w:pPr>
              <w:jc w:val="right"/>
              <w:ind w:right="102"/>
              <w:spacing w:after="0"/>
              <w:rPr>
                <w:sz w:val="20"/>
                <w:szCs w:val="20"/>
                <w:color w:val="auto"/>
              </w:rPr>
            </w:pPr>
            <w:r>
              <w:rPr>
                <w:rFonts w:ascii="Arial" w:cs="Arial" w:eastAsia="Arial" w:hAnsi="Arial"/>
                <w:sz w:val="17"/>
                <w:szCs w:val="17"/>
                <w:color w:val="auto"/>
                <w:w w:val="91"/>
              </w:rPr>
              <w:t>16,572,616</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7"/>
        </w:trPr>
        <w:tc>
          <w:tcPr>
            <w:tcW w:w="20" w:type="dxa"/>
            <w:vAlign w:val="bottom"/>
          </w:tcPr>
          <w:p>
            <w:pPr>
              <w:spacing w:after="0"/>
              <w:rPr>
                <w:sz w:val="24"/>
                <w:szCs w:val="24"/>
                <w:color w:val="auto"/>
              </w:rPr>
            </w:pPr>
          </w:p>
        </w:tc>
        <w:tc>
          <w:tcPr>
            <w:tcW w:w="384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2"/>
          </w:tcPr>
          <w:p>
            <w:pPr>
              <w:jc w:val="right"/>
              <w:ind w:right="75"/>
              <w:spacing w:after="0"/>
              <w:rPr>
                <w:sz w:val="20"/>
                <w:szCs w:val="20"/>
                <w:color w:val="auto"/>
              </w:rPr>
            </w:pPr>
            <w:r>
              <w:rPr>
                <w:rFonts w:ascii="Arial" w:cs="Arial" w:eastAsia="Arial" w:hAnsi="Arial"/>
                <w:sz w:val="17"/>
                <w:szCs w:val="17"/>
                <w:color w:val="auto"/>
              </w:rPr>
              <w:t>54</w:t>
            </w:r>
          </w:p>
        </w:tc>
        <w:tc>
          <w:tcPr>
            <w:tcW w:w="9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497" w:right="199" w:bottom="1440" w:gutter="0" w:footer="0" w:header="0"/>
        </w:sectPr>
      </w:pPr>
    </w:p>
    <w:bookmarkStart w:id="54" w:name="page55"/>
    <w:bookmarkEnd w:id="54"/>
    <w:p>
      <w:pPr>
        <w:ind w:left="640"/>
        <w:spacing w:after="0"/>
        <w:rPr>
          <w:sz w:val="20"/>
          <w:szCs w:val="20"/>
          <w:color w:val="auto"/>
        </w:rPr>
      </w:pPr>
      <w:r>
        <w:rPr>
          <w:rFonts w:ascii="Arial" w:cs="Arial" w:eastAsia="Arial" w:hAnsi="Arial"/>
          <w:sz w:val="17"/>
          <w:szCs w:val="17"/>
          <w:u w:val="single" w:color="auto"/>
          <w:color w:val="auto"/>
        </w:rPr>
        <w:t>Other Investments</w:t>
      </w:r>
    </w:p>
    <w:p>
      <w:pPr>
        <w:spacing w:after="0" w:line="223" w:lineRule="exact"/>
        <w:rPr>
          <w:sz w:val="20"/>
          <w:szCs w:val="20"/>
          <w:color w:val="auto"/>
        </w:rPr>
      </w:pPr>
    </w:p>
    <w:p>
      <w:pPr>
        <w:jc w:val="both"/>
        <w:ind w:right="40" w:firstLine="628"/>
        <w:spacing w:after="0" w:line="269" w:lineRule="auto"/>
        <w:rPr>
          <w:sz w:val="20"/>
          <w:szCs w:val="20"/>
          <w:color w:val="auto"/>
        </w:rPr>
      </w:pPr>
      <w:r>
        <w:rPr>
          <w:rFonts w:ascii="Arial" w:cs="Arial" w:eastAsia="Arial" w:hAnsi="Arial"/>
          <w:sz w:val="17"/>
          <w:szCs w:val="17"/>
          <w:color w:val="auto"/>
        </w:rPr>
        <w:t>Pursuant to ASC 820 “Fair Value Measurement,” an entity is permitted, as a practical expedient, to estimate the fair value of an investment within the scope of ASC 820 using the net asset value (“NAV”) per share (or its equivalent) of the investment. The following table presents a breakdown of the cost, estimated fair value, and gross gains of our other investments as of March 31, 2019 and December 31, 2018:</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20" w:type="dxa"/>
            <w:vAlign w:val="bottom"/>
          </w:tcPr>
          <w:p>
            <w:pPr>
              <w:spacing w:after="0"/>
              <w:rPr>
                <w:sz w:val="15"/>
                <w:szCs w:val="15"/>
                <w:color w:val="auto"/>
              </w:rPr>
            </w:pPr>
          </w:p>
        </w:tc>
        <w:tc>
          <w:tcPr>
            <w:tcW w:w="45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6"/>
              </w:rPr>
              <w:t>March 31, 2019</w:t>
            </w: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3"/>
          </w:tcPr>
          <w:p>
            <w:pPr>
              <w:jc w:val="right"/>
              <w:ind w:right="522"/>
              <w:spacing w:after="0"/>
              <w:rPr>
                <w:sz w:val="20"/>
                <w:szCs w:val="20"/>
                <w:color w:val="auto"/>
              </w:rPr>
            </w:pPr>
            <w:r>
              <w:rPr>
                <w:rFonts w:ascii="Arial" w:cs="Arial" w:eastAsia="Arial" w:hAnsi="Arial"/>
                <w:sz w:val="14"/>
                <w:szCs w:val="14"/>
                <w:b w:val="1"/>
                <w:bCs w:val="1"/>
                <w:color w:val="auto"/>
              </w:rPr>
              <w:t>December 31, 2018</w:t>
            </w:r>
          </w:p>
        </w:tc>
        <w:tc>
          <w:tcPr>
            <w:tcW w:w="1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458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Category</w:t>
            </w: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jc w:val="center"/>
              <w:ind w:right="222"/>
              <w:spacing w:after="0"/>
              <w:rPr>
                <w:sz w:val="20"/>
                <w:szCs w:val="20"/>
                <w:color w:val="auto"/>
              </w:rPr>
            </w:pPr>
            <w:r>
              <w:rPr>
                <w:rFonts w:ascii="Arial" w:cs="Arial" w:eastAsia="Arial" w:hAnsi="Arial"/>
                <w:sz w:val="14"/>
                <w:szCs w:val="14"/>
                <w:b w:val="1"/>
                <w:bCs w:val="1"/>
                <w:color w:val="auto"/>
                <w:w w:val="88"/>
              </w:rPr>
              <w:t>Gross</w:t>
            </w:r>
          </w:p>
        </w:tc>
        <w:tc>
          <w:tcPr>
            <w:tcW w:w="220" w:type="dxa"/>
            <w:vAlign w:val="bottom"/>
          </w:tcPr>
          <w:p>
            <w:pPr>
              <w:spacing w:after="0"/>
              <w:rPr>
                <w:sz w:val="19"/>
                <w:szCs w:val="19"/>
                <w:color w:val="auto"/>
              </w:rPr>
            </w:pPr>
          </w:p>
        </w:tc>
        <w:tc>
          <w:tcPr>
            <w:tcW w:w="900" w:type="dxa"/>
            <w:vAlign w:val="bottom"/>
          </w:tcPr>
          <w:p>
            <w:pPr>
              <w:jc w:val="right"/>
              <w:ind w:right="162"/>
              <w:spacing w:after="0"/>
              <w:rPr>
                <w:sz w:val="20"/>
                <w:szCs w:val="20"/>
                <w:color w:val="auto"/>
              </w:rPr>
            </w:pPr>
            <w:r>
              <w:rPr>
                <w:rFonts w:ascii="Arial" w:cs="Arial" w:eastAsia="Arial" w:hAnsi="Arial"/>
                <w:sz w:val="14"/>
                <w:szCs w:val="14"/>
                <w:b w:val="1"/>
                <w:bCs w:val="1"/>
                <w:color w:val="auto"/>
                <w:w w:val="95"/>
              </w:rPr>
              <w:t>Estimated</w:t>
            </w: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jc w:val="right"/>
              <w:ind w:right="342"/>
              <w:spacing w:after="0"/>
              <w:rPr>
                <w:sz w:val="20"/>
                <w:szCs w:val="20"/>
                <w:color w:val="auto"/>
              </w:rPr>
            </w:pPr>
            <w:r>
              <w:rPr>
                <w:rFonts w:ascii="Arial" w:cs="Arial" w:eastAsia="Arial" w:hAnsi="Arial"/>
                <w:sz w:val="14"/>
                <w:szCs w:val="14"/>
                <w:b w:val="1"/>
                <w:bCs w:val="1"/>
                <w:color w:val="auto"/>
              </w:rPr>
              <w:t>Gross</w:t>
            </w:r>
          </w:p>
        </w:tc>
        <w:tc>
          <w:tcPr>
            <w:tcW w:w="180" w:type="dxa"/>
            <w:vAlign w:val="bottom"/>
          </w:tcPr>
          <w:p>
            <w:pPr>
              <w:spacing w:after="0"/>
              <w:rPr>
                <w:sz w:val="19"/>
                <w:szCs w:val="19"/>
                <w:color w:val="auto"/>
              </w:rPr>
            </w:pPr>
          </w:p>
        </w:tc>
        <w:tc>
          <w:tcPr>
            <w:tcW w:w="920" w:type="dxa"/>
            <w:vAlign w:val="bottom"/>
          </w:tcPr>
          <w:p>
            <w:pPr>
              <w:jc w:val="right"/>
              <w:ind w:right="182"/>
              <w:spacing w:after="0"/>
              <w:rPr>
                <w:sz w:val="20"/>
                <w:szCs w:val="20"/>
                <w:color w:val="auto"/>
              </w:rPr>
            </w:pPr>
            <w:r>
              <w:rPr>
                <w:rFonts w:ascii="Arial" w:cs="Arial" w:eastAsia="Arial" w:hAnsi="Arial"/>
                <w:sz w:val="14"/>
                <w:szCs w:val="14"/>
                <w:b w:val="1"/>
                <w:bCs w:val="1"/>
                <w:color w:val="auto"/>
                <w:w w:val="95"/>
              </w:rPr>
              <w:t>Estimated</w:t>
            </w:r>
          </w:p>
        </w:tc>
        <w:tc>
          <w:tcPr>
            <w:tcW w:w="0" w:type="dxa"/>
            <w:vAlign w:val="bottom"/>
          </w:tcPr>
          <w:p>
            <w:pPr>
              <w:spacing w:after="0"/>
              <w:rPr>
                <w:sz w:val="1"/>
                <w:szCs w:val="1"/>
                <w:color w:val="auto"/>
              </w:rPr>
            </w:pPr>
          </w:p>
        </w:tc>
      </w:tr>
      <w:tr>
        <w:trPr>
          <w:trHeight w:val="200"/>
        </w:trPr>
        <w:tc>
          <w:tcPr>
            <w:tcW w:w="4580" w:type="dxa"/>
            <w:vAlign w:val="bottom"/>
            <w:tcBorders>
              <w:bottom w:val="single" w:sz="8" w:color="auto"/>
            </w:tcBorders>
            <w:gridSpan w:val="2"/>
            <w:vMerge w:val="continue"/>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Cost</w:t>
            </w:r>
          </w:p>
        </w:tc>
        <w:tc>
          <w:tcPr>
            <w:tcW w:w="3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center"/>
              <w:ind w:right="222"/>
              <w:spacing w:after="0"/>
              <w:rPr>
                <w:sz w:val="20"/>
                <w:szCs w:val="20"/>
                <w:color w:val="auto"/>
              </w:rPr>
            </w:pPr>
            <w:r>
              <w:rPr>
                <w:rFonts w:ascii="Arial" w:cs="Arial" w:eastAsia="Arial" w:hAnsi="Arial"/>
                <w:sz w:val="14"/>
                <w:szCs w:val="14"/>
                <w:b w:val="1"/>
                <w:bCs w:val="1"/>
                <w:color w:val="auto"/>
                <w:w w:val="92"/>
              </w:rPr>
              <w:t>Gains</w:t>
            </w: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auto"/>
                <w:w w:val="95"/>
              </w:rPr>
              <w:t>Fair Value</w:t>
            </w: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Cost</w:t>
            </w:r>
          </w:p>
        </w:tc>
        <w:tc>
          <w:tcPr>
            <w:tcW w:w="3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b w:val="1"/>
                <w:bCs w:val="1"/>
                <w:color w:val="auto"/>
                <w:w w:val="95"/>
              </w:rPr>
              <w:t>Losses</w:t>
            </w: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469"/>
        </w:trPr>
        <w:tc>
          <w:tcPr>
            <w:tcW w:w="4580" w:type="dxa"/>
            <w:vAlign w:val="bottom"/>
            <w:gridSpan w:val="2"/>
          </w:tcPr>
          <w:p>
            <w:pPr>
              <w:spacing w:after="0"/>
              <w:rPr>
                <w:sz w:val="20"/>
                <w:szCs w:val="20"/>
                <w:color w:val="auto"/>
              </w:rPr>
            </w:pPr>
            <w:r>
              <w:rPr>
                <w:rFonts w:ascii="Arial" w:cs="Arial" w:eastAsia="Arial" w:hAnsi="Arial"/>
                <w:sz w:val="17"/>
                <w:szCs w:val="17"/>
                <w:b w:val="1"/>
                <w:bCs w:val="1"/>
                <w:color w:val="auto"/>
              </w:rPr>
              <w:t>Other Investments:</w:t>
            </w: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Hedge fund</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7"/>
                <w:szCs w:val="17"/>
                <w:color w:val="auto"/>
                <w:w w:val="97"/>
              </w:rPr>
              <w:t>1,999,381</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7"/>
                <w:szCs w:val="17"/>
                <w:color w:val="auto"/>
              </w:rPr>
              <w:t>148,564</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7"/>
                <w:szCs w:val="17"/>
                <w:color w:val="auto"/>
              </w:rPr>
              <w:t>2,147,945</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7"/>
                <w:szCs w:val="17"/>
                <w:color w:val="auto"/>
                <w:w w:val="97"/>
              </w:rPr>
              <w:t>1,999,381</w:t>
            </w:r>
          </w:p>
        </w:tc>
        <w:tc>
          <w:tcPr>
            <w:tcW w:w="3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7"/>
                <w:szCs w:val="17"/>
                <w:color w:val="auto"/>
              </w:rPr>
              <w:t>(144,156)</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7"/>
                <w:szCs w:val="17"/>
                <w:color w:val="auto"/>
              </w:rPr>
              <w:t>1,855,225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7"/>
                <w:szCs w:val="17"/>
                <w:color w:val="auto"/>
              </w:rPr>
              <w:t>Total</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7"/>
                <w:szCs w:val="17"/>
                <w:color w:val="auto"/>
                <w:w w:val="97"/>
              </w:rPr>
              <w:t>1,999,381</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tcPr>
          <w:p>
            <w:pPr>
              <w:jc w:val="right"/>
              <w:ind w:right="42"/>
              <w:spacing w:after="0"/>
              <w:rPr>
                <w:sz w:val="20"/>
                <w:szCs w:val="20"/>
                <w:color w:val="auto"/>
              </w:rPr>
            </w:pPr>
            <w:r>
              <w:rPr>
                <w:rFonts w:ascii="Arial" w:cs="Arial" w:eastAsia="Arial" w:hAnsi="Arial"/>
                <w:sz w:val="17"/>
                <w:szCs w:val="17"/>
                <w:color w:val="auto"/>
              </w:rPr>
              <w:t>148,564</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tcPr>
          <w:p>
            <w:pPr>
              <w:jc w:val="right"/>
              <w:ind w:right="22"/>
              <w:spacing w:after="0"/>
              <w:rPr>
                <w:sz w:val="20"/>
                <w:szCs w:val="20"/>
                <w:color w:val="auto"/>
              </w:rPr>
            </w:pPr>
            <w:r>
              <w:rPr>
                <w:rFonts w:ascii="Arial" w:cs="Arial" w:eastAsia="Arial" w:hAnsi="Arial"/>
                <w:sz w:val="17"/>
                <w:szCs w:val="17"/>
                <w:color w:val="auto"/>
              </w:rPr>
              <w:t>2,147,945</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tcPr>
          <w:p>
            <w:pPr>
              <w:jc w:val="right"/>
              <w:ind w:right="22"/>
              <w:spacing w:after="0"/>
              <w:rPr>
                <w:sz w:val="20"/>
                <w:szCs w:val="20"/>
                <w:color w:val="auto"/>
              </w:rPr>
            </w:pPr>
            <w:r>
              <w:rPr>
                <w:rFonts w:ascii="Arial" w:cs="Arial" w:eastAsia="Arial" w:hAnsi="Arial"/>
                <w:sz w:val="17"/>
                <w:szCs w:val="17"/>
                <w:color w:val="auto"/>
                <w:w w:val="97"/>
              </w:rPr>
              <w:t>1,999,381</w:t>
            </w:r>
          </w:p>
        </w:tc>
        <w:tc>
          <w:tcPr>
            <w:tcW w:w="3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auto"/>
            </w:tcBorders>
          </w:tcPr>
          <w:p>
            <w:pPr>
              <w:jc w:val="right"/>
              <w:ind w:right="22"/>
              <w:spacing w:after="0"/>
              <w:rPr>
                <w:sz w:val="20"/>
                <w:szCs w:val="20"/>
                <w:color w:val="auto"/>
              </w:rPr>
            </w:pPr>
            <w:r>
              <w:rPr>
                <w:rFonts w:ascii="Arial" w:cs="Arial" w:eastAsia="Arial" w:hAnsi="Arial"/>
                <w:sz w:val="17"/>
                <w:szCs w:val="17"/>
                <w:color w:val="auto"/>
              </w:rPr>
              <w:t>(144,156)</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tcPr>
          <w:p>
            <w:pPr>
              <w:jc w:val="right"/>
              <w:ind w:right="42"/>
              <w:spacing w:after="0"/>
              <w:rPr>
                <w:sz w:val="20"/>
                <w:szCs w:val="20"/>
                <w:color w:val="auto"/>
              </w:rPr>
            </w:pPr>
            <w:r>
              <w:rPr>
                <w:rFonts w:ascii="Arial" w:cs="Arial" w:eastAsia="Arial" w:hAnsi="Arial"/>
                <w:sz w:val="17"/>
                <w:szCs w:val="17"/>
                <w:color w:val="auto"/>
              </w:rPr>
              <w:t>1,855,225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left="640"/>
        <w:spacing w:after="0"/>
        <w:rPr>
          <w:sz w:val="20"/>
          <w:szCs w:val="20"/>
          <w:color w:val="auto"/>
        </w:rPr>
      </w:pPr>
      <w:r>
        <w:rPr>
          <w:rFonts w:ascii="Arial" w:cs="Arial" w:eastAsia="Arial" w:hAnsi="Arial"/>
          <w:sz w:val="17"/>
          <w:szCs w:val="17"/>
          <w:u w:val="single" w:color="auto"/>
          <w:color w:val="auto"/>
        </w:rPr>
        <w:t>Held-to-Maturity Securities</w:t>
      </w:r>
    </w:p>
    <w:p>
      <w:pPr>
        <w:spacing w:after="0" w:line="223" w:lineRule="exact"/>
        <w:rPr>
          <w:sz w:val="20"/>
          <w:szCs w:val="20"/>
          <w:color w:val="auto"/>
        </w:rPr>
      </w:pPr>
    </w:p>
    <w:p>
      <w:pPr>
        <w:jc w:val="both"/>
        <w:ind w:right="40" w:firstLine="628"/>
        <w:spacing w:after="0" w:line="281" w:lineRule="auto"/>
        <w:rPr>
          <w:sz w:val="20"/>
          <w:szCs w:val="20"/>
          <w:color w:val="auto"/>
        </w:rPr>
      </w:pPr>
      <w:r>
        <w:rPr>
          <w:rFonts w:ascii="Arial" w:cs="Arial" w:eastAsia="Arial" w:hAnsi="Arial"/>
          <w:sz w:val="17"/>
          <w:szCs w:val="17"/>
          <w:color w:val="auto"/>
        </w:rPr>
        <w:t>The following table presents a breakdown of the amortized cost, estimated fair value, and unrealized gains and losses of investments in held-to-maturity securities as of March 31, 2019 and December 31, 2018:</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20" w:type="dxa"/>
            <w:vAlign w:val="bottom"/>
          </w:tcPr>
          <w:p>
            <w:pPr>
              <w:spacing w:after="0"/>
              <w:rPr>
                <w:sz w:val="15"/>
                <w:szCs w:val="15"/>
                <w:color w:val="auto"/>
              </w:rPr>
            </w:pPr>
          </w:p>
        </w:tc>
        <w:tc>
          <w:tcPr>
            <w:tcW w:w="45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gridSpan w:val="3"/>
          </w:tcPr>
          <w:p>
            <w:pPr>
              <w:jc w:val="right"/>
              <w:ind w:right="578"/>
              <w:spacing w:after="0"/>
              <w:rPr>
                <w:sz w:val="20"/>
                <w:szCs w:val="20"/>
                <w:color w:val="auto"/>
              </w:rPr>
            </w:pPr>
            <w:r>
              <w:rPr>
                <w:rFonts w:ascii="Arial" w:cs="Arial" w:eastAsia="Arial" w:hAnsi="Arial"/>
                <w:sz w:val="14"/>
                <w:szCs w:val="14"/>
                <w:b w:val="1"/>
                <w:bCs w:val="1"/>
                <w:color w:val="auto"/>
              </w:rPr>
              <w:t>March 31, 2019</w:t>
            </w:r>
          </w:p>
        </w:tc>
        <w:tc>
          <w:tcPr>
            <w:tcW w:w="2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5"/>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jc w:val="center"/>
              <w:ind w:right="21"/>
              <w:spacing w:after="0"/>
              <w:rPr>
                <w:sz w:val="20"/>
                <w:szCs w:val="20"/>
                <w:color w:val="auto"/>
              </w:rPr>
            </w:pPr>
            <w:r>
              <w:rPr>
                <w:rFonts w:ascii="Arial" w:cs="Arial" w:eastAsia="Arial" w:hAnsi="Arial"/>
                <w:sz w:val="14"/>
                <w:szCs w:val="14"/>
                <w:b w:val="1"/>
                <w:bCs w:val="1"/>
                <w:color w:val="auto"/>
                <w:w w:val="89"/>
              </w:rPr>
              <w:t>Cost or</w:t>
            </w:r>
          </w:p>
        </w:tc>
        <w:tc>
          <w:tcPr>
            <w:tcW w:w="340" w:type="dxa"/>
            <w:vAlign w:val="bottom"/>
          </w:tcPr>
          <w:p>
            <w:pPr>
              <w:spacing w:after="0"/>
              <w:rPr>
                <w:sz w:val="24"/>
                <w:szCs w:val="24"/>
                <w:color w:val="auto"/>
              </w:rPr>
            </w:pPr>
          </w:p>
        </w:tc>
        <w:tc>
          <w:tcPr>
            <w:tcW w:w="920" w:type="dxa"/>
            <w:vAlign w:val="bottom"/>
          </w:tcPr>
          <w:p>
            <w:pPr>
              <w:jc w:val="center"/>
              <w:ind w:right="161"/>
              <w:spacing w:after="0"/>
              <w:rPr>
                <w:sz w:val="20"/>
                <w:szCs w:val="20"/>
                <w:color w:val="auto"/>
              </w:rPr>
            </w:pPr>
            <w:r>
              <w:rPr>
                <w:rFonts w:ascii="Arial" w:cs="Arial" w:eastAsia="Arial" w:hAnsi="Arial"/>
                <w:sz w:val="14"/>
                <w:szCs w:val="14"/>
                <w:b w:val="1"/>
                <w:bCs w:val="1"/>
                <w:color w:val="auto"/>
                <w:w w:val="88"/>
              </w:rPr>
              <w:t>Gross</w:t>
            </w:r>
          </w:p>
        </w:tc>
        <w:tc>
          <w:tcPr>
            <w:tcW w:w="26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3"/>
          </w:tcPr>
          <w:p>
            <w:pPr>
              <w:jc w:val="right"/>
              <w:ind w:right="298"/>
              <w:spacing w:after="0"/>
              <w:rPr>
                <w:sz w:val="20"/>
                <w:szCs w:val="20"/>
                <w:color w:val="auto"/>
              </w:rPr>
            </w:pPr>
            <w:r>
              <w:rPr>
                <w:rFonts w:ascii="Arial" w:cs="Arial" w:eastAsia="Arial" w:hAnsi="Arial"/>
                <w:sz w:val="14"/>
                <w:szCs w:val="14"/>
                <w:b w:val="1"/>
                <w:bCs w:val="1"/>
                <w:color w:val="auto"/>
                <w:w w:val="95"/>
              </w:rPr>
              <w:t>Gross Unrealized Losses</w:t>
            </w:r>
          </w:p>
        </w:tc>
        <w:tc>
          <w:tcPr>
            <w:tcW w:w="240" w:type="dxa"/>
            <w:vAlign w:val="bottom"/>
          </w:tcPr>
          <w:p>
            <w:pPr>
              <w:spacing w:after="0"/>
              <w:rPr>
                <w:sz w:val="24"/>
                <w:szCs w:val="24"/>
                <w:color w:val="auto"/>
              </w:rPr>
            </w:pPr>
          </w:p>
        </w:tc>
        <w:tc>
          <w:tcPr>
            <w:tcW w:w="980" w:type="dxa"/>
            <w:vAlign w:val="bottom"/>
          </w:tcPr>
          <w:p>
            <w:pPr>
              <w:jc w:val="center"/>
              <w:ind w:right="241"/>
              <w:spacing w:after="0"/>
              <w:rPr>
                <w:sz w:val="20"/>
                <w:szCs w:val="20"/>
                <w:color w:val="auto"/>
              </w:rPr>
            </w:pPr>
            <w:r>
              <w:rPr>
                <w:rFonts w:ascii="Arial" w:cs="Arial" w:eastAsia="Arial" w:hAnsi="Arial"/>
                <w:sz w:val="14"/>
                <w:szCs w:val="14"/>
                <w:b w:val="1"/>
                <w:bCs w:val="1"/>
                <w:color w:val="auto"/>
                <w:w w:val="92"/>
              </w:rPr>
              <w:t>Estimated</w:t>
            </w:r>
          </w:p>
        </w:tc>
        <w:tc>
          <w:tcPr>
            <w:tcW w:w="11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225"/>
        </w:trPr>
        <w:tc>
          <w:tcPr>
            <w:tcW w:w="458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Category</w:t>
            </w:r>
          </w:p>
        </w:tc>
        <w:tc>
          <w:tcPr>
            <w:tcW w:w="220" w:type="dxa"/>
            <w:vAlign w:val="bottom"/>
          </w:tcPr>
          <w:p>
            <w:pPr>
              <w:spacing w:after="0"/>
              <w:rPr>
                <w:sz w:val="19"/>
                <w:szCs w:val="19"/>
                <w:color w:val="auto"/>
              </w:rPr>
            </w:pPr>
          </w:p>
        </w:tc>
        <w:tc>
          <w:tcPr>
            <w:tcW w:w="820" w:type="dxa"/>
            <w:vAlign w:val="bottom"/>
          </w:tcPr>
          <w:p>
            <w:pPr>
              <w:jc w:val="center"/>
              <w:ind w:right="21"/>
              <w:spacing w:after="0"/>
              <w:rPr>
                <w:sz w:val="20"/>
                <w:szCs w:val="20"/>
                <w:color w:val="auto"/>
              </w:rPr>
            </w:pPr>
            <w:r>
              <w:rPr>
                <w:rFonts w:ascii="Arial" w:cs="Arial" w:eastAsia="Arial" w:hAnsi="Arial"/>
                <w:sz w:val="14"/>
                <w:szCs w:val="14"/>
                <w:b w:val="1"/>
                <w:bCs w:val="1"/>
                <w:color w:val="auto"/>
                <w:w w:val="93"/>
              </w:rPr>
              <w:t>Amortized</w:t>
            </w:r>
          </w:p>
        </w:tc>
        <w:tc>
          <w:tcPr>
            <w:tcW w:w="340" w:type="dxa"/>
            <w:vAlign w:val="bottom"/>
          </w:tcPr>
          <w:p>
            <w:pPr>
              <w:spacing w:after="0"/>
              <w:rPr>
                <w:sz w:val="19"/>
                <w:szCs w:val="19"/>
                <w:color w:val="auto"/>
              </w:rPr>
            </w:pPr>
          </w:p>
        </w:tc>
        <w:tc>
          <w:tcPr>
            <w:tcW w:w="920" w:type="dxa"/>
            <w:vAlign w:val="bottom"/>
          </w:tcPr>
          <w:p>
            <w:pPr>
              <w:jc w:val="center"/>
              <w:ind w:right="161"/>
              <w:spacing w:after="0"/>
              <w:rPr>
                <w:sz w:val="20"/>
                <w:szCs w:val="20"/>
                <w:color w:val="auto"/>
              </w:rPr>
            </w:pPr>
            <w:r>
              <w:rPr>
                <w:rFonts w:ascii="Arial" w:cs="Arial" w:eastAsia="Arial" w:hAnsi="Arial"/>
                <w:sz w:val="14"/>
                <w:szCs w:val="14"/>
                <w:b w:val="1"/>
                <w:bCs w:val="1"/>
                <w:color w:val="auto"/>
                <w:w w:val="95"/>
              </w:rPr>
              <w:t>Unrealized</w:t>
            </w:r>
          </w:p>
        </w:tc>
        <w:tc>
          <w:tcPr>
            <w:tcW w:w="1160" w:type="dxa"/>
            <w:vAlign w:val="bottom"/>
            <w:gridSpan w:val="2"/>
          </w:tcPr>
          <w:p>
            <w:pPr>
              <w:jc w:val="right"/>
              <w:ind w:right="141"/>
              <w:spacing w:after="0"/>
              <w:rPr>
                <w:sz w:val="20"/>
                <w:szCs w:val="20"/>
                <w:color w:val="auto"/>
              </w:rPr>
            </w:pPr>
            <w:r>
              <w:rPr>
                <w:rFonts w:ascii="Arial" w:cs="Arial" w:eastAsia="Arial" w:hAnsi="Arial"/>
                <w:sz w:val="14"/>
                <w:szCs w:val="14"/>
                <w:b w:val="1"/>
                <w:bCs w:val="1"/>
                <w:color w:val="auto"/>
              </w:rPr>
              <w:t>Less than 12</w:t>
            </w:r>
          </w:p>
        </w:tc>
        <w:tc>
          <w:tcPr>
            <w:tcW w:w="1100" w:type="dxa"/>
            <w:vAlign w:val="bottom"/>
            <w:gridSpan w:val="2"/>
          </w:tcPr>
          <w:p>
            <w:pPr>
              <w:jc w:val="right"/>
              <w:ind w:right="58"/>
              <w:spacing w:after="0"/>
              <w:rPr>
                <w:sz w:val="20"/>
                <w:szCs w:val="20"/>
                <w:color w:val="auto"/>
              </w:rPr>
            </w:pPr>
            <w:r>
              <w:rPr>
                <w:rFonts w:ascii="Arial" w:cs="Arial" w:eastAsia="Arial" w:hAnsi="Arial"/>
                <w:sz w:val="14"/>
                <w:szCs w:val="14"/>
                <w:b w:val="1"/>
                <w:bCs w:val="1"/>
                <w:color w:val="auto"/>
              </w:rPr>
              <w:t>More than 12</w:t>
            </w:r>
          </w:p>
        </w:tc>
        <w:tc>
          <w:tcPr>
            <w:tcW w:w="240" w:type="dxa"/>
            <w:vAlign w:val="bottom"/>
          </w:tcPr>
          <w:p>
            <w:pPr>
              <w:spacing w:after="0"/>
              <w:rPr>
                <w:sz w:val="19"/>
                <w:szCs w:val="19"/>
                <w:color w:val="auto"/>
              </w:rPr>
            </w:pPr>
          </w:p>
        </w:tc>
        <w:tc>
          <w:tcPr>
            <w:tcW w:w="980" w:type="dxa"/>
            <w:vAlign w:val="bottom"/>
          </w:tcPr>
          <w:p>
            <w:pPr>
              <w:jc w:val="center"/>
              <w:ind w:right="241"/>
              <w:spacing w:after="0"/>
              <w:rPr>
                <w:sz w:val="20"/>
                <w:szCs w:val="20"/>
                <w:color w:val="auto"/>
              </w:rPr>
            </w:pPr>
            <w:r>
              <w:rPr>
                <w:rFonts w:ascii="Arial" w:cs="Arial" w:eastAsia="Arial" w:hAnsi="Arial"/>
                <w:sz w:val="14"/>
                <w:szCs w:val="14"/>
                <w:b w:val="1"/>
                <w:bCs w:val="1"/>
                <w:color w:val="auto"/>
              </w:rPr>
              <w:t>Fair</w:t>
            </w:r>
          </w:p>
        </w:tc>
        <w:tc>
          <w:tcPr>
            <w:tcW w:w="11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Estimated</w:t>
            </w:r>
          </w:p>
        </w:tc>
        <w:tc>
          <w:tcPr>
            <w:tcW w:w="0" w:type="dxa"/>
            <w:vAlign w:val="bottom"/>
          </w:tcPr>
          <w:p>
            <w:pPr>
              <w:spacing w:after="0"/>
              <w:rPr>
                <w:sz w:val="1"/>
                <w:szCs w:val="1"/>
                <w:color w:val="auto"/>
              </w:rPr>
            </w:pPr>
          </w:p>
        </w:tc>
      </w:tr>
      <w:tr>
        <w:trPr>
          <w:trHeight w:val="200"/>
        </w:trPr>
        <w:tc>
          <w:tcPr>
            <w:tcW w:w="458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center"/>
              <w:ind w:right="61"/>
              <w:spacing w:after="0"/>
              <w:rPr>
                <w:sz w:val="20"/>
                <w:szCs w:val="20"/>
                <w:color w:val="auto"/>
              </w:rPr>
            </w:pPr>
            <w:r>
              <w:rPr>
                <w:rFonts w:ascii="Arial" w:cs="Arial" w:eastAsia="Arial" w:hAnsi="Arial"/>
                <w:sz w:val="14"/>
                <w:szCs w:val="14"/>
                <w:b w:val="1"/>
                <w:bCs w:val="1"/>
                <w:color w:val="auto"/>
                <w:w w:val="89"/>
              </w:rPr>
              <w:t>Cost</w:t>
            </w:r>
          </w:p>
        </w:tc>
        <w:tc>
          <w:tcPr>
            <w:tcW w:w="340" w:type="dxa"/>
            <w:vAlign w:val="bottom"/>
          </w:tcPr>
          <w:p>
            <w:pPr>
              <w:spacing w:after="0"/>
              <w:rPr>
                <w:sz w:val="17"/>
                <w:szCs w:val="17"/>
                <w:color w:val="auto"/>
              </w:rPr>
            </w:pPr>
          </w:p>
        </w:tc>
        <w:tc>
          <w:tcPr>
            <w:tcW w:w="920" w:type="dxa"/>
            <w:vAlign w:val="bottom"/>
          </w:tcPr>
          <w:p>
            <w:pPr>
              <w:jc w:val="center"/>
              <w:ind w:right="161"/>
              <w:spacing w:after="0"/>
              <w:rPr>
                <w:sz w:val="20"/>
                <w:szCs w:val="20"/>
                <w:color w:val="auto"/>
              </w:rPr>
            </w:pPr>
            <w:r>
              <w:rPr>
                <w:rFonts w:ascii="Arial" w:cs="Arial" w:eastAsia="Arial" w:hAnsi="Arial"/>
                <w:sz w:val="14"/>
                <w:szCs w:val="14"/>
                <w:b w:val="1"/>
                <w:bCs w:val="1"/>
                <w:color w:val="auto"/>
                <w:w w:val="92"/>
              </w:rPr>
              <w:t>Gains</w:t>
            </w:r>
          </w:p>
        </w:tc>
        <w:tc>
          <w:tcPr>
            <w:tcW w:w="260" w:type="dxa"/>
            <w:vAlign w:val="bottom"/>
          </w:tcPr>
          <w:p>
            <w:pPr>
              <w:spacing w:after="0"/>
              <w:rPr>
                <w:sz w:val="17"/>
                <w:szCs w:val="17"/>
                <w:color w:val="auto"/>
              </w:rPr>
            </w:pPr>
          </w:p>
        </w:tc>
        <w:tc>
          <w:tcPr>
            <w:tcW w:w="900" w:type="dxa"/>
            <w:vAlign w:val="bottom"/>
          </w:tcPr>
          <w:p>
            <w:pPr>
              <w:jc w:val="right"/>
              <w:ind w:right="281"/>
              <w:spacing w:after="0"/>
              <w:rPr>
                <w:sz w:val="20"/>
                <w:szCs w:val="20"/>
                <w:color w:val="auto"/>
              </w:rPr>
            </w:pPr>
            <w:r>
              <w:rPr>
                <w:rFonts w:ascii="Arial" w:cs="Arial" w:eastAsia="Arial" w:hAnsi="Arial"/>
                <w:sz w:val="14"/>
                <w:szCs w:val="14"/>
                <w:b w:val="1"/>
                <w:bCs w:val="1"/>
                <w:color w:val="auto"/>
              </w:rPr>
              <w:t>Months</w:t>
            </w:r>
          </w:p>
        </w:tc>
        <w:tc>
          <w:tcPr>
            <w:tcW w:w="240" w:type="dxa"/>
            <w:vAlign w:val="bottom"/>
          </w:tcPr>
          <w:p>
            <w:pPr>
              <w:spacing w:after="0"/>
              <w:rPr>
                <w:sz w:val="17"/>
                <w:szCs w:val="17"/>
                <w:color w:val="auto"/>
              </w:rPr>
            </w:pPr>
          </w:p>
        </w:tc>
        <w:tc>
          <w:tcPr>
            <w:tcW w:w="860" w:type="dxa"/>
            <w:vAlign w:val="bottom"/>
          </w:tcPr>
          <w:p>
            <w:pPr>
              <w:jc w:val="right"/>
              <w:ind w:right="238"/>
              <w:spacing w:after="0"/>
              <w:rPr>
                <w:sz w:val="20"/>
                <w:szCs w:val="20"/>
                <w:color w:val="auto"/>
              </w:rPr>
            </w:pPr>
            <w:r>
              <w:rPr>
                <w:rFonts w:ascii="Arial" w:cs="Arial" w:eastAsia="Arial" w:hAnsi="Arial"/>
                <w:sz w:val="14"/>
                <w:szCs w:val="14"/>
                <w:b w:val="1"/>
                <w:bCs w:val="1"/>
                <w:color w:val="auto"/>
              </w:rPr>
              <w:t>Months</w:t>
            </w:r>
          </w:p>
        </w:tc>
        <w:tc>
          <w:tcPr>
            <w:tcW w:w="240" w:type="dxa"/>
            <w:vAlign w:val="bottom"/>
          </w:tcPr>
          <w:p>
            <w:pPr>
              <w:spacing w:after="0"/>
              <w:rPr>
                <w:sz w:val="17"/>
                <w:szCs w:val="17"/>
                <w:color w:val="auto"/>
              </w:rPr>
            </w:pPr>
          </w:p>
        </w:tc>
        <w:tc>
          <w:tcPr>
            <w:tcW w:w="980" w:type="dxa"/>
            <w:vAlign w:val="bottom"/>
          </w:tcPr>
          <w:p>
            <w:pPr>
              <w:jc w:val="center"/>
              <w:ind w:right="241"/>
              <w:spacing w:after="0"/>
              <w:rPr>
                <w:sz w:val="20"/>
                <w:szCs w:val="20"/>
                <w:color w:val="auto"/>
              </w:rPr>
            </w:pPr>
            <w:r>
              <w:rPr>
                <w:rFonts w:ascii="Arial" w:cs="Arial" w:eastAsia="Arial" w:hAnsi="Arial"/>
                <w:sz w:val="14"/>
                <w:szCs w:val="14"/>
                <w:b w:val="1"/>
                <w:bCs w:val="1"/>
                <w:color w:val="auto"/>
                <w:w w:val="90"/>
              </w:rPr>
              <w:t>Value</w:t>
            </w:r>
          </w:p>
        </w:tc>
        <w:tc>
          <w:tcPr>
            <w:tcW w:w="11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35"/>
        </w:trPr>
        <w:tc>
          <w:tcPr>
            <w:tcW w:w="20" w:type="dxa"/>
            <w:vAlign w:val="bottom"/>
            <w:vMerge w:val="restart"/>
          </w:tcPr>
          <w:p>
            <w:pPr>
              <w:spacing w:after="0"/>
              <w:rPr>
                <w:sz w:val="20"/>
                <w:szCs w:val="20"/>
                <w:color w:val="auto"/>
              </w:rPr>
            </w:pPr>
          </w:p>
        </w:tc>
        <w:tc>
          <w:tcPr>
            <w:tcW w:w="456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4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7"/>
                <w:szCs w:val="17"/>
                <w:color w:val="auto"/>
              </w:rPr>
              <w:t>U.S. Treasury securities</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729,517</w:t>
            </w: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ind w:right="41"/>
              <w:spacing w:after="0"/>
              <w:rPr>
                <w:sz w:val="20"/>
                <w:szCs w:val="20"/>
                <w:color w:val="auto"/>
              </w:rPr>
            </w:pPr>
            <w:r>
              <w:rPr>
                <w:rFonts w:ascii="Arial" w:cs="Arial" w:eastAsia="Arial" w:hAnsi="Arial"/>
                <w:sz w:val="17"/>
                <w:szCs w:val="17"/>
                <w:color w:val="auto"/>
              </w:rPr>
              <w:t>147,522</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(1,177)</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ind w:right="101"/>
              <w:spacing w:after="0"/>
              <w:rPr>
                <w:sz w:val="20"/>
                <w:szCs w:val="20"/>
                <w:color w:val="auto"/>
              </w:rPr>
            </w:pPr>
            <w:r>
              <w:rPr>
                <w:rFonts w:ascii="Arial" w:cs="Arial" w:eastAsia="Arial" w:hAnsi="Arial"/>
                <w:sz w:val="17"/>
                <w:szCs w:val="17"/>
                <w:color w:val="auto"/>
              </w:rPr>
              <w:t>875,862</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21.5%</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7"/>
                <w:szCs w:val="17"/>
                <w:color w:val="auto"/>
              </w:rPr>
              <w:t>Political subdivisions of States,</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7"/>
                <w:szCs w:val="17"/>
                <w:color w:val="auto"/>
              </w:rPr>
              <w:t>Territories and Possessions</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998,759</w:t>
            </w:r>
          </w:p>
        </w:tc>
        <w:tc>
          <w:tcPr>
            <w:tcW w:w="340" w:type="dxa"/>
            <w:vAlign w:val="bottom"/>
          </w:tcPr>
          <w:p>
            <w:pPr>
              <w:spacing w:after="0"/>
              <w:rPr>
                <w:sz w:val="18"/>
                <w:szCs w:val="18"/>
                <w:color w:val="auto"/>
              </w:rPr>
            </w:pPr>
          </w:p>
        </w:tc>
        <w:tc>
          <w:tcPr>
            <w:tcW w:w="920" w:type="dxa"/>
            <w:vAlign w:val="bottom"/>
          </w:tcPr>
          <w:p>
            <w:pPr>
              <w:jc w:val="right"/>
              <w:ind w:right="41"/>
              <w:spacing w:after="0"/>
              <w:rPr>
                <w:sz w:val="20"/>
                <w:szCs w:val="20"/>
                <w:color w:val="auto"/>
              </w:rPr>
            </w:pPr>
            <w:r>
              <w:rPr>
                <w:rFonts w:ascii="Arial" w:cs="Arial" w:eastAsia="Arial" w:hAnsi="Arial"/>
                <w:sz w:val="17"/>
                <w:szCs w:val="17"/>
                <w:color w:val="auto"/>
              </w:rPr>
              <w:t>45,676</w:t>
            </w:r>
          </w:p>
        </w:tc>
        <w:tc>
          <w:tcPr>
            <w:tcW w:w="260" w:type="dxa"/>
            <w:vAlign w:val="bottom"/>
          </w:tcPr>
          <w:p>
            <w:pPr>
              <w:spacing w:after="0"/>
              <w:rPr>
                <w:sz w:val="18"/>
                <w:szCs w:val="18"/>
                <w:color w:val="auto"/>
              </w:rPr>
            </w:pPr>
          </w:p>
        </w:tc>
        <w:tc>
          <w:tcPr>
            <w:tcW w:w="900" w:type="dxa"/>
            <w:vAlign w:val="bottom"/>
          </w:tcPr>
          <w:p>
            <w:pPr>
              <w:jc w:val="right"/>
              <w:ind w:right="61"/>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860" w:type="dxa"/>
            <w:vAlign w:val="bottom"/>
          </w:tcPr>
          <w:p>
            <w:pPr>
              <w:jc w:val="right"/>
              <w:ind w:right="18"/>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980" w:type="dxa"/>
            <w:vAlign w:val="bottom"/>
          </w:tcPr>
          <w:p>
            <w:pPr>
              <w:jc w:val="right"/>
              <w:ind w:right="101"/>
              <w:spacing w:after="0"/>
              <w:rPr>
                <w:sz w:val="20"/>
                <w:szCs w:val="20"/>
                <w:color w:val="auto"/>
              </w:rPr>
            </w:pPr>
            <w:r>
              <w:rPr>
                <w:rFonts w:ascii="Arial" w:cs="Arial" w:eastAsia="Arial" w:hAnsi="Arial"/>
                <w:sz w:val="17"/>
                <w:szCs w:val="17"/>
                <w:color w:val="auto"/>
              </w:rPr>
              <w:t>1,044,435</w:t>
            </w:r>
          </w:p>
        </w:tc>
        <w:tc>
          <w:tcPr>
            <w:tcW w:w="1060" w:type="dxa"/>
            <w:vAlign w:val="bottom"/>
          </w:tcPr>
          <w:p>
            <w:pPr>
              <w:jc w:val="right"/>
              <w:spacing w:after="0"/>
              <w:rPr>
                <w:sz w:val="20"/>
                <w:szCs w:val="20"/>
                <w:color w:val="auto"/>
              </w:rPr>
            </w:pPr>
            <w:r>
              <w:rPr>
                <w:rFonts w:ascii="Arial" w:cs="Arial" w:eastAsia="Arial" w:hAnsi="Arial"/>
                <w:sz w:val="17"/>
                <w:szCs w:val="17"/>
                <w:color w:val="auto"/>
              </w:rPr>
              <w:t>25.6%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7"/>
                <w:szCs w:val="17"/>
                <w:color w:val="auto"/>
              </w:rPr>
              <w:t>Corporate and other bonds</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Industrial and miscellaneous</w:t>
            </w: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2,096,344</w:t>
            </w:r>
          </w:p>
        </w:tc>
        <w:tc>
          <w:tcPr>
            <w:tcW w:w="3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7"/>
                <w:szCs w:val="17"/>
                <w:color w:val="auto"/>
              </w:rPr>
              <w:t>65,540</w:t>
            </w: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(5,570)</w:t>
            </w: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7"/>
                <w:szCs w:val="17"/>
                <w:color w:val="auto"/>
              </w:rPr>
              <w:t>2,156,314</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52.9%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0" w:type="dxa"/>
            <w:vAlign w:val="bottom"/>
            <w:vMerge w:val="continue"/>
          </w:tcPr>
          <w:p>
            <w:pPr>
              <w:spacing w:after="0"/>
              <w:rPr>
                <w:sz w:val="21"/>
                <w:szCs w:val="21"/>
                <w:color w:val="auto"/>
              </w:rPr>
            </w:pPr>
          </w:p>
        </w:tc>
        <w:tc>
          <w:tcPr>
            <w:tcW w:w="4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Total</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3,824,620</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7"/>
                <w:szCs w:val="17"/>
                <w:color w:val="auto"/>
              </w:rPr>
              <w:t>258,738</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7"/>
                <w:szCs w:val="17"/>
                <w:color w:val="auto"/>
              </w:rPr>
              <w:t>(1,177)</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(5,570)</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7"/>
                <w:szCs w:val="17"/>
                <w:color w:val="auto"/>
              </w:rPr>
              <w:t>4,076,611</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100.0%</w:t>
            </w:r>
          </w:p>
        </w:tc>
        <w:tc>
          <w:tcPr>
            <w:tcW w:w="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567"/>
        </w:trPr>
        <w:tc>
          <w:tcPr>
            <w:tcW w:w="20" w:type="dxa"/>
            <w:vAlign w:val="bottom"/>
          </w:tcPr>
          <w:p>
            <w:pPr>
              <w:spacing w:after="0"/>
              <w:rPr>
                <w:sz w:val="24"/>
                <w:szCs w:val="24"/>
                <w:color w:val="auto"/>
              </w:rPr>
            </w:pPr>
          </w:p>
        </w:tc>
        <w:tc>
          <w:tcPr>
            <w:tcW w:w="45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w w:val="84"/>
              </w:rPr>
              <w:t>55</w:t>
            </w:r>
          </w:p>
        </w:tc>
        <w:tc>
          <w:tcPr>
            <w:tcW w:w="9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497" w:right="199" w:bottom="1440" w:gutter="0" w:footer="0" w:header="0"/>
        </w:sectPr>
      </w:pPr>
    </w:p>
    <w:bookmarkStart w:id="55" w:name="page56"/>
    <w:bookmarkEnd w:id="5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20" w:type="dxa"/>
            <w:vAlign w:val="bottom"/>
          </w:tcPr>
          <w:p>
            <w:pPr>
              <w:spacing w:after="0"/>
              <w:rPr>
                <w:sz w:val="15"/>
                <w:szCs w:val="15"/>
                <w:color w:val="auto"/>
              </w:rPr>
            </w:pPr>
          </w:p>
        </w:tc>
        <w:tc>
          <w:tcPr>
            <w:tcW w:w="45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gridSpan w:val="3"/>
          </w:tcPr>
          <w:p>
            <w:pPr>
              <w:jc w:val="right"/>
              <w:ind w:right="478"/>
              <w:spacing w:after="0"/>
              <w:rPr>
                <w:sz w:val="20"/>
                <w:szCs w:val="20"/>
                <w:color w:val="auto"/>
              </w:rPr>
            </w:pPr>
            <w:r>
              <w:rPr>
                <w:rFonts w:ascii="Arial" w:cs="Arial" w:eastAsia="Arial" w:hAnsi="Arial"/>
                <w:sz w:val="14"/>
                <w:szCs w:val="14"/>
                <w:b w:val="1"/>
                <w:bCs w:val="1"/>
                <w:color w:val="auto"/>
              </w:rPr>
              <w:t>December 31, 2018</w:t>
            </w:r>
          </w:p>
        </w:tc>
        <w:tc>
          <w:tcPr>
            <w:tcW w:w="2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5"/>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center"/>
              <w:ind w:right="141"/>
              <w:spacing w:after="0"/>
              <w:rPr>
                <w:sz w:val="20"/>
                <w:szCs w:val="20"/>
                <w:color w:val="auto"/>
              </w:rPr>
            </w:pPr>
            <w:r>
              <w:rPr>
                <w:rFonts w:ascii="Arial" w:cs="Arial" w:eastAsia="Arial" w:hAnsi="Arial"/>
                <w:sz w:val="14"/>
                <w:szCs w:val="14"/>
                <w:b w:val="1"/>
                <w:bCs w:val="1"/>
                <w:color w:val="auto"/>
                <w:w w:val="89"/>
              </w:rPr>
              <w:t>Cost or</w:t>
            </w:r>
          </w:p>
        </w:tc>
        <w:tc>
          <w:tcPr>
            <w:tcW w:w="220" w:type="dxa"/>
            <w:vAlign w:val="bottom"/>
          </w:tcPr>
          <w:p>
            <w:pPr>
              <w:spacing w:after="0"/>
              <w:rPr>
                <w:sz w:val="24"/>
                <w:szCs w:val="24"/>
                <w:color w:val="auto"/>
              </w:rPr>
            </w:pPr>
          </w:p>
        </w:tc>
        <w:tc>
          <w:tcPr>
            <w:tcW w:w="920" w:type="dxa"/>
            <w:vAlign w:val="bottom"/>
          </w:tcPr>
          <w:p>
            <w:pPr>
              <w:jc w:val="center"/>
              <w:ind w:right="161"/>
              <w:spacing w:after="0"/>
              <w:rPr>
                <w:sz w:val="20"/>
                <w:szCs w:val="20"/>
                <w:color w:val="auto"/>
              </w:rPr>
            </w:pPr>
            <w:r>
              <w:rPr>
                <w:rFonts w:ascii="Arial" w:cs="Arial" w:eastAsia="Arial" w:hAnsi="Arial"/>
                <w:sz w:val="14"/>
                <w:szCs w:val="14"/>
                <w:b w:val="1"/>
                <w:bCs w:val="1"/>
                <w:color w:val="auto"/>
                <w:w w:val="88"/>
              </w:rPr>
              <w:t>Gross</w:t>
            </w:r>
          </w:p>
        </w:tc>
        <w:tc>
          <w:tcPr>
            <w:tcW w:w="26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3"/>
          </w:tcPr>
          <w:p>
            <w:pPr>
              <w:jc w:val="right"/>
              <w:ind w:right="298"/>
              <w:spacing w:after="0"/>
              <w:rPr>
                <w:sz w:val="20"/>
                <w:szCs w:val="20"/>
                <w:color w:val="auto"/>
              </w:rPr>
            </w:pPr>
            <w:r>
              <w:rPr>
                <w:rFonts w:ascii="Arial" w:cs="Arial" w:eastAsia="Arial" w:hAnsi="Arial"/>
                <w:sz w:val="14"/>
                <w:szCs w:val="14"/>
                <w:b w:val="1"/>
                <w:bCs w:val="1"/>
                <w:color w:val="auto"/>
                <w:w w:val="95"/>
              </w:rPr>
              <w:t>Gross Unrealized Losses</w:t>
            </w:r>
          </w:p>
        </w:tc>
        <w:tc>
          <w:tcPr>
            <w:tcW w:w="240" w:type="dxa"/>
            <w:vAlign w:val="bottom"/>
          </w:tcPr>
          <w:p>
            <w:pPr>
              <w:spacing w:after="0"/>
              <w:rPr>
                <w:sz w:val="24"/>
                <w:szCs w:val="24"/>
                <w:color w:val="auto"/>
              </w:rPr>
            </w:pPr>
          </w:p>
        </w:tc>
        <w:tc>
          <w:tcPr>
            <w:tcW w:w="980" w:type="dxa"/>
            <w:vAlign w:val="bottom"/>
          </w:tcPr>
          <w:p>
            <w:pPr>
              <w:jc w:val="center"/>
              <w:ind w:right="241"/>
              <w:spacing w:after="0"/>
              <w:rPr>
                <w:sz w:val="20"/>
                <w:szCs w:val="20"/>
                <w:color w:val="auto"/>
              </w:rPr>
            </w:pPr>
            <w:r>
              <w:rPr>
                <w:rFonts w:ascii="Arial" w:cs="Arial" w:eastAsia="Arial" w:hAnsi="Arial"/>
                <w:sz w:val="14"/>
                <w:szCs w:val="14"/>
                <w:b w:val="1"/>
                <w:bCs w:val="1"/>
                <w:color w:val="auto"/>
                <w:w w:val="92"/>
              </w:rPr>
              <w:t>Estimated</w:t>
            </w:r>
          </w:p>
        </w:tc>
        <w:tc>
          <w:tcPr>
            <w:tcW w:w="11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225"/>
        </w:trPr>
        <w:tc>
          <w:tcPr>
            <w:tcW w:w="458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Category</w:t>
            </w:r>
          </w:p>
        </w:tc>
        <w:tc>
          <w:tcPr>
            <w:tcW w:w="220" w:type="dxa"/>
            <w:vAlign w:val="bottom"/>
          </w:tcPr>
          <w:p>
            <w:pPr>
              <w:spacing w:after="0"/>
              <w:rPr>
                <w:sz w:val="19"/>
                <w:szCs w:val="19"/>
                <w:color w:val="auto"/>
              </w:rPr>
            </w:pPr>
          </w:p>
        </w:tc>
        <w:tc>
          <w:tcPr>
            <w:tcW w:w="940" w:type="dxa"/>
            <w:vAlign w:val="bottom"/>
          </w:tcPr>
          <w:p>
            <w:pPr>
              <w:jc w:val="center"/>
              <w:ind w:right="141"/>
              <w:spacing w:after="0"/>
              <w:rPr>
                <w:sz w:val="20"/>
                <w:szCs w:val="20"/>
                <w:color w:val="auto"/>
              </w:rPr>
            </w:pPr>
            <w:r>
              <w:rPr>
                <w:rFonts w:ascii="Arial" w:cs="Arial" w:eastAsia="Arial" w:hAnsi="Arial"/>
                <w:sz w:val="14"/>
                <w:szCs w:val="14"/>
                <w:b w:val="1"/>
                <w:bCs w:val="1"/>
                <w:color w:val="auto"/>
                <w:w w:val="93"/>
              </w:rPr>
              <w:t>Amortized</w:t>
            </w:r>
          </w:p>
        </w:tc>
        <w:tc>
          <w:tcPr>
            <w:tcW w:w="220" w:type="dxa"/>
            <w:vAlign w:val="bottom"/>
          </w:tcPr>
          <w:p>
            <w:pPr>
              <w:spacing w:after="0"/>
              <w:rPr>
                <w:sz w:val="19"/>
                <w:szCs w:val="19"/>
                <w:color w:val="auto"/>
              </w:rPr>
            </w:pPr>
          </w:p>
        </w:tc>
        <w:tc>
          <w:tcPr>
            <w:tcW w:w="920" w:type="dxa"/>
            <w:vAlign w:val="bottom"/>
          </w:tcPr>
          <w:p>
            <w:pPr>
              <w:jc w:val="center"/>
              <w:ind w:right="161"/>
              <w:spacing w:after="0"/>
              <w:rPr>
                <w:sz w:val="20"/>
                <w:szCs w:val="20"/>
                <w:color w:val="auto"/>
              </w:rPr>
            </w:pPr>
            <w:r>
              <w:rPr>
                <w:rFonts w:ascii="Arial" w:cs="Arial" w:eastAsia="Arial" w:hAnsi="Arial"/>
                <w:sz w:val="14"/>
                <w:szCs w:val="14"/>
                <w:b w:val="1"/>
                <w:bCs w:val="1"/>
                <w:color w:val="auto"/>
                <w:w w:val="95"/>
              </w:rPr>
              <w:t>Unrealized</w:t>
            </w:r>
          </w:p>
        </w:tc>
        <w:tc>
          <w:tcPr>
            <w:tcW w:w="1160" w:type="dxa"/>
            <w:vAlign w:val="bottom"/>
            <w:gridSpan w:val="2"/>
          </w:tcPr>
          <w:p>
            <w:pPr>
              <w:jc w:val="right"/>
              <w:ind w:right="141"/>
              <w:spacing w:after="0"/>
              <w:rPr>
                <w:sz w:val="20"/>
                <w:szCs w:val="20"/>
                <w:color w:val="auto"/>
              </w:rPr>
            </w:pPr>
            <w:r>
              <w:rPr>
                <w:rFonts w:ascii="Arial" w:cs="Arial" w:eastAsia="Arial" w:hAnsi="Arial"/>
                <w:sz w:val="14"/>
                <w:szCs w:val="14"/>
                <w:b w:val="1"/>
                <w:bCs w:val="1"/>
                <w:color w:val="auto"/>
              </w:rPr>
              <w:t>Less than 12</w:t>
            </w:r>
          </w:p>
        </w:tc>
        <w:tc>
          <w:tcPr>
            <w:tcW w:w="1100" w:type="dxa"/>
            <w:vAlign w:val="bottom"/>
            <w:gridSpan w:val="2"/>
          </w:tcPr>
          <w:p>
            <w:pPr>
              <w:jc w:val="right"/>
              <w:ind w:right="58"/>
              <w:spacing w:after="0"/>
              <w:rPr>
                <w:sz w:val="20"/>
                <w:szCs w:val="20"/>
                <w:color w:val="auto"/>
              </w:rPr>
            </w:pPr>
            <w:r>
              <w:rPr>
                <w:rFonts w:ascii="Arial" w:cs="Arial" w:eastAsia="Arial" w:hAnsi="Arial"/>
                <w:sz w:val="14"/>
                <w:szCs w:val="14"/>
                <w:b w:val="1"/>
                <w:bCs w:val="1"/>
                <w:color w:val="auto"/>
              </w:rPr>
              <w:t>More than 12</w:t>
            </w:r>
          </w:p>
        </w:tc>
        <w:tc>
          <w:tcPr>
            <w:tcW w:w="240" w:type="dxa"/>
            <w:vAlign w:val="bottom"/>
          </w:tcPr>
          <w:p>
            <w:pPr>
              <w:spacing w:after="0"/>
              <w:rPr>
                <w:sz w:val="19"/>
                <w:szCs w:val="19"/>
                <w:color w:val="auto"/>
              </w:rPr>
            </w:pPr>
          </w:p>
        </w:tc>
        <w:tc>
          <w:tcPr>
            <w:tcW w:w="980" w:type="dxa"/>
            <w:vAlign w:val="bottom"/>
          </w:tcPr>
          <w:p>
            <w:pPr>
              <w:jc w:val="center"/>
              <w:ind w:right="241"/>
              <w:spacing w:after="0"/>
              <w:rPr>
                <w:sz w:val="20"/>
                <w:szCs w:val="20"/>
                <w:color w:val="auto"/>
              </w:rPr>
            </w:pPr>
            <w:r>
              <w:rPr>
                <w:rFonts w:ascii="Arial" w:cs="Arial" w:eastAsia="Arial" w:hAnsi="Arial"/>
                <w:sz w:val="14"/>
                <w:szCs w:val="14"/>
                <w:b w:val="1"/>
                <w:bCs w:val="1"/>
                <w:color w:val="auto"/>
              </w:rPr>
              <w:t>Fair</w:t>
            </w:r>
          </w:p>
        </w:tc>
        <w:tc>
          <w:tcPr>
            <w:tcW w:w="11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Estimated</w:t>
            </w:r>
          </w:p>
        </w:tc>
        <w:tc>
          <w:tcPr>
            <w:tcW w:w="0" w:type="dxa"/>
            <w:vAlign w:val="bottom"/>
          </w:tcPr>
          <w:p>
            <w:pPr>
              <w:spacing w:after="0"/>
              <w:rPr>
                <w:sz w:val="1"/>
                <w:szCs w:val="1"/>
                <w:color w:val="auto"/>
              </w:rPr>
            </w:pPr>
          </w:p>
        </w:tc>
      </w:tr>
      <w:tr>
        <w:trPr>
          <w:trHeight w:val="200"/>
        </w:trPr>
        <w:tc>
          <w:tcPr>
            <w:tcW w:w="458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center"/>
              <w:ind w:right="181"/>
              <w:spacing w:after="0"/>
              <w:rPr>
                <w:sz w:val="20"/>
                <w:szCs w:val="20"/>
                <w:color w:val="auto"/>
              </w:rPr>
            </w:pPr>
            <w:r>
              <w:rPr>
                <w:rFonts w:ascii="Arial" w:cs="Arial" w:eastAsia="Arial" w:hAnsi="Arial"/>
                <w:sz w:val="14"/>
                <w:szCs w:val="14"/>
                <w:b w:val="1"/>
                <w:bCs w:val="1"/>
                <w:color w:val="auto"/>
                <w:w w:val="89"/>
              </w:rPr>
              <w:t>Cost</w:t>
            </w:r>
          </w:p>
        </w:tc>
        <w:tc>
          <w:tcPr>
            <w:tcW w:w="220" w:type="dxa"/>
            <w:vAlign w:val="bottom"/>
          </w:tcPr>
          <w:p>
            <w:pPr>
              <w:spacing w:after="0"/>
              <w:rPr>
                <w:sz w:val="17"/>
                <w:szCs w:val="17"/>
                <w:color w:val="auto"/>
              </w:rPr>
            </w:pPr>
          </w:p>
        </w:tc>
        <w:tc>
          <w:tcPr>
            <w:tcW w:w="920" w:type="dxa"/>
            <w:vAlign w:val="bottom"/>
          </w:tcPr>
          <w:p>
            <w:pPr>
              <w:jc w:val="center"/>
              <w:ind w:right="161"/>
              <w:spacing w:after="0"/>
              <w:rPr>
                <w:sz w:val="20"/>
                <w:szCs w:val="20"/>
                <w:color w:val="auto"/>
              </w:rPr>
            </w:pPr>
            <w:r>
              <w:rPr>
                <w:rFonts w:ascii="Arial" w:cs="Arial" w:eastAsia="Arial" w:hAnsi="Arial"/>
                <w:sz w:val="14"/>
                <w:szCs w:val="14"/>
                <w:b w:val="1"/>
                <w:bCs w:val="1"/>
                <w:color w:val="auto"/>
                <w:w w:val="92"/>
              </w:rPr>
              <w:t>Gains</w:t>
            </w:r>
          </w:p>
        </w:tc>
        <w:tc>
          <w:tcPr>
            <w:tcW w:w="260" w:type="dxa"/>
            <w:vAlign w:val="bottom"/>
          </w:tcPr>
          <w:p>
            <w:pPr>
              <w:spacing w:after="0"/>
              <w:rPr>
                <w:sz w:val="17"/>
                <w:szCs w:val="17"/>
                <w:color w:val="auto"/>
              </w:rPr>
            </w:pPr>
          </w:p>
        </w:tc>
        <w:tc>
          <w:tcPr>
            <w:tcW w:w="900" w:type="dxa"/>
            <w:vAlign w:val="bottom"/>
          </w:tcPr>
          <w:p>
            <w:pPr>
              <w:jc w:val="right"/>
              <w:ind w:right="281"/>
              <w:spacing w:after="0"/>
              <w:rPr>
                <w:sz w:val="20"/>
                <w:szCs w:val="20"/>
                <w:color w:val="auto"/>
              </w:rPr>
            </w:pPr>
            <w:r>
              <w:rPr>
                <w:rFonts w:ascii="Arial" w:cs="Arial" w:eastAsia="Arial" w:hAnsi="Arial"/>
                <w:sz w:val="14"/>
                <w:szCs w:val="14"/>
                <w:b w:val="1"/>
                <w:bCs w:val="1"/>
                <w:color w:val="auto"/>
              </w:rPr>
              <w:t>Months</w:t>
            </w:r>
          </w:p>
        </w:tc>
        <w:tc>
          <w:tcPr>
            <w:tcW w:w="240" w:type="dxa"/>
            <w:vAlign w:val="bottom"/>
          </w:tcPr>
          <w:p>
            <w:pPr>
              <w:spacing w:after="0"/>
              <w:rPr>
                <w:sz w:val="17"/>
                <w:szCs w:val="17"/>
                <w:color w:val="auto"/>
              </w:rPr>
            </w:pPr>
          </w:p>
        </w:tc>
        <w:tc>
          <w:tcPr>
            <w:tcW w:w="860" w:type="dxa"/>
            <w:vAlign w:val="bottom"/>
          </w:tcPr>
          <w:p>
            <w:pPr>
              <w:jc w:val="right"/>
              <w:ind w:right="238"/>
              <w:spacing w:after="0"/>
              <w:rPr>
                <w:sz w:val="20"/>
                <w:szCs w:val="20"/>
                <w:color w:val="auto"/>
              </w:rPr>
            </w:pPr>
            <w:r>
              <w:rPr>
                <w:rFonts w:ascii="Arial" w:cs="Arial" w:eastAsia="Arial" w:hAnsi="Arial"/>
                <w:sz w:val="14"/>
                <w:szCs w:val="14"/>
                <w:b w:val="1"/>
                <w:bCs w:val="1"/>
                <w:color w:val="auto"/>
              </w:rPr>
              <w:t>Months</w:t>
            </w:r>
          </w:p>
        </w:tc>
        <w:tc>
          <w:tcPr>
            <w:tcW w:w="240" w:type="dxa"/>
            <w:vAlign w:val="bottom"/>
          </w:tcPr>
          <w:p>
            <w:pPr>
              <w:spacing w:after="0"/>
              <w:rPr>
                <w:sz w:val="17"/>
                <w:szCs w:val="17"/>
                <w:color w:val="auto"/>
              </w:rPr>
            </w:pPr>
          </w:p>
        </w:tc>
        <w:tc>
          <w:tcPr>
            <w:tcW w:w="980" w:type="dxa"/>
            <w:vAlign w:val="bottom"/>
          </w:tcPr>
          <w:p>
            <w:pPr>
              <w:jc w:val="center"/>
              <w:ind w:right="241"/>
              <w:spacing w:after="0"/>
              <w:rPr>
                <w:sz w:val="20"/>
                <w:szCs w:val="20"/>
                <w:color w:val="auto"/>
              </w:rPr>
            </w:pPr>
            <w:r>
              <w:rPr>
                <w:rFonts w:ascii="Arial" w:cs="Arial" w:eastAsia="Arial" w:hAnsi="Arial"/>
                <w:sz w:val="14"/>
                <w:szCs w:val="14"/>
                <w:b w:val="1"/>
                <w:bCs w:val="1"/>
                <w:color w:val="auto"/>
                <w:w w:val="90"/>
              </w:rPr>
              <w:t>Value</w:t>
            </w:r>
          </w:p>
        </w:tc>
        <w:tc>
          <w:tcPr>
            <w:tcW w:w="11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35"/>
        </w:trPr>
        <w:tc>
          <w:tcPr>
            <w:tcW w:w="20" w:type="dxa"/>
            <w:vAlign w:val="bottom"/>
            <w:vMerge w:val="restart"/>
          </w:tcPr>
          <w:p>
            <w:pPr>
              <w:spacing w:after="0"/>
              <w:rPr>
                <w:sz w:val="20"/>
                <w:szCs w:val="20"/>
                <w:color w:val="auto"/>
              </w:rPr>
            </w:pPr>
          </w:p>
        </w:tc>
        <w:tc>
          <w:tcPr>
            <w:tcW w:w="456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4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7"/>
                <w:szCs w:val="17"/>
                <w:color w:val="auto"/>
              </w:rPr>
              <w:t>U.S. Treasury securities</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ind w:right="41"/>
              <w:spacing w:after="0"/>
              <w:rPr>
                <w:sz w:val="20"/>
                <w:szCs w:val="20"/>
                <w:color w:val="auto"/>
              </w:rPr>
            </w:pPr>
            <w:r>
              <w:rPr>
                <w:rFonts w:ascii="Arial" w:cs="Arial" w:eastAsia="Arial" w:hAnsi="Arial"/>
                <w:sz w:val="17"/>
                <w:szCs w:val="17"/>
                <w:color w:val="auto"/>
              </w:rPr>
              <w:t>729,507</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ind w:right="41"/>
              <w:spacing w:after="0"/>
              <w:rPr>
                <w:sz w:val="20"/>
                <w:szCs w:val="20"/>
                <w:color w:val="auto"/>
              </w:rPr>
            </w:pPr>
            <w:r>
              <w:rPr>
                <w:rFonts w:ascii="Arial" w:cs="Arial" w:eastAsia="Arial" w:hAnsi="Arial"/>
                <w:sz w:val="17"/>
                <w:szCs w:val="17"/>
                <w:color w:val="auto"/>
              </w:rPr>
              <w:t>147,532</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(3,964)</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ind w:right="101"/>
              <w:spacing w:after="0"/>
              <w:rPr>
                <w:sz w:val="20"/>
                <w:szCs w:val="20"/>
                <w:color w:val="auto"/>
              </w:rPr>
            </w:pPr>
            <w:r>
              <w:rPr>
                <w:rFonts w:ascii="Arial" w:cs="Arial" w:eastAsia="Arial" w:hAnsi="Arial"/>
                <w:sz w:val="17"/>
                <w:szCs w:val="17"/>
                <w:color w:val="auto"/>
              </w:rPr>
              <w:t>873,075</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19.7%</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7"/>
                <w:szCs w:val="17"/>
                <w:color w:val="auto"/>
              </w:rPr>
              <w:t>Political subdivisions of States,</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7"/>
                <w:szCs w:val="17"/>
                <w:color w:val="auto"/>
              </w:rPr>
              <w:t>Territories and Possessions</w:t>
            </w:r>
          </w:p>
        </w:tc>
        <w:tc>
          <w:tcPr>
            <w:tcW w:w="220" w:type="dxa"/>
            <w:vAlign w:val="bottom"/>
          </w:tcPr>
          <w:p>
            <w:pPr>
              <w:spacing w:after="0"/>
              <w:rPr>
                <w:sz w:val="18"/>
                <w:szCs w:val="18"/>
                <w:color w:val="auto"/>
              </w:rPr>
            </w:pPr>
          </w:p>
        </w:tc>
        <w:tc>
          <w:tcPr>
            <w:tcW w:w="940" w:type="dxa"/>
            <w:vAlign w:val="bottom"/>
          </w:tcPr>
          <w:p>
            <w:pPr>
              <w:jc w:val="right"/>
              <w:ind w:right="41"/>
              <w:spacing w:after="0"/>
              <w:rPr>
                <w:sz w:val="20"/>
                <w:szCs w:val="20"/>
                <w:color w:val="auto"/>
              </w:rPr>
            </w:pPr>
            <w:r>
              <w:rPr>
                <w:rFonts w:ascii="Arial" w:cs="Arial" w:eastAsia="Arial" w:hAnsi="Arial"/>
                <w:sz w:val="17"/>
                <w:szCs w:val="17"/>
                <w:color w:val="auto"/>
              </w:rPr>
              <w:t>998,803</w:t>
            </w:r>
          </w:p>
        </w:tc>
        <w:tc>
          <w:tcPr>
            <w:tcW w:w="220" w:type="dxa"/>
            <w:vAlign w:val="bottom"/>
          </w:tcPr>
          <w:p>
            <w:pPr>
              <w:spacing w:after="0"/>
              <w:rPr>
                <w:sz w:val="18"/>
                <w:szCs w:val="18"/>
                <w:color w:val="auto"/>
              </w:rPr>
            </w:pPr>
          </w:p>
        </w:tc>
        <w:tc>
          <w:tcPr>
            <w:tcW w:w="920" w:type="dxa"/>
            <w:vAlign w:val="bottom"/>
          </w:tcPr>
          <w:p>
            <w:pPr>
              <w:jc w:val="right"/>
              <w:ind w:right="41"/>
              <w:spacing w:after="0"/>
              <w:rPr>
                <w:sz w:val="20"/>
                <w:szCs w:val="20"/>
                <w:color w:val="auto"/>
              </w:rPr>
            </w:pPr>
            <w:r>
              <w:rPr>
                <w:rFonts w:ascii="Arial" w:cs="Arial" w:eastAsia="Arial" w:hAnsi="Arial"/>
                <w:sz w:val="17"/>
                <w:szCs w:val="17"/>
                <w:color w:val="auto"/>
              </w:rPr>
              <w:t>33,862</w:t>
            </w:r>
          </w:p>
        </w:tc>
        <w:tc>
          <w:tcPr>
            <w:tcW w:w="260" w:type="dxa"/>
            <w:vAlign w:val="bottom"/>
          </w:tcPr>
          <w:p>
            <w:pPr>
              <w:spacing w:after="0"/>
              <w:rPr>
                <w:sz w:val="18"/>
                <w:szCs w:val="18"/>
                <w:color w:val="auto"/>
              </w:rPr>
            </w:pPr>
          </w:p>
        </w:tc>
        <w:tc>
          <w:tcPr>
            <w:tcW w:w="900" w:type="dxa"/>
            <w:vAlign w:val="bottom"/>
          </w:tcPr>
          <w:p>
            <w:pPr>
              <w:jc w:val="right"/>
              <w:ind w:right="61"/>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860" w:type="dxa"/>
            <w:vAlign w:val="bottom"/>
          </w:tcPr>
          <w:p>
            <w:pPr>
              <w:jc w:val="right"/>
              <w:ind w:right="18"/>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980" w:type="dxa"/>
            <w:vAlign w:val="bottom"/>
          </w:tcPr>
          <w:p>
            <w:pPr>
              <w:jc w:val="right"/>
              <w:ind w:right="101"/>
              <w:spacing w:after="0"/>
              <w:rPr>
                <w:sz w:val="20"/>
                <w:szCs w:val="20"/>
                <w:color w:val="auto"/>
              </w:rPr>
            </w:pPr>
            <w:r>
              <w:rPr>
                <w:rFonts w:ascii="Arial" w:cs="Arial" w:eastAsia="Arial" w:hAnsi="Arial"/>
                <w:sz w:val="17"/>
                <w:szCs w:val="17"/>
                <w:color w:val="auto"/>
              </w:rPr>
              <w:t>1,032,665</w:t>
            </w:r>
          </w:p>
        </w:tc>
        <w:tc>
          <w:tcPr>
            <w:tcW w:w="1060" w:type="dxa"/>
            <w:vAlign w:val="bottom"/>
          </w:tcPr>
          <w:p>
            <w:pPr>
              <w:jc w:val="right"/>
              <w:spacing w:after="0"/>
              <w:rPr>
                <w:sz w:val="20"/>
                <w:szCs w:val="20"/>
                <w:color w:val="auto"/>
              </w:rPr>
            </w:pPr>
            <w:r>
              <w:rPr>
                <w:rFonts w:ascii="Arial" w:cs="Arial" w:eastAsia="Arial" w:hAnsi="Arial"/>
                <w:sz w:val="17"/>
                <w:szCs w:val="17"/>
                <w:color w:val="auto"/>
              </w:rPr>
              <w:t>23.3%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7"/>
                <w:szCs w:val="17"/>
                <w:color w:val="auto"/>
              </w:rPr>
              <w:t>Corporate and other bonds</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Industrial and miscellaneous</w:t>
            </w:r>
          </w:p>
        </w:tc>
        <w:tc>
          <w:tcPr>
            <w:tcW w:w="2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7"/>
                <w:szCs w:val="17"/>
                <w:color w:val="auto"/>
              </w:rPr>
              <w:t>2,494,545</w:t>
            </w: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7"/>
                <w:szCs w:val="17"/>
                <w:color w:val="auto"/>
              </w:rPr>
              <w:t>38,461</w:t>
            </w: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7"/>
                <w:szCs w:val="17"/>
                <w:color w:val="auto"/>
              </w:rPr>
              <w:t>(1,425)</w:t>
            </w: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(10,905)</w:t>
            </w: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7"/>
                <w:szCs w:val="17"/>
                <w:color w:val="auto"/>
              </w:rPr>
              <w:t>2,520,676</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57.0%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0" w:type="dxa"/>
            <w:vAlign w:val="bottom"/>
            <w:vMerge w:val="continue"/>
          </w:tcPr>
          <w:p>
            <w:pPr>
              <w:spacing w:after="0"/>
              <w:rPr>
                <w:sz w:val="21"/>
                <w:szCs w:val="21"/>
                <w:color w:val="auto"/>
              </w:rPr>
            </w:pPr>
          </w:p>
        </w:tc>
        <w:tc>
          <w:tcPr>
            <w:tcW w:w="4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Total</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7"/>
                <w:szCs w:val="17"/>
                <w:color w:val="auto"/>
              </w:rPr>
              <w:t>4,222,855</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7"/>
                <w:szCs w:val="17"/>
                <w:color w:val="auto"/>
              </w:rPr>
              <w:t>219,855</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7"/>
                <w:szCs w:val="17"/>
                <w:color w:val="auto"/>
              </w:rPr>
              <w:t>(5,389)</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(10,905)</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7"/>
                <w:szCs w:val="17"/>
                <w:color w:val="auto"/>
              </w:rPr>
              <w:t>4,426,416</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100.0%</w:t>
            </w:r>
          </w:p>
        </w:tc>
        <w:tc>
          <w:tcPr>
            <w:tcW w:w="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Held-to-maturity U.S. Treasury securities are held in trust pursuant to various states’ minimum fund requirements.</w:t>
      </w:r>
    </w:p>
    <w:p>
      <w:pPr>
        <w:spacing w:after="0" w:line="223" w:lineRule="exact"/>
        <w:rPr>
          <w:sz w:val="20"/>
          <w:szCs w:val="20"/>
          <w:color w:val="auto"/>
        </w:rPr>
      </w:pPr>
    </w:p>
    <w:p>
      <w:pPr>
        <w:ind w:right="60"/>
        <w:spacing w:after="0" w:line="281" w:lineRule="auto"/>
        <w:rPr>
          <w:sz w:val="20"/>
          <w:szCs w:val="20"/>
          <w:color w:val="auto"/>
        </w:rPr>
      </w:pPr>
      <w:r>
        <w:rPr>
          <w:rFonts w:ascii="Arial" w:cs="Arial" w:eastAsia="Arial" w:hAnsi="Arial"/>
          <w:sz w:val="17"/>
          <w:szCs w:val="17"/>
          <w:color w:val="auto"/>
        </w:rPr>
        <w:t>A summary of the amortized cost and fair value of our investments in held-to-maturity securities by contractual maturity as of March 31, 2019 and December 31, 2018 is shown below:</w:t>
      </w:r>
    </w:p>
    <w:p>
      <w:pPr>
        <w:sectPr>
          <w:pgSz w:w="11900" w:h="16838" w:orient="portrait"/>
          <w:cols w:equalWidth="0" w:num="1">
            <w:col w:w="11460"/>
          </w:cols>
          <w:pgMar w:left="240" w:top="545" w:right="1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Remaining Time to Maturity</w:t>
      </w:r>
    </w:p>
    <w:p>
      <w:pPr>
        <w:spacing w:after="0" w:line="317" w:lineRule="exact"/>
        <w:rPr>
          <w:sz w:val="20"/>
          <w:szCs w:val="20"/>
          <w:color w:val="auto"/>
        </w:rPr>
      </w:pPr>
    </w:p>
    <w:p>
      <w:pPr>
        <w:spacing w:after="0"/>
        <w:rPr>
          <w:sz w:val="20"/>
          <w:szCs w:val="20"/>
          <w:color w:val="auto"/>
        </w:rPr>
      </w:pPr>
      <w:r>
        <w:rPr>
          <w:rFonts w:ascii="Arial" w:cs="Arial" w:eastAsia="Arial" w:hAnsi="Arial"/>
          <w:sz w:val="17"/>
          <w:szCs w:val="17"/>
          <w:color w:val="auto"/>
        </w:rPr>
        <w:t>Less than one year</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One to five years</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Five to ten years</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More than 10 years</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Total</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7"/>
        </w:trPr>
        <w:tc>
          <w:tcPr>
            <w:tcW w:w="26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gridSpan w:val="3"/>
          </w:tcPr>
          <w:p>
            <w:pPr>
              <w:jc w:val="right"/>
              <w:ind w:right="699"/>
              <w:spacing w:after="0"/>
              <w:rPr>
                <w:sz w:val="20"/>
                <w:szCs w:val="20"/>
                <w:color w:val="auto"/>
              </w:rPr>
            </w:pPr>
            <w:r>
              <w:rPr>
                <w:rFonts w:ascii="Arial" w:cs="Arial" w:eastAsia="Arial" w:hAnsi="Arial"/>
                <w:sz w:val="14"/>
                <w:szCs w:val="14"/>
                <w:b w:val="1"/>
                <w:bCs w:val="1"/>
                <w:color w:val="auto"/>
              </w:rPr>
              <w:t>March 31, 2019</w:t>
            </w:r>
          </w:p>
        </w:tc>
        <w:tc>
          <w:tcPr>
            <w:tcW w:w="26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gridSpan w:val="3"/>
          </w:tcPr>
          <w:p>
            <w:pPr>
              <w:jc w:val="right"/>
              <w:ind w:right="599"/>
              <w:spacing w:after="0"/>
              <w:rPr>
                <w:sz w:val="20"/>
                <w:szCs w:val="20"/>
                <w:color w:val="auto"/>
              </w:rPr>
            </w:pPr>
            <w:r>
              <w:rPr>
                <w:rFonts w:ascii="Arial" w:cs="Arial" w:eastAsia="Arial" w:hAnsi="Arial"/>
                <w:sz w:val="14"/>
                <w:szCs w:val="14"/>
                <w:b w:val="1"/>
                <w:bCs w:val="1"/>
                <w:color w:val="auto"/>
              </w:rPr>
              <w:t>December 31, 2018</w:t>
            </w:r>
          </w:p>
        </w:tc>
      </w:tr>
      <w:tr>
        <w:trPr>
          <w:trHeight w:val="225"/>
        </w:trPr>
        <w:tc>
          <w:tcPr>
            <w:tcW w:w="260" w:type="dxa"/>
            <w:vAlign w:val="bottom"/>
          </w:tcPr>
          <w:p>
            <w:pPr>
              <w:spacing w:after="0"/>
              <w:rPr>
                <w:sz w:val="19"/>
                <w:szCs w:val="19"/>
                <w:color w:val="auto"/>
              </w:rPr>
            </w:pPr>
          </w:p>
        </w:tc>
        <w:tc>
          <w:tcPr>
            <w:tcW w:w="1020" w:type="dxa"/>
            <w:vAlign w:val="bottom"/>
          </w:tcPr>
          <w:p>
            <w:pPr>
              <w:jc w:val="right"/>
              <w:ind w:right="220"/>
              <w:spacing w:after="0"/>
              <w:rPr>
                <w:sz w:val="20"/>
                <w:szCs w:val="20"/>
                <w:color w:val="auto"/>
              </w:rPr>
            </w:pPr>
            <w:r>
              <w:rPr>
                <w:rFonts w:ascii="Arial" w:cs="Arial" w:eastAsia="Arial" w:hAnsi="Arial"/>
                <w:sz w:val="14"/>
                <w:szCs w:val="14"/>
                <w:b w:val="1"/>
                <w:bCs w:val="1"/>
                <w:color w:val="auto"/>
              </w:rPr>
              <w:t>Amortized</w:t>
            </w:r>
          </w:p>
        </w:tc>
        <w:tc>
          <w:tcPr>
            <w:tcW w:w="240" w:type="dxa"/>
            <w:vAlign w:val="bottom"/>
          </w:tcPr>
          <w:p>
            <w:pPr>
              <w:spacing w:after="0"/>
              <w:rPr>
                <w:sz w:val="19"/>
                <w:szCs w:val="19"/>
                <w:color w:val="auto"/>
              </w:rPr>
            </w:pPr>
          </w:p>
        </w:tc>
        <w:tc>
          <w:tcPr>
            <w:tcW w:w="1020" w:type="dxa"/>
            <w:vAlign w:val="bottom"/>
          </w:tcPr>
          <w:p>
            <w:pPr>
              <w:jc w:val="right"/>
              <w:ind w:right="239"/>
              <w:spacing w:after="0"/>
              <w:rPr>
                <w:sz w:val="20"/>
                <w:szCs w:val="20"/>
                <w:color w:val="auto"/>
              </w:rPr>
            </w:pPr>
            <w:r>
              <w:rPr>
                <w:rFonts w:ascii="Arial" w:cs="Arial" w:eastAsia="Arial" w:hAnsi="Arial"/>
                <w:sz w:val="14"/>
                <w:szCs w:val="14"/>
                <w:b w:val="1"/>
                <w:bCs w:val="1"/>
                <w:color w:val="auto"/>
              </w:rPr>
              <w:t>Estimated</w:t>
            </w:r>
          </w:p>
        </w:tc>
        <w:tc>
          <w:tcPr>
            <w:tcW w:w="260" w:type="dxa"/>
            <w:vAlign w:val="bottom"/>
          </w:tcPr>
          <w:p>
            <w:pPr>
              <w:spacing w:after="0"/>
              <w:rPr>
                <w:sz w:val="19"/>
                <w:szCs w:val="19"/>
                <w:color w:val="auto"/>
              </w:rPr>
            </w:pPr>
          </w:p>
        </w:tc>
        <w:tc>
          <w:tcPr>
            <w:tcW w:w="1020" w:type="dxa"/>
            <w:vAlign w:val="bottom"/>
          </w:tcPr>
          <w:p>
            <w:pPr>
              <w:jc w:val="right"/>
              <w:ind w:right="240"/>
              <w:spacing w:after="0"/>
              <w:rPr>
                <w:sz w:val="20"/>
                <w:szCs w:val="20"/>
                <w:color w:val="auto"/>
              </w:rPr>
            </w:pPr>
            <w:r>
              <w:rPr>
                <w:rFonts w:ascii="Arial" w:cs="Arial" w:eastAsia="Arial" w:hAnsi="Arial"/>
                <w:sz w:val="14"/>
                <w:szCs w:val="14"/>
                <w:b w:val="1"/>
                <w:bCs w:val="1"/>
                <w:color w:val="auto"/>
                <w:w w:val="99"/>
              </w:rPr>
              <w:t>Amortized</w:t>
            </w:r>
          </w:p>
        </w:tc>
        <w:tc>
          <w:tcPr>
            <w:tcW w:w="240" w:type="dxa"/>
            <w:vAlign w:val="bottom"/>
          </w:tcPr>
          <w:p>
            <w:pPr>
              <w:spacing w:after="0"/>
              <w:rPr>
                <w:sz w:val="19"/>
                <w:szCs w:val="19"/>
                <w:color w:val="auto"/>
              </w:rPr>
            </w:pPr>
          </w:p>
        </w:tc>
        <w:tc>
          <w:tcPr>
            <w:tcW w:w="1020" w:type="dxa"/>
            <w:vAlign w:val="bottom"/>
          </w:tcPr>
          <w:p>
            <w:pPr>
              <w:jc w:val="right"/>
              <w:ind w:right="239"/>
              <w:spacing w:after="0"/>
              <w:rPr>
                <w:sz w:val="20"/>
                <w:szCs w:val="20"/>
                <w:color w:val="auto"/>
              </w:rPr>
            </w:pPr>
            <w:r>
              <w:rPr>
                <w:rFonts w:ascii="Arial" w:cs="Arial" w:eastAsia="Arial" w:hAnsi="Arial"/>
                <w:sz w:val="14"/>
                <w:szCs w:val="14"/>
                <w:b w:val="1"/>
                <w:bCs w:val="1"/>
                <w:color w:val="auto"/>
              </w:rPr>
              <w:t>Estimated</w:t>
            </w:r>
          </w:p>
        </w:tc>
      </w:tr>
      <w:tr>
        <w:trPr>
          <w:trHeight w:val="235"/>
        </w:trPr>
        <w:tc>
          <w:tcPr>
            <w:tcW w:w="260" w:type="dxa"/>
            <w:vAlign w:val="bottom"/>
          </w:tcPr>
          <w:p>
            <w:pPr>
              <w:spacing w:after="0"/>
              <w:rPr>
                <w:sz w:val="20"/>
                <w:szCs w:val="20"/>
                <w:color w:val="auto"/>
              </w:rPr>
            </w:pPr>
          </w:p>
        </w:tc>
        <w:tc>
          <w:tcPr>
            <w:tcW w:w="1020" w:type="dxa"/>
            <w:vAlign w:val="bottom"/>
          </w:tcPr>
          <w:p>
            <w:pPr>
              <w:jc w:val="right"/>
              <w:ind w:right="440"/>
              <w:spacing w:after="0"/>
              <w:rPr>
                <w:sz w:val="20"/>
                <w:szCs w:val="20"/>
                <w:color w:val="auto"/>
              </w:rPr>
            </w:pPr>
            <w:r>
              <w:rPr>
                <w:rFonts w:ascii="Arial" w:cs="Arial" w:eastAsia="Arial" w:hAnsi="Arial"/>
                <w:sz w:val="14"/>
                <w:szCs w:val="14"/>
                <w:b w:val="1"/>
                <w:bCs w:val="1"/>
                <w:color w:val="auto"/>
              </w:rPr>
              <w:t>Cost</w:t>
            </w:r>
          </w:p>
        </w:tc>
        <w:tc>
          <w:tcPr>
            <w:tcW w:w="240" w:type="dxa"/>
            <w:vAlign w:val="bottom"/>
          </w:tcPr>
          <w:p>
            <w:pPr>
              <w:spacing w:after="0"/>
              <w:rPr>
                <w:sz w:val="20"/>
                <w:szCs w:val="20"/>
                <w:color w:val="auto"/>
              </w:rPr>
            </w:pPr>
          </w:p>
        </w:tc>
        <w:tc>
          <w:tcPr>
            <w:tcW w:w="1020" w:type="dxa"/>
            <w:vAlign w:val="bottom"/>
          </w:tcPr>
          <w:p>
            <w:pPr>
              <w:jc w:val="right"/>
              <w:ind w:right="239"/>
              <w:spacing w:after="0"/>
              <w:rPr>
                <w:sz w:val="20"/>
                <w:szCs w:val="20"/>
                <w:color w:val="auto"/>
              </w:rPr>
            </w:pPr>
            <w:r>
              <w:rPr>
                <w:rFonts w:ascii="Arial" w:cs="Arial" w:eastAsia="Arial" w:hAnsi="Arial"/>
                <w:sz w:val="14"/>
                <w:szCs w:val="14"/>
                <w:b w:val="1"/>
                <w:bCs w:val="1"/>
                <w:color w:val="auto"/>
              </w:rPr>
              <w:t>Fair Value</w:t>
            </w:r>
          </w:p>
        </w:tc>
        <w:tc>
          <w:tcPr>
            <w:tcW w:w="260" w:type="dxa"/>
            <w:vAlign w:val="bottom"/>
          </w:tcPr>
          <w:p>
            <w:pPr>
              <w:spacing w:after="0"/>
              <w:rPr>
                <w:sz w:val="20"/>
                <w:szCs w:val="20"/>
                <w:color w:val="auto"/>
              </w:rPr>
            </w:pPr>
          </w:p>
        </w:tc>
        <w:tc>
          <w:tcPr>
            <w:tcW w:w="1020" w:type="dxa"/>
            <w:vAlign w:val="bottom"/>
          </w:tcPr>
          <w:p>
            <w:pPr>
              <w:jc w:val="right"/>
              <w:ind w:right="440"/>
              <w:spacing w:after="0"/>
              <w:rPr>
                <w:sz w:val="20"/>
                <w:szCs w:val="20"/>
                <w:color w:val="auto"/>
              </w:rPr>
            </w:pPr>
            <w:r>
              <w:rPr>
                <w:rFonts w:ascii="Arial" w:cs="Arial" w:eastAsia="Arial" w:hAnsi="Arial"/>
                <w:sz w:val="14"/>
                <w:szCs w:val="14"/>
                <w:b w:val="1"/>
                <w:bCs w:val="1"/>
                <w:color w:val="auto"/>
              </w:rPr>
              <w:t>Cost</w:t>
            </w:r>
          </w:p>
        </w:tc>
        <w:tc>
          <w:tcPr>
            <w:tcW w:w="240" w:type="dxa"/>
            <w:vAlign w:val="bottom"/>
          </w:tcPr>
          <w:p>
            <w:pPr>
              <w:spacing w:after="0"/>
              <w:rPr>
                <w:sz w:val="20"/>
                <w:szCs w:val="20"/>
                <w:color w:val="auto"/>
              </w:rPr>
            </w:pPr>
          </w:p>
        </w:tc>
        <w:tc>
          <w:tcPr>
            <w:tcW w:w="1020" w:type="dxa"/>
            <w:vAlign w:val="bottom"/>
          </w:tcPr>
          <w:p>
            <w:pPr>
              <w:jc w:val="right"/>
              <w:ind w:right="239"/>
              <w:spacing w:after="0"/>
              <w:rPr>
                <w:sz w:val="20"/>
                <w:szCs w:val="20"/>
                <w:color w:val="auto"/>
              </w:rPr>
            </w:pPr>
            <w:r>
              <w:rPr>
                <w:rFonts w:ascii="Arial" w:cs="Arial" w:eastAsia="Arial" w:hAnsi="Arial"/>
                <w:sz w:val="14"/>
                <w:szCs w:val="14"/>
                <w:b w:val="1"/>
                <w:bCs w:val="1"/>
                <w:color w:val="auto"/>
              </w:rPr>
              <w:t>Fair Value</w:t>
            </w:r>
          </w:p>
        </w:tc>
      </w:tr>
      <w:tr>
        <w:trPr>
          <w:trHeight w:val="446"/>
        </w:trPr>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40"/>
              <w:spacing w:after="0"/>
              <w:rPr>
                <w:sz w:val="20"/>
                <w:szCs w:val="20"/>
                <w:color w:val="auto"/>
              </w:rPr>
            </w:pPr>
            <w:r>
              <w:rPr>
                <w:rFonts w:ascii="Arial" w:cs="Arial" w:eastAsia="Arial" w:hAnsi="Arial"/>
                <w:sz w:val="17"/>
                <w:szCs w:val="17"/>
                <w:color w:val="auto"/>
              </w:rPr>
              <w:t>-</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39"/>
              <w:spacing w:after="0"/>
              <w:rPr>
                <w:sz w:val="20"/>
                <w:szCs w:val="20"/>
                <w:color w:val="auto"/>
              </w:rPr>
            </w:pPr>
            <w:r>
              <w:rPr>
                <w:rFonts w:ascii="Arial" w:cs="Arial" w:eastAsia="Arial" w:hAnsi="Arial"/>
                <w:sz w:val="17"/>
                <w:szCs w:val="17"/>
                <w:color w:val="auto"/>
              </w:rPr>
              <w:t>-</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60"/>
              <w:spacing w:after="0"/>
              <w:rPr>
                <w:sz w:val="20"/>
                <w:szCs w:val="20"/>
                <w:color w:val="auto"/>
              </w:rPr>
            </w:pPr>
            <w:r>
              <w:rPr>
                <w:rFonts w:ascii="Arial" w:cs="Arial" w:eastAsia="Arial" w:hAnsi="Arial"/>
                <w:sz w:val="17"/>
                <w:szCs w:val="17"/>
                <w:color w:val="auto"/>
              </w:rPr>
              <w:t>-</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39"/>
              <w:spacing w:after="0"/>
              <w:rPr>
                <w:sz w:val="20"/>
                <w:szCs w:val="20"/>
                <w:color w:val="auto"/>
              </w:rPr>
            </w:pPr>
            <w:r>
              <w:rPr>
                <w:rFonts w:ascii="Arial" w:cs="Arial" w:eastAsia="Arial" w:hAnsi="Arial"/>
                <w:sz w:val="17"/>
                <w:szCs w:val="17"/>
                <w:color w:val="auto"/>
              </w:rPr>
              <w:t>-</w:t>
            </w:r>
          </w:p>
        </w:tc>
      </w:tr>
      <w:tr>
        <w:trPr>
          <w:trHeight w:val="209"/>
        </w:trPr>
        <w:tc>
          <w:tcPr>
            <w:tcW w:w="260" w:type="dxa"/>
            <w:vAlign w:val="bottom"/>
          </w:tcPr>
          <w:p>
            <w:pPr>
              <w:spacing w:after="0"/>
              <w:rPr>
                <w:sz w:val="18"/>
                <w:szCs w:val="18"/>
                <w:color w:val="auto"/>
              </w:rPr>
            </w:pPr>
          </w:p>
        </w:tc>
        <w:tc>
          <w:tcPr>
            <w:tcW w:w="1020" w:type="dxa"/>
            <w:vAlign w:val="bottom"/>
          </w:tcPr>
          <w:p>
            <w:pPr>
              <w:jc w:val="right"/>
              <w:ind w:right="40"/>
              <w:spacing w:after="0"/>
              <w:rPr>
                <w:sz w:val="20"/>
                <w:szCs w:val="20"/>
                <w:color w:val="auto"/>
              </w:rPr>
            </w:pPr>
            <w:r>
              <w:rPr>
                <w:rFonts w:ascii="Arial" w:cs="Arial" w:eastAsia="Arial" w:hAnsi="Arial"/>
                <w:sz w:val="17"/>
                <w:szCs w:val="17"/>
                <w:color w:val="auto"/>
              </w:rPr>
              <w:t>2,598,323</w:t>
            </w:r>
          </w:p>
        </w:tc>
        <w:tc>
          <w:tcPr>
            <w:tcW w:w="240" w:type="dxa"/>
            <w:vAlign w:val="bottom"/>
          </w:tcPr>
          <w:p>
            <w:pPr>
              <w:spacing w:after="0"/>
              <w:rPr>
                <w:sz w:val="18"/>
                <w:szCs w:val="18"/>
                <w:color w:val="auto"/>
              </w:rPr>
            </w:pPr>
          </w:p>
        </w:tc>
        <w:tc>
          <w:tcPr>
            <w:tcW w:w="1020" w:type="dxa"/>
            <w:vAlign w:val="bottom"/>
          </w:tcPr>
          <w:p>
            <w:pPr>
              <w:jc w:val="right"/>
              <w:ind w:right="39"/>
              <w:spacing w:after="0"/>
              <w:rPr>
                <w:sz w:val="20"/>
                <w:szCs w:val="20"/>
                <w:color w:val="auto"/>
              </w:rPr>
            </w:pPr>
            <w:r>
              <w:rPr>
                <w:rFonts w:ascii="Arial" w:cs="Arial" w:eastAsia="Arial" w:hAnsi="Arial"/>
                <w:sz w:val="17"/>
                <w:szCs w:val="17"/>
                <w:color w:val="auto"/>
              </w:rPr>
              <w:t>2,676,159</w:t>
            </w:r>
          </w:p>
        </w:tc>
        <w:tc>
          <w:tcPr>
            <w:tcW w:w="260" w:type="dxa"/>
            <w:vAlign w:val="bottom"/>
          </w:tcPr>
          <w:p>
            <w:pPr>
              <w:spacing w:after="0"/>
              <w:rPr>
                <w:sz w:val="18"/>
                <w:szCs w:val="18"/>
                <w:color w:val="auto"/>
              </w:rPr>
            </w:pPr>
          </w:p>
        </w:tc>
        <w:tc>
          <w:tcPr>
            <w:tcW w:w="1020" w:type="dxa"/>
            <w:vAlign w:val="bottom"/>
          </w:tcPr>
          <w:p>
            <w:pPr>
              <w:jc w:val="right"/>
              <w:ind w:right="60"/>
              <w:spacing w:after="0"/>
              <w:rPr>
                <w:sz w:val="20"/>
                <w:szCs w:val="20"/>
                <w:color w:val="auto"/>
              </w:rPr>
            </w:pPr>
            <w:r>
              <w:rPr>
                <w:rFonts w:ascii="Arial" w:cs="Arial" w:eastAsia="Arial" w:hAnsi="Arial"/>
                <w:sz w:val="17"/>
                <w:szCs w:val="17"/>
                <w:color w:val="auto"/>
              </w:rPr>
              <w:t>2,996,685</w:t>
            </w:r>
          </w:p>
        </w:tc>
        <w:tc>
          <w:tcPr>
            <w:tcW w:w="240" w:type="dxa"/>
            <w:vAlign w:val="bottom"/>
          </w:tcPr>
          <w:p>
            <w:pPr>
              <w:spacing w:after="0"/>
              <w:rPr>
                <w:sz w:val="18"/>
                <w:szCs w:val="18"/>
                <w:color w:val="auto"/>
              </w:rPr>
            </w:pPr>
          </w:p>
        </w:tc>
        <w:tc>
          <w:tcPr>
            <w:tcW w:w="1020" w:type="dxa"/>
            <w:vAlign w:val="bottom"/>
          </w:tcPr>
          <w:p>
            <w:pPr>
              <w:jc w:val="right"/>
              <w:ind w:right="39"/>
              <w:spacing w:after="0"/>
              <w:rPr>
                <w:sz w:val="20"/>
                <w:szCs w:val="20"/>
                <w:color w:val="auto"/>
              </w:rPr>
            </w:pPr>
            <w:r>
              <w:rPr>
                <w:rFonts w:ascii="Arial" w:cs="Arial" w:eastAsia="Arial" w:hAnsi="Arial"/>
                <w:sz w:val="17"/>
                <w:szCs w:val="17"/>
                <w:color w:val="auto"/>
              </w:rPr>
              <w:t>3,036,531</w:t>
            </w:r>
          </w:p>
        </w:tc>
      </w:tr>
      <w:tr>
        <w:trPr>
          <w:trHeight w:val="209"/>
        </w:trPr>
        <w:tc>
          <w:tcPr>
            <w:tcW w:w="260" w:type="dxa"/>
            <w:vAlign w:val="bottom"/>
          </w:tcPr>
          <w:p>
            <w:pPr>
              <w:spacing w:after="0"/>
              <w:rPr>
                <w:sz w:val="18"/>
                <w:szCs w:val="18"/>
                <w:color w:val="auto"/>
              </w:rPr>
            </w:pPr>
          </w:p>
        </w:tc>
        <w:tc>
          <w:tcPr>
            <w:tcW w:w="1020" w:type="dxa"/>
            <w:vAlign w:val="bottom"/>
          </w:tcPr>
          <w:p>
            <w:pPr>
              <w:jc w:val="right"/>
              <w:ind w:right="40"/>
              <w:spacing w:after="0"/>
              <w:rPr>
                <w:sz w:val="20"/>
                <w:szCs w:val="20"/>
                <w:color w:val="auto"/>
              </w:rPr>
            </w:pPr>
            <w:r>
              <w:rPr>
                <w:rFonts w:ascii="Arial" w:cs="Arial" w:eastAsia="Arial" w:hAnsi="Arial"/>
                <w:sz w:val="17"/>
                <w:szCs w:val="17"/>
                <w:color w:val="auto"/>
              </w:rPr>
              <w:t>619,780</w:t>
            </w:r>
          </w:p>
        </w:tc>
        <w:tc>
          <w:tcPr>
            <w:tcW w:w="240" w:type="dxa"/>
            <w:vAlign w:val="bottom"/>
          </w:tcPr>
          <w:p>
            <w:pPr>
              <w:spacing w:after="0"/>
              <w:rPr>
                <w:sz w:val="18"/>
                <w:szCs w:val="18"/>
                <w:color w:val="auto"/>
              </w:rPr>
            </w:pPr>
          </w:p>
        </w:tc>
        <w:tc>
          <w:tcPr>
            <w:tcW w:w="1020" w:type="dxa"/>
            <w:vAlign w:val="bottom"/>
          </w:tcPr>
          <w:p>
            <w:pPr>
              <w:jc w:val="right"/>
              <w:ind w:right="39"/>
              <w:spacing w:after="0"/>
              <w:rPr>
                <w:sz w:val="20"/>
                <w:szCs w:val="20"/>
                <w:color w:val="auto"/>
              </w:rPr>
            </w:pPr>
            <w:r>
              <w:rPr>
                <w:rFonts w:ascii="Arial" w:cs="Arial" w:eastAsia="Arial" w:hAnsi="Arial"/>
                <w:sz w:val="17"/>
                <w:szCs w:val="17"/>
                <w:color w:val="auto"/>
              </w:rPr>
              <w:t>646,413</w:t>
            </w:r>
          </w:p>
        </w:tc>
        <w:tc>
          <w:tcPr>
            <w:tcW w:w="260" w:type="dxa"/>
            <w:vAlign w:val="bottom"/>
          </w:tcPr>
          <w:p>
            <w:pPr>
              <w:spacing w:after="0"/>
              <w:rPr>
                <w:sz w:val="18"/>
                <w:szCs w:val="18"/>
                <w:color w:val="auto"/>
              </w:rPr>
            </w:pPr>
          </w:p>
        </w:tc>
        <w:tc>
          <w:tcPr>
            <w:tcW w:w="1020" w:type="dxa"/>
            <w:vAlign w:val="bottom"/>
          </w:tcPr>
          <w:p>
            <w:pPr>
              <w:jc w:val="right"/>
              <w:ind w:right="60"/>
              <w:spacing w:after="0"/>
              <w:rPr>
                <w:sz w:val="20"/>
                <w:szCs w:val="20"/>
                <w:color w:val="auto"/>
              </w:rPr>
            </w:pPr>
            <w:r>
              <w:rPr>
                <w:rFonts w:ascii="Arial" w:cs="Arial" w:eastAsia="Arial" w:hAnsi="Arial"/>
                <w:sz w:val="17"/>
                <w:szCs w:val="17"/>
                <w:color w:val="auto"/>
              </w:rPr>
              <w:t>619,663</w:t>
            </w:r>
          </w:p>
        </w:tc>
        <w:tc>
          <w:tcPr>
            <w:tcW w:w="240" w:type="dxa"/>
            <w:vAlign w:val="bottom"/>
          </w:tcPr>
          <w:p>
            <w:pPr>
              <w:spacing w:after="0"/>
              <w:rPr>
                <w:sz w:val="18"/>
                <w:szCs w:val="18"/>
                <w:color w:val="auto"/>
              </w:rPr>
            </w:pPr>
          </w:p>
        </w:tc>
        <w:tc>
          <w:tcPr>
            <w:tcW w:w="1020" w:type="dxa"/>
            <w:vAlign w:val="bottom"/>
          </w:tcPr>
          <w:p>
            <w:pPr>
              <w:jc w:val="right"/>
              <w:ind w:right="39"/>
              <w:spacing w:after="0"/>
              <w:rPr>
                <w:sz w:val="20"/>
                <w:szCs w:val="20"/>
                <w:color w:val="auto"/>
              </w:rPr>
            </w:pPr>
            <w:r>
              <w:rPr>
                <w:rFonts w:ascii="Arial" w:cs="Arial" w:eastAsia="Arial" w:hAnsi="Arial"/>
                <w:sz w:val="17"/>
                <w:szCs w:val="17"/>
                <w:color w:val="auto"/>
              </w:rPr>
              <w:t>635,846</w:t>
            </w:r>
          </w:p>
        </w:tc>
      </w:tr>
      <w:tr>
        <w:trPr>
          <w:trHeight w:val="224"/>
        </w:trPr>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0"/>
              <w:spacing w:after="0"/>
              <w:rPr>
                <w:sz w:val="20"/>
                <w:szCs w:val="20"/>
                <w:color w:val="auto"/>
              </w:rPr>
            </w:pPr>
            <w:r>
              <w:rPr>
                <w:rFonts w:ascii="Arial" w:cs="Arial" w:eastAsia="Arial" w:hAnsi="Arial"/>
                <w:sz w:val="17"/>
                <w:szCs w:val="17"/>
                <w:color w:val="auto"/>
              </w:rPr>
              <w:t>606,517</w:t>
            </w: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7"/>
                <w:szCs w:val="17"/>
                <w:color w:val="auto"/>
              </w:rPr>
              <w:t>754,039</w:t>
            </w: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60"/>
              <w:spacing w:after="0"/>
              <w:rPr>
                <w:sz w:val="20"/>
                <w:szCs w:val="20"/>
                <w:color w:val="auto"/>
              </w:rPr>
            </w:pPr>
            <w:r>
              <w:rPr>
                <w:rFonts w:ascii="Arial" w:cs="Arial" w:eastAsia="Arial" w:hAnsi="Arial"/>
                <w:sz w:val="17"/>
                <w:szCs w:val="17"/>
                <w:color w:val="auto"/>
              </w:rPr>
              <w:t>606,507</w:t>
            </w: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7"/>
                <w:szCs w:val="17"/>
                <w:color w:val="auto"/>
              </w:rPr>
              <w:t>754,039</w:t>
            </w:r>
          </w:p>
        </w:tc>
      </w:tr>
      <w:tr>
        <w:trPr>
          <w:trHeight w:val="209"/>
        </w:trPr>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tcPr>
          <w:p>
            <w:pPr>
              <w:jc w:val="right"/>
              <w:ind w:right="40"/>
              <w:spacing w:after="0"/>
              <w:rPr>
                <w:sz w:val="20"/>
                <w:szCs w:val="20"/>
                <w:color w:val="auto"/>
              </w:rPr>
            </w:pPr>
            <w:r>
              <w:rPr>
                <w:rFonts w:ascii="Arial" w:cs="Arial" w:eastAsia="Arial" w:hAnsi="Arial"/>
                <w:sz w:val="17"/>
                <w:szCs w:val="17"/>
                <w:color w:val="auto"/>
              </w:rPr>
              <w:t>3,824,620</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7"/>
                <w:szCs w:val="17"/>
                <w:color w:val="auto"/>
              </w:rPr>
              <w:t>4,076,611</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tcPr>
          <w:p>
            <w:pPr>
              <w:jc w:val="right"/>
              <w:ind w:right="60"/>
              <w:spacing w:after="0"/>
              <w:rPr>
                <w:sz w:val="20"/>
                <w:szCs w:val="20"/>
                <w:color w:val="auto"/>
              </w:rPr>
            </w:pPr>
            <w:r>
              <w:rPr>
                <w:rFonts w:ascii="Arial" w:cs="Arial" w:eastAsia="Arial" w:hAnsi="Arial"/>
                <w:sz w:val="17"/>
                <w:szCs w:val="17"/>
                <w:color w:val="auto"/>
              </w:rPr>
              <w:t>4,222,855</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7"/>
                <w:szCs w:val="17"/>
                <w:color w:val="auto"/>
              </w:rPr>
              <w:t>4,426,416</w:t>
            </w: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-4022090</wp:posOffset>
            </wp:positionH>
            <wp:positionV relativeFrom="paragraph">
              <wp:posOffset>-713740</wp:posOffset>
            </wp:positionV>
            <wp:extent cx="7251065" cy="1327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1065" cy="132715"/>
                    </a:xfrm>
                    <a:prstGeom prst="rect">
                      <a:avLst/>
                    </a:prstGeom>
                    <a:noFill/>
                  </pic:spPr>
                </pic:pic>
              </a:graphicData>
            </a:graphic>
          </wp:anchor>
        </w:drawing>
        <w:drawing>
          <wp:anchor simplePos="0" relativeHeight="251657728" behindDoc="1" locked="0" layoutInCell="0" allowOverlap="1">
            <wp:simplePos x="0" y="0"/>
            <wp:positionH relativeFrom="column">
              <wp:posOffset>-4022090</wp:posOffset>
            </wp:positionH>
            <wp:positionV relativeFrom="paragraph">
              <wp:posOffset>-447675</wp:posOffset>
            </wp:positionV>
            <wp:extent cx="7251065" cy="1327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1065" cy="132715"/>
                    </a:xfrm>
                    <a:prstGeom prst="rect">
                      <a:avLst/>
                    </a:prstGeom>
                    <a:noFill/>
                  </pic:spPr>
                </pic:pic>
              </a:graphicData>
            </a:graphic>
          </wp:anchor>
        </w:drawing>
        <w:drawing>
          <wp:anchor simplePos="0" relativeHeight="251657728" behindDoc="1" locked="0" layoutInCell="0" allowOverlap="1">
            <wp:simplePos x="0" y="0"/>
            <wp:positionH relativeFrom="column">
              <wp:posOffset>-4022090</wp:posOffset>
            </wp:positionH>
            <wp:positionV relativeFrom="paragraph">
              <wp:posOffset>-165735</wp:posOffset>
            </wp:positionV>
            <wp:extent cx="7251065" cy="16637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1065" cy="166370"/>
                    </a:xfrm>
                    <a:prstGeom prst="rect">
                      <a:avLst/>
                    </a:prstGeom>
                    <a:noFill/>
                  </pic:spPr>
                </pic:pic>
              </a:graphicData>
            </a:graphic>
          </wp:anchor>
        </w:drawing>
        <w:drawing>
          <wp:anchor simplePos="0" relativeHeight="251657728" behindDoc="1" locked="0" layoutInCell="0" allowOverlap="1">
            <wp:simplePos x="0" y="0"/>
            <wp:positionH relativeFrom="column">
              <wp:posOffset>-4022090</wp:posOffset>
            </wp:positionH>
            <wp:positionV relativeFrom="paragraph">
              <wp:posOffset>-879475</wp:posOffset>
            </wp:positionV>
            <wp:extent cx="7251065" cy="165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620" w:space="720"/>
            <w:col w:w="5120"/>
          </w:cols>
          <w:pgMar w:left="240" w:top="545" w:right="199" w:bottom="1440" w:gutter="0" w:footer="0" w:header="0"/>
          <w:type w:val="continuous"/>
        </w:sectPr>
      </w:pPr>
    </w:p>
    <w:p>
      <w:pPr>
        <w:spacing w:after="0" w:line="367"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21590</wp:posOffset>
            </wp:positionV>
            <wp:extent cx="725106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ectPr>
          <w:pgSz w:w="11900" w:h="16838" w:orient="portrait"/>
          <w:cols w:equalWidth="0" w:num="1">
            <w:col w:w="11460"/>
          </w:cols>
          <w:pgMar w:left="240" w:top="545" w:right="199" w:bottom="1440" w:gutter="0" w:footer="0" w:header="0"/>
          <w:type w:val="continuous"/>
        </w:sectPr>
      </w:pPr>
    </w:p>
    <w:bookmarkStart w:id="56" w:name="page57"/>
    <w:bookmarkEnd w:id="56"/>
    <w:p>
      <w:pPr>
        <w:ind w:left="640"/>
        <w:spacing w:after="0"/>
        <w:rPr>
          <w:sz w:val="20"/>
          <w:szCs w:val="20"/>
          <w:color w:val="auto"/>
        </w:rPr>
      </w:pPr>
      <w:r>
        <w:rPr>
          <w:rFonts w:ascii="Arial" w:cs="Arial" w:eastAsia="Arial" w:hAnsi="Arial"/>
          <w:sz w:val="17"/>
          <w:szCs w:val="17"/>
          <w:b w:val="1"/>
          <w:bCs w:val="1"/>
          <w:i w:val="1"/>
          <w:iCs w:val="1"/>
          <w:color w:val="auto"/>
        </w:rPr>
        <w:t>Credit Rating of Fixed-Maturity Securities</w:t>
      </w:r>
    </w:p>
    <w:p>
      <w:pPr>
        <w:spacing w:after="0" w:line="158" w:lineRule="exact"/>
        <w:rPr>
          <w:sz w:val="20"/>
          <w:szCs w:val="20"/>
          <w:color w:val="auto"/>
        </w:rPr>
      </w:pPr>
    </w:p>
    <w:p>
      <w:pPr>
        <w:ind w:left="640"/>
        <w:spacing w:after="0"/>
        <w:rPr>
          <w:sz w:val="20"/>
          <w:szCs w:val="20"/>
          <w:color w:val="auto"/>
        </w:rPr>
      </w:pPr>
      <w:r>
        <w:rPr>
          <w:rFonts w:ascii="Arial" w:cs="Arial" w:eastAsia="Arial" w:hAnsi="Arial"/>
          <w:sz w:val="15"/>
          <w:szCs w:val="15"/>
          <w:color w:val="auto"/>
        </w:rPr>
        <w:t>The table below summarizes the credit quality of our available-for-sale fixed-maturity securities as of March 31, 2019 and December 31, 2018 as rated by</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Standard &amp; Poor’s (or, if unavailable from Standard &amp; Poor’s, then Moody’s or Fitch):</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448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2360" w:type="dxa"/>
            <w:vAlign w:val="bottom"/>
            <w:tcBorders>
              <w:bottom w:val="single" w:sz="8" w:color="auto"/>
            </w:tcBorders>
            <w:gridSpan w:val="3"/>
          </w:tcPr>
          <w:p>
            <w:pPr>
              <w:jc w:val="right"/>
              <w:ind w:right="668"/>
              <w:spacing w:after="0"/>
              <w:rPr>
                <w:sz w:val="20"/>
                <w:szCs w:val="20"/>
                <w:color w:val="auto"/>
              </w:rPr>
            </w:pPr>
            <w:r>
              <w:rPr>
                <w:rFonts w:ascii="Arial" w:cs="Arial" w:eastAsia="Arial" w:hAnsi="Arial"/>
                <w:sz w:val="14"/>
                <w:szCs w:val="14"/>
                <w:b w:val="1"/>
                <w:bCs w:val="1"/>
                <w:color w:val="auto"/>
              </w:rPr>
              <w:t>March 31, 2019</w:t>
            </w:r>
          </w:p>
        </w:tc>
        <w:tc>
          <w:tcPr>
            <w:tcW w:w="2200" w:type="dxa"/>
            <w:vAlign w:val="bottom"/>
            <w:tcBorders>
              <w:bottom w:val="single" w:sz="8" w:color="auto"/>
            </w:tcBorders>
            <w:gridSpan w:val="2"/>
          </w:tcPr>
          <w:p>
            <w:pPr>
              <w:jc w:val="right"/>
              <w:ind w:right="477"/>
              <w:spacing w:after="0"/>
              <w:rPr>
                <w:sz w:val="20"/>
                <w:szCs w:val="20"/>
                <w:color w:val="auto"/>
              </w:rPr>
            </w:pPr>
            <w:r>
              <w:rPr>
                <w:rFonts w:ascii="Arial" w:cs="Arial" w:eastAsia="Arial" w:hAnsi="Arial"/>
                <w:sz w:val="14"/>
                <w:szCs w:val="14"/>
                <w:b w:val="1"/>
                <w:bCs w:val="1"/>
                <w:color w:val="auto"/>
              </w:rPr>
              <w:t>December 31, 2018</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448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1100" w:type="dxa"/>
            <w:vAlign w:val="bottom"/>
          </w:tcPr>
          <w:p>
            <w:pPr>
              <w:jc w:val="center"/>
              <w:ind w:left="4"/>
              <w:spacing w:after="0"/>
              <w:rPr>
                <w:sz w:val="20"/>
                <w:szCs w:val="20"/>
                <w:color w:val="auto"/>
              </w:rPr>
            </w:pPr>
            <w:r>
              <w:rPr>
                <w:rFonts w:ascii="Arial" w:cs="Arial" w:eastAsia="Arial" w:hAnsi="Arial"/>
                <w:sz w:val="14"/>
                <w:szCs w:val="14"/>
                <w:b w:val="1"/>
                <w:bCs w:val="1"/>
                <w:color w:val="auto"/>
                <w:w w:val="92"/>
              </w:rPr>
              <w:t>Estimated</w:t>
            </w:r>
          </w:p>
        </w:tc>
        <w:tc>
          <w:tcPr>
            <w:tcW w:w="40" w:type="dxa"/>
            <w:vAlign w:val="bottom"/>
          </w:tcPr>
          <w:p>
            <w:pPr>
              <w:spacing w:after="0"/>
              <w:rPr>
                <w:sz w:val="19"/>
                <w:szCs w:val="19"/>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 of</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2"/>
              </w:rPr>
              <w:t>Estimated</w:t>
            </w:r>
          </w:p>
        </w:tc>
        <w:tc>
          <w:tcPr>
            <w:tcW w:w="11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8"/>
              </w:rPr>
              <w:t>Percentage of</w:t>
            </w:r>
          </w:p>
        </w:tc>
        <w:tc>
          <w:tcPr>
            <w:tcW w:w="0" w:type="dxa"/>
            <w:vAlign w:val="bottom"/>
          </w:tcPr>
          <w:p>
            <w:pPr>
              <w:spacing w:after="0"/>
              <w:rPr>
                <w:sz w:val="1"/>
                <w:szCs w:val="1"/>
                <w:color w:val="auto"/>
              </w:rPr>
            </w:pPr>
          </w:p>
        </w:tc>
      </w:tr>
      <w:tr>
        <w:trPr>
          <w:trHeight w:val="209"/>
        </w:trPr>
        <w:tc>
          <w:tcPr>
            <w:tcW w:w="44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100" w:type="dxa"/>
            <w:vAlign w:val="bottom"/>
          </w:tcPr>
          <w:p>
            <w:pPr>
              <w:jc w:val="center"/>
              <w:ind w:left="24"/>
              <w:spacing w:after="0"/>
              <w:rPr>
                <w:sz w:val="20"/>
                <w:szCs w:val="20"/>
                <w:color w:val="auto"/>
              </w:rPr>
            </w:pPr>
            <w:r>
              <w:rPr>
                <w:rFonts w:ascii="Arial" w:cs="Arial" w:eastAsia="Arial" w:hAnsi="Arial"/>
                <w:sz w:val="14"/>
                <w:szCs w:val="14"/>
                <w:b w:val="1"/>
                <w:bCs w:val="1"/>
                <w:color w:val="auto"/>
              </w:rPr>
              <w:t>Fair Market</w:t>
            </w:r>
          </w:p>
        </w:tc>
        <w:tc>
          <w:tcPr>
            <w:tcW w:w="4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rPr>
              <w:t>Fair Market</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rPr>
              <w:t>Fair Market</w:t>
            </w:r>
          </w:p>
        </w:tc>
        <w:tc>
          <w:tcPr>
            <w:tcW w:w="11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rPr>
              <w:t>Fair Market</w:t>
            </w:r>
          </w:p>
        </w:tc>
        <w:tc>
          <w:tcPr>
            <w:tcW w:w="0" w:type="dxa"/>
            <w:vAlign w:val="bottom"/>
          </w:tcPr>
          <w:p>
            <w:pPr>
              <w:spacing w:after="0"/>
              <w:rPr>
                <w:sz w:val="1"/>
                <w:szCs w:val="1"/>
                <w:color w:val="auto"/>
              </w:rPr>
            </w:pPr>
          </w:p>
        </w:tc>
      </w:tr>
      <w:tr>
        <w:trPr>
          <w:trHeight w:val="200"/>
        </w:trPr>
        <w:tc>
          <w:tcPr>
            <w:tcW w:w="448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1100" w:type="dxa"/>
            <w:vAlign w:val="bottom"/>
          </w:tcPr>
          <w:p>
            <w:pPr>
              <w:jc w:val="center"/>
              <w:ind w:left="4"/>
              <w:spacing w:after="0"/>
              <w:rPr>
                <w:sz w:val="20"/>
                <w:szCs w:val="20"/>
                <w:color w:val="auto"/>
              </w:rPr>
            </w:pPr>
            <w:r>
              <w:rPr>
                <w:rFonts w:ascii="Arial" w:cs="Arial" w:eastAsia="Arial" w:hAnsi="Arial"/>
                <w:sz w:val="14"/>
                <w:szCs w:val="14"/>
                <w:b w:val="1"/>
                <w:bCs w:val="1"/>
                <w:color w:val="auto"/>
                <w:w w:val="90"/>
              </w:rPr>
              <w:t>Value</w:t>
            </w:r>
          </w:p>
        </w:tc>
        <w:tc>
          <w:tcPr>
            <w:tcW w:w="40" w:type="dxa"/>
            <w:vAlign w:val="bottom"/>
          </w:tcPr>
          <w:p>
            <w:pPr>
              <w:spacing w:after="0"/>
              <w:rPr>
                <w:sz w:val="17"/>
                <w:szCs w:val="17"/>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0"/>
              </w:rPr>
              <w:t>Value</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0"/>
              </w:rPr>
              <w:t>Value</w:t>
            </w:r>
          </w:p>
        </w:tc>
        <w:tc>
          <w:tcPr>
            <w:tcW w:w="11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469"/>
        </w:trPr>
        <w:tc>
          <w:tcPr>
            <w:tcW w:w="4480" w:type="dxa"/>
            <w:vAlign w:val="bottom"/>
            <w:tcBorders>
              <w:top w:val="single" w:sz="8" w:color="auto"/>
            </w:tcBorders>
          </w:tcPr>
          <w:p>
            <w:pPr>
              <w:ind w:left="40"/>
              <w:spacing w:after="0"/>
              <w:rPr>
                <w:sz w:val="20"/>
                <w:szCs w:val="20"/>
                <w:color w:val="auto"/>
              </w:rPr>
            </w:pPr>
            <w:r>
              <w:rPr>
                <w:rFonts w:ascii="Arial" w:cs="Arial" w:eastAsia="Arial" w:hAnsi="Arial"/>
                <w:sz w:val="17"/>
                <w:szCs w:val="17"/>
                <w:b w:val="1"/>
                <w:bCs w:val="1"/>
                <w:color w:val="auto"/>
              </w:rPr>
              <w:t>Rating</w:t>
            </w:r>
          </w:p>
        </w:tc>
        <w:tc>
          <w:tcPr>
            <w:tcW w:w="238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4480" w:type="dxa"/>
            <w:vAlign w:val="bottom"/>
            <w:shd w:val="clear" w:color="auto" w:fill="CCEEFF"/>
          </w:tcPr>
          <w:p>
            <w:pPr>
              <w:ind w:left="40"/>
              <w:spacing w:after="0"/>
              <w:rPr>
                <w:sz w:val="20"/>
                <w:szCs w:val="20"/>
                <w:color w:val="auto"/>
              </w:rPr>
            </w:pPr>
            <w:r>
              <w:rPr>
                <w:rFonts w:ascii="Arial" w:cs="Arial" w:eastAsia="Arial" w:hAnsi="Arial"/>
                <w:sz w:val="17"/>
                <w:szCs w:val="17"/>
                <w:color w:val="auto"/>
              </w:rPr>
              <w:t>U.S. Treasury securities</w:t>
            </w:r>
          </w:p>
        </w:tc>
        <w:tc>
          <w:tcPr>
            <w:tcW w:w="34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  8,289,944</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5.2%</w:t>
            </w:r>
          </w:p>
        </w:tc>
        <w:tc>
          <w:tcPr>
            <w:tcW w:w="1100" w:type="dxa"/>
            <w:vAlign w:val="bottom"/>
            <w:shd w:val="clear" w:color="auto" w:fill="CCEEFF"/>
          </w:tcPr>
          <w:p>
            <w:pPr>
              <w:jc w:val="right"/>
              <w:ind w:right="58"/>
              <w:spacing w:after="0"/>
              <w:rPr>
                <w:sz w:val="20"/>
                <w:szCs w:val="20"/>
                <w:color w:val="auto"/>
              </w:rPr>
            </w:pPr>
            <w:r>
              <w:rPr>
                <w:rFonts w:ascii="Arial" w:cs="Arial" w:eastAsia="Arial" w:hAnsi="Arial"/>
                <w:sz w:val="17"/>
                <w:szCs w:val="17"/>
                <w:color w:val="auto"/>
                <w:w w:val="99"/>
              </w:rPr>
              <w:t>$  8,220,381</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80" w:type="dxa"/>
            <w:vAlign w:val="bottom"/>
            <w:tcBorders>
              <w:top w:val="single" w:sz="8" w:color="CCEEFF"/>
            </w:tcBorders>
          </w:tcPr>
          <w:p>
            <w:pPr>
              <w:spacing w:after="0"/>
              <w:rPr>
                <w:sz w:val="18"/>
                <w:szCs w:val="18"/>
                <w:color w:val="auto"/>
              </w:rPr>
            </w:pPr>
          </w:p>
        </w:tc>
        <w:tc>
          <w:tcPr>
            <w:tcW w:w="238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80" w:type="dxa"/>
            <w:vAlign w:val="bottom"/>
            <w:shd w:val="clear" w:color="auto" w:fill="CCEEFF"/>
          </w:tcPr>
          <w:p>
            <w:pPr>
              <w:ind w:left="40"/>
              <w:spacing w:after="0"/>
              <w:rPr>
                <w:sz w:val="20"/>
                <w:szCs w:val="20"/>
                <w:color w:val="auto"/>
              </w:rPr>
            </w:pPr>
            <w:r>
              <w:rPr>
                <w:rFonts w:ascii="Arial" w:cs="Arial" w:eastAsia="Arial" w:hAnsi="Arial"/>
                <w:sz w:val="17"/>
                <w:szCs w:val="17"/>
                <w:color w:val="auto"/>
              </w:rPr>
              <w:t>Corporate and municipal bonds</w:t>
            </w:r>
          </w:p>
        </w:tc>
        <w:tc>
          <w:tcPr>
            <w:tcW w:w="23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80" w:type="dxa"/>
            <w:vAlign w:val="bottom"/>
          </w:tcPr>
          <w:p>
            <w:pPr>
              <w:ind w:left="200"/>
              <w:spacing w:after="0"/>
              <w:rPr>
                <w:sz w:val="20"/>
                <w:szCs w:val="20"/>
                <w:color w:val="auto"/>
              </w:rPr>
            </w:pPr>
            <w:r>
              <w:rPr>
                <w:rFonts w:ascii="Arial" w:cs="Arial" w:eastAsia="Arial" w:hAnsi="Arial"/>
                <w:sz w:val="17"/>
                <w:szCs w:val="17"/>
                <w:color w:val="auto"/>
              </w:rPr>
              <w:t>AAA</w:t>
            </w:r>
          </w:p>
        </w:tc>
        <w:tc>
          <w:tcPr>
            <w:tcW w:w="3480" w:type="dxa"/>
            <w:vAlign w:val="bottom"/>
            <w:gridSpan w:val="2"/>
          </w:tcPr>
          <w:p>
            <w:pPr>
              <w:jc w:val="right"/>
              <w:spacing w:after="0"/>
              <w:rPr>
                <w:sz w:val="20"/>
                <w:szCs w:val="20"/>
                <w:color w:val="auto"/>
              </w:rPr>
            </w:pPr>
            <w:r>
              <w:rPr>
                <w:rFonts w:ascii="Arial" w:cs="Arial" w:eastAsia="Arial" w:hAnsi="Arial"/>
                <w:sz w:val="17"/>
                <w:szCs w:val="17"/>
                <w:color w:val="auto"/>
              </w:rPr>
              <w:t>979,734</w:t>
            </w:r>
          </w:p>
        </w:tc>
        <w:tc>
          <w:tcPr>
            <w:tcW w:w="1260" w:type="dxa"/>
            <w:vAlign w:val="bottom"/>
            <w:gridSpan w:val="2"/>
          </w:tcPr>
          <w:p>
            <w:pPr>
              <w:jc w:val="right"/>
              <w:spacing w:after="0"/>
              <w:rPr>
                <w:sz w:val="20"/>
                <w:szCs w:val="20"/>
                <w:color w:val="auto"/>
              </w:rPr>
            </w:pPr>
            <w:r>
              <w:rPr>
                <w:rFonts w:ascii="Arial" w:cs="Arial" w:eastAsia="Arial" w:hAnsi="Arial"/>
                <w:sz w:val="17"/>
                <w:szCs w:val="17"/>
                <w:color w:val="auto"/>
              </w:rPr>
              <w:t>0.6%</w:t>
            </w:r>
          </w:p>
        </w:tc>
        <w:tc>
          <w:tcPr>
            <w:tcW w:w="1100" w:type="dxa"/>
            <w:vAlign w:val="bottom"/>
          </w:tcPr>
          <w:p>
            <w:pPr>
              <w:jc w:val="right"/>
              <w:ind w:right="58"/>
              <w:spacing w:after="0"/>
              <w:rPr>
                <w:sz w:val="20"/>
                <w:szCs w:val="20"/>
                <w:color w:val="auto"/>
              </w:rPr>
            </w:pPr>
            <w:r>
              <w:rPr>
                <w:rFonts w:ascii="Arial" w:cs="Arial" w:eastAsia="Arial" w:hAnsi="Arial"/>
                <w:sz w:val="17"/>
                <w:szCs w:val="17"/>
                <w:color w:val="auto"/>
              </w:rPr>
              <w:t>979,123</w:t>
            </w:r>
          </w:p>
        </w:tc>
        <w:tc>
          <w:tcPr>
            <w:tcW w:w="1100" w:type="dxa"/>
            <w:vAlign w:val="bottom"/>
          </w:tcPr>
          <w:p>
            <w:pPr>
              <w:jc w:val="right"/>
              <w:spacing w:after="0"/>
              <w:rPr>
                <w:sz w:val="20"/>
                <w:szCs w:val="20"/>
                <w:color w:val="auto"/>
              </w:rPr>
            </w:pPr>
            <w:r>
              <w:rPr>
                <w:rFonts w:ascii="Arial" w:cs="Arial" w:eastAsia="Arial" w:hAnsi="Arial"/>
                <w:sz w:val="17"/>
                <w:szCs w:val="17"/>
                <w:color w:val="auto"/>
              </w:rPr>
              <w:t>0.6%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AA</w:t>
            </w:r>
          </w:p>
        </w:tc>
        <w:tc>
          <w:tcPr>
            <w:tcW w:w="34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7,843,795</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4.9%</w:t>
            </w:r>
          </w:p>
        </w:tc>
        <w:tc>
          <w:tcPr>
            <w:tcW w:w="1100" w:type="dxa"/>
            <w:vAlign w:val="bottom"/>
            <w:shd w:val="clear" w:color="auto" w:fill="CCEEFF"/>
          </w:tcPr>
          <w:p>
            <w:pPr>
              <w:jc w:val="right"/>
              <w:ind w:right="58"/>
              <w:spacing w:after="0"/>
              <w:rPr>
                <w:sz w:val="20"/>
                <w:szCs w:val="20"/>
                <w:color w:val="auto"/>
              </w:rPr>
            </w:pPr>
            <w:r>
              <w:rPr>
                <w:rFonts w:ascii="Arial" w:cs="Arial" w:eastAsia="Arial" w:hAnsi="Arial"/>
                <w:sz w:val="17"/>
                <w:szCs w:val="17"/>
                <w:color w:val="auto"/>
              </w:rPr>
              <w:t>8,350,910</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80" w:type="dxa"/>
            <w:vAlign w:val="bottom"/>
          </w:tcPr>
          <w:p>
            <w:pPr>
              <w:ind w:left="200"/>
              <w:spacing w:after="0"/>
              <w:rPr>
                <w:sz w:val="20"/>
                <w:szCs w:val="20"/>
                <w:color w:val="auto"/>
              </w:rPr>
            </w:pPr>
            <w:r>
              <w:rPr>
                <w:rFonts w:ascii="Arial" w:cs="Arial" w:eastAsia="Arial" w:hAnsi="Arial"/>
                <w:sz w:val="17"/>
                <w:szCs w:val="17"/>
                <w:color w:val="auto"/>
              </w:rPr>
              <w:t>A</w:t>
            </w:r>
          </w:p>
        </w:tc>
        <w:tc>
          <w:tcPr>
            <w:tcW w:w="3480" w:type="dxa"/>
            <w:vAlign w:val="bottom"/>
            <w:gridSpan w:val="2"/>
          </w:tcPr>
          <w:p>
            <w:pPr>
              <w:jc w:val="right"/>
              <w:spacing w:after="0"/>
              <w:rPr>
                <w:sz w:val="20"/>
                <w:szCs w:val="20"/>
                <w:color w:val="auto"/>
              </w:rPr>
            </w:pPr>
            <w:r>
              <w:rPr>
                <w:rFonts w:ascii="Arial" w:cs="Arial" w:eastAsia="Arial" w:hAnsi="Arial"/>
                <w:sz w:val="17"/>
                <w:szCs w:val="17"/>
                <w:color w:val="auto"/>
              </w:rPr>
              <w:t>33,549,454</w:t>
            </w:r>
          </w:p>
        </w:tc>
        <w:tc>
          <w:tcPr>
            <w:tcW w:w="1260" w:type="dxa"/>
            <w:vAlign w:val="bottom"/>
            <w:gridSpan w:val="2"/>
          </w:tcPr>
          <w:p>
            <w:pPr>
              <w:jc w:val="right"/>
              <w:spacing w:after="0"/>
              <w:rPr>
                <w:sz w:val="20"/>
                <w:szCs w:val="20"/>
                <w:color w:val="auto"/>
              </w:rPr>
            </w:pPr>
            <w:r>
              <w:rPr>
                <w:rFonts w:ascii="Arial" w:cs="Arial" w:eastAsia="Arial" w:hAnsi="Arial"/>
                <w:sz w:val="17"/>
                <w:szCs w:val="17"/>
                <w:color w:val="auto"/>
              </w:rPr>
              <w:t>20.9%</w:t>
            </w:r>
          </w:p>
        </w:tc>
        <w:tc>
          <w:tcPr>
            <w:tcW w:w="1100" w:type="dxa"/>
            <w:vAlign w:val="bottom"/>
          </w:tcPr>
          <w:p>
            <w:pPr>
              <w:jc w:val="right"/>
              <w:ind w:right="58"/>
              <w:spacing w:after="0"/>
              <w:rPr>
                <w:sz w:val="20"/>
                <w:szCs w:val="20"/>
                <w:color w:val="auto"/>
              </w:rPr>
            </w:pPr>
            <w:r>
              <w:rPr>
                <w:rFonts w:ascii="Arial" w:cs="Arial" w:eastAsia="Arial" w:hAnsi="Arial"/>
                <w:sz w:val="17"/>
                <w:szCs w:val="17"/>
                <w:color w:val="auto"/>
              </w:rPr>
              <w:t>27,665,961</w:t>
            </w:r>
          </w:p>
        </w:tc>
        <w:tc>
          <w:tcPr>
            <w:tcW w:w="1100" w:type="dxa"/>
            <w:vAlign w:val="bottom"/>
          </w:tcPr>
          <w:p>
            <w:pPr>
              <w:jc w:val="right"/>
              <w:spacing w:after="0"/>
              <w:rPr>
                <w:sz w:val="20"/>
                <w:szCs w:val="20"/>
                <w:color w:val="auto"/>
              </w:rPr>
            </w:pPr>
            <w:r>
              <w:rPr>
                <w:rFonts w:ascii="Arial" w:cs="Arial" w:eastAsia="Arial" w:hAnsi="Arial"/>
                <w:sz w:val="17"/>
                <w:szCs w:val="17"/>
                <w:color w:val="auto"/>
              </w:rPr>
              <w:t>18.2%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4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7"/>
                <w:szCs w:val="17"/>
                <w:color w:val="auto"/>
              </w:rPr>
              <w:t>BBB</w:t>
            </w:r>
          </w:p>
        </w:tc>
        <w:tc>
          <w:tcPr>
            <w:tcW w:w="23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88,379,494</w:t>
            </w:r>
          </w:p>
        </w:tc>
        <w:tc>
          <w:tcPr>
            <w:tcW w:w="12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55.1%</w:t>
            </w:r>
          </w:p>
        </w:tc>
        <w:tc>
          <w:tcPr>
            <w:tcW w:w="110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7"/>
                <w:szCs w:val="17"/>
                <w:color w:val="auto"/>
              </w:rPr>
              <w:t>85,095,907</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480" w:type="dxa"/>
            <w:vAlign w:val="bottom"/>
          </w:tcPr>
          <w:p>
            <w:pPr>
              <w:ind w:left="360"/>
              <w:spacing w:after="0"/>
              <w:rPr>
                <w:sz w:val="20"/>
                <w:szCs w:val="20"/>
                <w:color w:val="auto"/>
              </w:rPr>
            </w:pPr>
            <w:r>
              <w:rPr>
                <w:rFonts w:ascii="Arial" w:cs="Arial" w:eastAsia="Arial" w:hAnsi="Arial"/>
                <w:sz w:val="17"/>
                <w:szCs w:val="17"/>
                <w:color w:val="auto"/>
              </w:rPr>
              <w:t>Total corporate and municipal bonds</w:t>
            </w:r>
          </w:p>
        </w:tc>
        <w:tc>
          <w:tcPr>
            <w:tcW w:w="3480" w:type="dxa"/>
            <w:vAlign w:val="bottom"/>
            <w:gridSpan w:val="2"/>
          </w:tcPr>
          <w:p>
            <w:pPr>
              <w:jc w:val="right"/>
              <w:ind w:right="44"/>
              <w:spacing w:after="0"/>
              <w:rPr>
                <w:sz w:val="20"/>
                <w:szCs w:val="20"/>
                <w:color w:val="auto"/>
              </w:rPr>
            </w:pPr>
            <w:r>
              <w:rPr>
                <w:rFonts w:ascii="Arial" w:cs="Arial" w:eastAsia="Arial" w:hAnsi="Arial"/>
                <w:sz w:val="17"/>
                <w:szCs w:val="17"/>
                <w:color w:val="auto"/>
              </w:rPr>
              <w:t>130,752,477</w:t>
            </w:r>
          </w:p>
        </w:tc>
        <w:tc>
          <w:tcPr>
            <w:tcW w:w="1260" w:type="dxa"/>
            <w:vAlign w:val="bottom"/>
            <w:gridSpan w:val="2"/>
          </w:tcPr>
          <w:p>
            <w:pPr>
              <w:jc w:val="right"/>
              <w:spacing w:after="0"/>
              <w:rPr>
                <w:sz w:val="20"/>
                <w:szCs w:val="20"/>
                <w:color w:val="auto"/>
              </w:rPr>
            </w:pPr>
            <w:r>
              <w:rPr>
                <w:rFonts w:ascii="Arial" w:cs="Arial" w:eastAsia="Arial" w:hAnsi="Arial"/>
                <w:sz w:val="17"/>
                <w:szCs w:val="17"/>
                <w:color w:val="auto"/>
              </w:rPr>
              <w:t>81.5%</w:t>
            </w:r>
          </w:p>
        </w:tc>
        <w:tc>
          <w:tcPr>
            <w:tcW w:w="1100" w:type="dxa"/>
            <w:vAlign w:val="bottom"/>
          </w:tcPr>
          <w:p>
            <w:pPr>
              <w:jc w:val="right"/>
              <w:ind w:right="58"/>
              <w:spacing w:after="0"/>
              <w:rPr>
                <w:sz w:val="20"/>
                <w:szCs w:val="20"/>
                <w:color w:val="auto"/>
              </w:rPr>
            </w:pPr>
            <w:r>
              <w:rPr>
                <w:rFonts w:ascii="Arial" w:cs="Arial" w:eastAsia="Arial" w:hAnsi="Arial"/>
                <w:sz w:val="17"/>
                <w:szCs w:val="17"/>
                <w:color w:val="auto"/>
                <w:w w:val="99"/>
              </w:rPr>
              <w:t>122,091,901</w:t>
            </w:r>
          </w:p>
        </w:tc>
        <w:tc>
          <w:tcPr>
            <w:tcW w:w="1100" w:type="dxa"/>
            <w:vAlign w:val="bottom"/>
          </w:tcPr>
          <w:p>
            <w:pPr>
              <w:jc w:val="right"/>
              <w:spacing w:after="0"/>
              <w:rPr>
                <w:sz w:val="20"/>
                <w:szCs w:val="20"/>
                <w:color w:val="auto"/>
              </w:rPr>
            </w:pPr>
            <w:r>
              <w:rPr>
                <w:rFonts w:ascii="Arial" w:cs="Arial" w:eastAsia="Arial" w:hAnsi="Arial"/>
                <w:sz w:val="17"/>
                <w:szCs w:val="17"/>
                <w:color w:val="auto"/>
              </w:rPr>
              <w:t>80.4%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8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80" w:type="dxa"/>
            <w:vAlign w:val="bottom"/>
          </w:tcPr>
          <w:p>
            <w:pPr>
              <w:ind w:left="40"/>
              <w:spacing w:after="0"/>
              <w:rPr>
                <w:sz w:val="20"/>
                <w:szCs w:val="20"/>
                <w:color w:val="auto"/>
              </w:rPr>
            </w:pPr>
            <w:r>
              <w:rPr>
                <w:rFonts w:ascii="Arial" w:cs="Arial" w:eastAsia="Arial" w:hAnsi="Arial"/>
                <w:sz w:val="17"/>
                <w:szCs w:val="17"/>
                <w:color w:val="auto"/>
              </w:rPr>
              <w:t>Residential mortgage backed securities</w:t>
            </w:r>
          </w:p>
        </w:tc>
        <w:tc>
          <w:tcPr>
            <w:tcW w:w="2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AAA</w:t>
            </w:r>
          </w:p>
        </w:tc>
        <w:tc>
          <w:tcPr>
            <w:tcW w:w="34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1,000,884</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0.6%</w:t>
            </w:r>
          </w:p>
        </w:tc>
        <w:tc>
          <w:tcPr>
            <w:tcW w:w="1100" w:type="dxa"/>
            <w:vAlign w:val="bottom"/>
            <w:shd w:val="clear" w:color="auto" w:fill="CCEEFF"/>
          </w:tcPr>
          <w:p>
            <w:pPr>
              <w:jc w:val="right"/>
              <w:ind w:right="58"/>
              <w:spacing w:after="0"/>
              <w:rPr>
                <w:sz w:val="20"/>
                <w:szCs w:val="20"/>
                <w:color w:val="auto"/>
              </w:rPr>
            </w:pPr>
            <w:r>
              <w:rPr>
                <w:rFonts w:ascii="Arial" w:cs="Arial" w:eastAsia="Arial" w:hAnsi="Arial"/>
                <w:sz w:val="17"/>
                <w:szCs w:val="17"/>
                <w:color w:val="auto"/>
              </w:rPr>
              <w:t>999,640</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80" w:type="dxa"/>
            <w:vAlign w:val="bottom"/>
          </w:tcPr>
          <w:p>
            <w:pPr>
              <w:ind w:left="200"/>
              <w:spacing w:after="0"/>
              <w:rPr>
                <w:sz w:val="20"/>
                <w:szCs w:val="20"/>
                <w:color w:val="auto"/>
              </w:rPr>
            </w:pPr>
            <w:r>
              <w:rPr>
                <w:rFonts w:ascii="Arial" w:cs="Arial" w:eastAsia="Arial" w:hAnsi="Arial"/>
                <w:sz w:val="17"/>
                <w:szCs w:val="17"/>
                <w:color w:val="auto"/>
              </w:rPr>
              <w:t>AA</w:t>
            </w:r>
          </w:p>
        </w:tc>
        <w:tc>
          <w:tcPr>
            <w:tcW w:w="3480" w:type="dxa"/>
            <w:vAlign w:val="bottom"/>
            <w:gridSpan w:val="2"/>
          </w:tcPr>
          <w:p>
            <w:pPr>
              <w:jc w:val="right"/>
              <w:spacing w:after="0"/>
              <w:rPr>
                <w:sz w:val="20"/>
                <w:szCs w:val="20"/>
                <w:color w:val="auto"/>
              </w:rPr>
            </w:pPr>
            <w:r>
              <w:rPr>
                <w:rFonts w:ascii="Arial" w:cs="Arial" w:eastAsia="Arial" w:hAnsi="Arial"/>
                <w:sz w:val="17"/>
                <w:szCs w:val="17"/>
                <w:color w:val="auto"/>
              </w:rPr>
              <w:t>12,781,194</w:t>
            </w:r>
          </w:p>
        </w:tc>
        <w:tc>
          <w:tcPr>
            <w:tcW w:w="1260" w:type="dxa"/>
            <w:vAlign w:val="bottom"/>
            <w:gridSpan w:val="2"/>
          </w:tcPr>
          <w:p>
            <w:pPr>
              <w:jc w:val="right"/>
              <w:ind w:right="28"/>
              <w:spacing w:after="0"/>
              <w:rPr>
                <w:sz w:val="20"/>
                <w:szCs w:val="20"/>
                <w:color w:val="auto"/>
              </w:rPr>
            </w:pPr>
            <w:r>
              <w:rPr>
                <w:rFonts w:ascii="Arial" w:cs="Arial" w:eastAsia="Arial" w:hAnsi="Arial"/>
                <w:sz w:val="17"/>
                <w:szCs w:val="17"/>
                <w:color w:val="auto"/>
              </w:rPr>
              <w:t>8.0%</w:t>
            </w:r>
          </w:p>
        </w:tc>
        <w:tc>
          <w:tcPr>
            <w:tcW w:w="1100" w:type="dxa"/>
            <w:vAlign w:val="bottom"/>
          </w:tcPr>
          <w:p>
            <w:pPr>
              <w:jc w:val="right"/>
              <w:ind w:right="58"/>
              <w:spacing w:after="0"/>
              <w:rPr>
                <w:sz w:val="20"/>
                <w:szCs w:val="20"/>
                <w:color w:val="auto"/>
              </w:rPr>
            </w:pPr>
            <w:r>
              <w:rPr>
                <w:rFonts w:ascii="Arial" w:cs="Arial" w:eastAsia="Arial" w:hAnsi="Arial"/>
                <w:sz w:val="17"/>
                <w:szCs w:val="17"/>
                <w:color w:val="auto"/>
              </w:rPr>
              <w:t>12,743,906</w:t>
            </w:r>
          </w:p>
        </w:tc>
        <w:tc>
          <w:tcPr>
            <w:tcW w:w="1100" w:type="dxa"/>
            <w:vAlign w:val="bottom"/>
          </w:tcPr>
          <w:p>
            <w:pPr>
              <w:jc w:val="right"/>
              <w:spacing w:after="0"/>
              <w:rPr>
                <w:sz w:val="20"/>
                <w:szCs w:val="20"/>
                <w:color w:val="auto"/>
              </w:rPr>
            </w:pPr>
            <w:r>
              <w:rPr>
                <w:rFonts w:ascii="Arial" w:cs="Arial" w:eastAsia="Arial" w:hAnsi="Arial"/>
                <w:sz w:val="17"/>
                <w:szCs w:val="17"/>
                <w:color w:val="auto"/>
              </w:rPr>
              <w:t>8.5%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A</w:t>
            </w:r>
          </w:p>
        </w:tc>
        <w:tc>
          <w:tcPr>
            <w:tcW w:w="34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4,785,217</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3.0%</w:t>
            </w:r>
          </w:p>
        </w:tc>
        <w:tc>
          <w:tcPr>
            <w:tcW w:w="1100" w:type="dxa"/>
            <w:vAlign w:val="bottom"/>
            <w:shd w:val="clear" w:color="auto" w:fill="CCEEFF"/>
          </w:tcPr>
          <w:p>
            <w:pPr>
              <w:jc w:val="right"/>
              <w:ind w:right="58"/>
              <w:spacing w:after="0"/>
              <w:rPr>
                <w:sz w:val="20"/>
                <w:szCs w:val="20"/>
                <w:color w:val="auto"/>
              </w:rPr>
            </w:pPr>
            <w:r>
              <w:rPr>
                <w:rFonts w:ascii="Arial" w:cs="Arial" w:eastAsia="Arial" w:hAnsi="Arial"/>
                <w:sz w:val="17"/>
                <w:szCs w:val="17"/>
                <w:color w:val="auto"/>
              </w:rPr>
              <w:t>4,777,356</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80" w:type="dxa"/>
            <w:vAlign w:val="bottom"/>
          </w:tcPr>
          <w:p>
            <w:pPr>
              <w:ind w:left="200"/>
              <w:spacing w:after="0"/>
              <w:rPr>
                <w:sz w:val="20"/>
                <w:szCs w:val="20"/>
                <w:color w:val="auto"/>
              </w:rPr>
            </w:pPr>
            <w:r>
              <w:rPr>
                <w:rFonts w:ascii="Arial" w:cs="Arial" w:eastAsia="Arial" w:hAnsi="Arial"/>
                <w:sz w:val="17"/>
                <w:szCs w:val="17"/>
                <w:color w:val="auto"/>
              </w:rPr>
              <w:t>CCC</w:t>
            </w:r>
          </w:p>
        </w:tc>
        <w:tc>
          <w:tcPr>
            <w:tcW w:w="3480" w:type="dxa"/>
            <w:vAlign w:val="bottom"/>
            <w:gridSpan w:val="2"/>
          </w:tcPr>
          <w:p>
            <w:pPr>
              <w:jc w:val="right"/>
              <w:spacing w:after="0"/>
              <w:rPr>
                <w:sz w:val="20"/>
                <w:szCs w:val="20"/>
                <w:color w:val="auto"/>
              </w:rPr>
            </w:pPr>
            <w:r>
              <w:rPr>
                <w:rFonts w:ascii="Arial" w:cs="Arial" w:eastAsia="Arial" w:hAnsi="Arial"/>
                <w:sz w:val="17"/>
                <w:szCs w:val="17"/>
                <w:color w:val="auto"/>
              </w:rPr>
              <w:t>1,460,455</w:t>
            </w:r>
          </w:p>
        </w:tc>
        <w:tc>
          <w:tcPr>
            <w:tcW w:w="1260" w:type="dxa"/>
            <w:vAlign w:val="bottom"/>
            <w:gridSpan w:val="2"/>
          </w:tcPr>
          <w:p>
            <w:pPr>
              <w:jc w:val="right"/>
              <w:spacing w:after="0"/>
              <w:rPr>
                <w:sz w:val="20"/>
                <w:szCs w:val="20"/>
                <w:color w:val="auto"/>
              </w:rPr>
            </w:pPr>
            <w:r>
              <w:rPr>
                <w:rFonts w:ascii="Arial" w:cs="Arial" w:eastAsia="Arial" w:hAnsi="Arial"/>
                <w:sz w:val="17"/>
                <w:szCs w:val="17"/>
                <w:color w:val="auto"/>
              </w:rPr>
              <w:t>0.9%</w:t>
            </w:r>
          </w:p>
        </w:tc>
        <w:tc>
          <w:tcPr>
            <w:tcW w:w="1100" w:type="dxa"/>
            <w:vAlign w:val="bottom"/>
          </w:tcPr>
          <w:p>
            <w:pPr>
              <w:jc w:val="right"/>
              <w:ind w:right="58"/>
              <w:spacing w:after="0"/>
              <w:rPr>
                <w:sz w:val="20"/>
                <w:szCs w:val="20"/>
                <w:color w:val="auto"/>
              </w:rPr>
            </w:pPr>
            <w:r>
              <w:rPr>
                <w:rFonts w:ascii="Arial" w:cs="Arial" w:eastAsia="Arial" w:hAnsi="Arial"/>
                <w:sz w:val="17"/>
                <w:szCs w:val="17"/>
                <w:color w:val="auto"/>
              </w:rPr>
              <w:t>1,440,825</w:t>
            </w:r>
          </w:p>
        </w:tc>
        <w:tc>
          <w:tcPr>
            <w:tcW w:w="1100" w:type="dxa"/>
            <w:vAlign w:val="bottom"/>
          </w:tcPr>
          <w:p>
            <w:pPr>
              <w:jc w:val="right"/>
              <w:spacing w:after="0"/>
              <w:rPr>
                <w:sz w:val="20"/>
                <w:szCs w:val="20"/>
                <w:color w:val="auto"/>
              </w:rPr>
            </w:pPr>
            <w:r>
              <w:rPr>
                <w:rFonts w:ascii="Arial" w:cs="Arial" w:eastAsia="Arial" w:hAnsi="Arial"/>
                <w:sz w:val="17"/>
                <w:szCs w:val="17"/>
                <w:color w:val="auto"/>
              </w:rPr>
              <w:t>0.9%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CC</w:t>
            </w:r>
          </w:p>
        </w:tc>
        <w:tc>
          <w:tcPr>
            <w:tcW w:w="34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0.0%</w:t>
            </w:r>
          </w:p>
        </w:tc>
        <w:tc>
          <w:tcPr>
            <w:tcW w:w="1100" w:type="dxa"/>
            <w:vAlign w:val="bottom"/>
            <w:shd w:val="clear" w:color="auto" w:fill="CCEEFF"/>
          </w:tcPr>
          <w:p>
            <w:pPr>
              <w:jc w:val="right"/>
              <w:ind w:right="58"/>
              <w:spacing w:after="0"/>
              <w:rPr>
                <w:sz w:val="20"/>
                <w:szCs w:val="20"/>
                <w:color w:val="auto"/>
              </w:rPr>
            </w:pPr>
            <w:r>
              <w:rPr>
                <w:rFonts w:ascii="Arial" w:cs="Arial" w:eastAsia="Arial" w:hAnsi="Arial"/>
                <w:sz w:val="17"/>
                <w:szCs w:val="17"/>
                <w:color w:val="auto"/>
              </w:rPr>
              <w:t>109,648</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80" w:type="dxa"/>
            <w:vAlign w:val="bottom"/>
          </w:tcPr>
          <w:p>
            <w:pPr>
              <w:ind w:left="200"/>
              <w:spacing w:after="0"/>
              <w:rPr>
                <w:sz w:val="20"/>
                <w:szCs w:val="20"/>
                <w:color w:val="auto"/>
              </w:rPr>
            </w:pPr>
            <w:r>
              <w:rPr>
                <w:rFonts w:ascii="Arial" w:cs="Arial" w:eastAsia="Arial" w:hAnsi="Arial"/>
                <w:sz w:val="17"/>
                <w:szCs w:val="17"/>
                <w:color w:val="auto"/>
              </w:rPr>
              <w:t>C</w:t>
            </w:r>
          </w:p>
        </w:tc>
        <w:tc>
          <w:tcPr>
            <w:tcW w:w="3480" w:type="dxa"/>
            <w:vAlign w:val="bottom"/>
            <w:gridSpan w:val="2"/>
          </w:tcPr>
          <w:p>
            <w:pPr>
              <w:jc w:val="right"/>
              <w:spacing w:after="0"/>
              <w:rPr>
                <w:sz w:val="20"/>
                <w:szCs w:val="20"/>
                <w:color w:val="auto"/>
              </w:rPr>
            </w:pPr>
            <w:r>
              <w:rPr>
                <w:rFonts w:ascii="Arial" w:cs="Arial" w:eastAsia="Arial" w:hAnsi="Arial"/>
                <w:sz w:val="17"/>
                <w:szCs w:val="17"/>
                <w:color w:val="auto"/>
              </w:rPr>
              <w:t>22,906</w:t>
            </w:r>
          </w:p>
        </w:tc>
        <w:tc>
          <w:tcPr>
            <w:tcW w:w="1260" w:type="dxa"/>
            <w:vAlign w:val="bottom"/>
            <w:gridSpan w:val="2"/>
          </w:tcPr>
          <w:p>
            <w:pPr>
              <w:jc w:val="right"/>
              <w:spacing w:after="0"/>
              <w:rPr>
                <w:sz w:val="20"/>
                <w:szCs w:val="20"/>
                <w:color w:val="auto"/>
              </w:rPr>
            </w:pPr>
            <w:r>
              <w:rPr>
                <w:rFonts w:ascii="Arial" w:cs="Arial" w:eastAsia="Arial" w:hAnsi="Arial"/>
                <w:sz w:val="17"/>
                <w:szCs w:val="17"/>
                <w:color w:val="auto"/>
              </w:rPr>
              <w:t>0.0%</w:t>
            </w:r>
          </w:p>
        </w:tc>
        <w:tc>
          <w:tcPr>
            <w:tcW w:w="1100" w:type="dxa"/>
            <w:vAlign w:val="bottom"/>
          </w:tcPr>
          <w:p>
            <w:pPr>
              <w:jc w:val="right"/>
              <w:ind w:right="58"/>
              <w:spacing w:after="0"/>
              <w:rPr>
                <w:sz w:val="20"/>
                <w:szCs w:val="20"/>
                <w:color w:val="auto"/>
              </w:rPr>
            </w:pPr>
            <w:r>
              <w:rPr>
                <w:rFonts w:ascii="Arial" w:cs="Arial" w:eastAsia="Arial" w:hAnsi="Arial"/>
                <w:sz w:val="17"/>
                <w:szCs w:val="17"/>
                <w:color w:val="auto"/>
              </w:rPr>
              <w:t>24,050</w:t>
            </w:r>
          </w:p>
        </w:tc>
        <w:tc>
          <w:tcPr>
            <w:tcW w:w="1100" w:type="dxa"/>
            <w:vAlign w:val="bottom"/>
          </w:tcPr>
          <w:p>
            <w:pPr>
              <w:jc w:val="right"/>
              <w:spacing w:after="0"/>
              <w:rPr>
                <w:sz w:val="20"/>
                <w:szCs w:val="20"/>
                <w:color w:val="auto"/>
              </w:rPr>
            </w:pPr>
            <w:r>
              <w:rPr>
                <w:rFonts w:ascii="Arial" w:cs="Arial" w:eastAsia="Arial" w:hAnsi="Arial"/>
                <w:sz w:val="17"/>
                <w:szCs w:val="17"/>
                <w:color w:val="auto"/>
              </w:rPr>
              <w:t>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D</w:t>
            </w:r>
          </w:p>
        </w:tc>
        <w:tc>
          <w:tcPr>
            <w:tcW w:w="34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375,464</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0.2%</w:t>
            </w:r>
          </w:p>
        </w:tc>
        <w:tc>
          <w:tcPr>
            <w:tcW w:w="1100" w:type="dxa"/>
            <w:vAlign w:val="bottom"/>
            <w:shd w:val="clear" w:color="auto" w:fill="CCEEFF"/>
          </w:tcPr>
          <w:p>
            <w:pPr>
              <w:jc w:val="right"/>
              <w:ind w:right="58"/>
              <w:spacing w:after="0"/>
              <w:rPr>
                <w:sz w:val="20"/>
                <w:szCs w:val="20"/>
                <w:color w:val="auto"/>
              </w:rPr>
            </w:pPr>
            <w:r>
              <w:rPr>
                <w:rFonts w:ascii="Arial" w:cs="Arial" w:eastAsia="Arial" w:hAnsi="Arial"/>
                <w:sz w:val="17"/>
                <w:szCs w:val="17"/>
                <w:color w:val="auto"/>
              </w:rPr>
              <w:t>390,542</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480" w:type="dxa"/>
            <w:vAlign w:val="bottom"/>
          </w:tcPr>
          <w:p>
            <w:pPr>
              <w:ind w:left="200"/>
              <w:spacing w:after="0"/>
              <w:rPr>
                <w:sz w:val="20"/>
                <w:szCs w:val="20"/>
                <w:color w:val="auto"/>
              </w:rPr>
            </w:pPr>
            <w:r>
              <w:rPr>
                <w:rFonts w:ascii="Arial" w:cs="Arial" w:eastAsia="Arial" w:hAnsi="Arial"/>
                <w:sz w:val="17"/>
                <w:szCs w:val="17"/>
                <w:color w:val="auto"/>
              </w:rPr>
              <w:t>Non rated</w:t>
            </w:r>
          </w:p>
        </w:tc>
        <w:tc>
          <w:tcPr>
            <w:tcW w:w="238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1,008,611</w:t>
            </w: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0.6%</w:t>
            </w:r>
          </w:p>
        </w:tc>
        <w:tc>
          <w:tcPr>
            <w:tcW w:w="1100" w:type="dxa"/>
            <w:vAlign w:val="bottom"/>
            <w:tcBorders>
              <w:bottom w:val="single" w:sz="8" w:color="auto"/>
            </w:tcBorders>
          </w:tcPr>
          <w:p>
            <w:pPr>
              <w:jc w:val="right"/>
              <w:ind w:right="58"/>
              <w:spacing w:after="0"/>
              <w:rPr>
                <w:sz w:val="20"/>
                <w:szCs w:val="20"/>
                <w:color w:val="auto"/>
              </w:rPr>
            </w:pPr>
            <w:r>
              <w:rPr>
                <w:rFonts w:ascii="Arial" w:cs="Arial" w:eastAsia="Arial" w:hAnsi="Arial"/>
                <w:sz w:val="17"/>
                <w:szCs w:val="17"/>
                <w:color w:val="auto"/>
              </w:rPr>
              <w:t>979,267</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480" w:type="dxa"/>
            <w:vAlign w:val="bottom"/>
            <w:shd w:val="clear" w:color="auto" w:fill="CCEEFF"/>
          </w:tcPr>
          <w:p>
            <w:pPr>
              <w:ind w:left="360"/>
              <w:spacing w:after="0"/>
              <w:rPr>
                <w:sz w:val="20"/>
                <w:szCs w:val="20"/>
                <w:color w:val="auto"/>
              </w:rPr>
            </w:pPr>
            <w:r>
              <w:rPr>
                <w:rFonts w:ascii="Arial" w:cs="Arial" w:eastAsia="Arial" w:hAnsi="Arial"/>
                <w:sz w:val="17"/>
                <w:szCs w:val="17"/>
                <w:color w:val="auto"/>
              </w:rPr>
              <w:t>Total residential mortgage backed securities</w:t>
            </w:r>
          </w:p>
        </w:tc>
        <w:tc>
          <w:tcPr>
            <w:tcW w:w="34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21,434,731</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13.3%</w:t>
            </w:r>
          </w:p>
        </w:tc>
        <w:tc>
          <w:tcPr>
            <w:tcW w:w="1100" w:type="dxa"/>
            <w:vAlign w:val="bottom"/>
            <w:shd w:val="clear" w:color="auto" w:fill="CCEEFF"/>
          </w:tcPr>
          <w:p>
            <w:pPr>
              <w:jc w:val="right"/>
              <w:ind w:right="58"/>
              <w:spacing w:after="0"/>
              <w:rPr>
                <w:sz w:val="20"/>
                <w:szCs w:val="20"/>
                <w:color w:val="auto"/>
              </w:rPr>
            </w:pPr>
            <w:r>
              <w:rPr>
                <w:rFonts w:ascii="Arial" w:cs="Arial" w:eastAsia="Arial" w:hAnsi="Arial"/>
                <w:sz w:val="17"/>
                <w:szCs w:val="17"/>
                <w:color w:val="auto"/>
              </w:rPr>
              <w:t>21,465,234</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80" w:type="dxa"/>
            <w:vAlign w:val="bottom"/>
            <w:tcBorders>
              <w:top w:val="single" w:sz="8" w:color="CCEEFF"/>
            </w:tcBorders>
          </w:tcPr>
          <w:p>
            <w:pPr>
              <w:spacing w:after="0"/>
              <w:rPr>
                <w:sz w:val="18"/>
                <w:szCs w:val="18"/>
                <w:color w:val="auto"/>
              </w:rPr>
            </w:pPr>
          </w:p>
        </w:tc>
        <w:tc>
          <w:tcPr>
            <w:tcW w:w="238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480" w:type="dxa"/>
            <w:vAlign w:val="bottom"/>
            <w:shd w:val="clear" w:color="auto" w:fill="CCEEFF"/>
          </w:tcPr>
          <w:p>
            <w:pPr>
              <w:ind w:left="200"/>
              <w:spacing w:after="0"/>
              <w:rPr>
                <w:sz w:val="20"/>
                <w:szCs w:val="20"/>
                <w:color w:val="auto"/>
              </w:rPr>
            </w:pPr>
            <w:r>
              <w:rPr>
                <w:rFonts w:ascii="Arial" w:cs="Arial" w:eastAsia="Arial" w:hAnsi="Arial"/>
                <w:sz w:val="17"/>
                <w:szCs w:val="17"/>
                <w:b w:val="1"/>
                <w:bCs w:val="1"/>
                <w:color w:val="auto"/>
              </w:rPr>
              <w:t>Total</w:t>
            </w:r>
          </w:p>
        </w:tc>
        <w:tc>
          <w:tcPr>
            <w:tcW w:w="34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$160,477,152</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100.0%</w:t>
            </w:r>
          </w:p>
        </w:tc>
        <w:tc>
          <w:tcPr>
            <w:tcW w:w="1100" w:type="dxa"/>
            <w:vAlign w:val="bottom"/>
            <w:shd w:val="clear" w:color="auto" w:fill="CCEEFF"/>
          </w:tcPr>
          <w:p>
            <w:pPr>
              <w:jc w:val="right"/>
              <w:ind w:right="58"/>
              <w:spacing w:after="0"/>
              <w:rPr>
                <w:sz w:val="20"/>
                <w:szCs w:val="20"/>
                <w:color w:val="auto"/>
              </w:rPr>
            </w:pPr>
            <w:r>
              <w:rPr>
                <w:rFonts w:ascii="Arial" w:cs="Arial" w:eastAsia="Arial" w:hAnsi="Arial"/>
                <w:sz w:val="17"/>
                <w:szCs w:val="17"/>
                <w:color w:val="auto"/>
                <w:w w:val="90"/>
              </w:rPr>
              <w:t>$151,777,516</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w:t>
            </w:r>
          </w:p>
        </w:tc>
        <w:tc>
          <w:tcPr>
            <w:tcW w:w="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645"/>
        </w:trPr>
        <w:tc>
          <w:tcPr>
            <w:tcW w:w="4480" w:type="dxa"/>
            <w:vAlign w:val="bottom"/>
            <w:tcBorders>
              <w:top w:val="single" w:sz="8" w:color="CCEEFF"/>
              <w:bottom w:val="single" w:sz="8" w:color="auto"/>
            </w:tcBorders>
          </w:tcPr>
          <w:p>
            <w:pPr>
              <w:spacing w:after="0"/>
              <w:rPr>
                <w:sz w:val="24"/>
                <w:szCs w:val="24"/>
                <w:color w:val="auto"/>
              </w:rPr>
            </w:pPr>
          </w:p>
        </w:tc>
        <w:tc>
          <w:tcPr>
            <w:tcW w:w="2380" w:type="dxa"/>
            <w:vAlign w:val="bottom"/>
            <w:tcBorders>
              <w:top w:val="single" w:sz="8" w:color="CCEEFF"/>
              <w:bottom w:val="single" w:sz="8" w:color="auto"/>
            </w:tcBorders>
          </w:tcPr>
          <w:p>
            <w:pPr>
              <w:jc w:val="right"/>
              <w:ind w:right="975"/>
              <w:spacing w:after="0"/>
              <w:rPr>
                <w:sz w:val="20"/>
                <w:szCs w:val="20"/>
                <w:color w:val="auto"/>
              </w:rPr>
            </w:pPr>
            <w:r>
              <w:rPr>
                <w:rFonts w:ascii="Arial" w:cs="Arial" w:eastAsia="Arial" w:hAnsi="Arial"/>
                <w:sz w:val="17"/>
                <w:szCs w:val="17"/>
                <w:color w:val="auto"/>
              </w:rPr>
              <w:t>57</w:t>
            </w:r>
          </w:p>
        </w:tc>
        <w:tc>
          <w:tcPr>
            <w:tcW w:w="1100" w:type="dxa"/>
            <w:vAlign w:val="bottom"/>
            <w:tcBorders>
              <w:top w:val="single" w:sz="8" w:color="auto"/>
              <w:bottom w:val="single" w:sz="8" w:color="auto"/>
            </w:tcBorders>
          </w:tcPr>
          <w:p>
            <w:pPr>
              <w:spacing w:after="0"/>
              <w:rPr>
                <w:sz w:val="24"/>
                <w:szCs w:val="24"/>
                <w:color w:val="auto"/>
              </w:rPr>
            </w:pPr>
          </w:p>
        </w:tc>
        <w:tc>
          <w:tcPr>
            <w:tcW w:w="40" w:type="dxa"/>
            <w:vAlign w:val="bottom"/>
            <w:tcBorders>
              <w:top w:val="single" w:sz="8" w:color="auto"/>
              <w:bottom w:val="single" w:sz="8" w:color="auto"/>
            </w:tcBorders>
          </w:tcPr>
          <w:p>
            <w:pPr>
              <w:spacing w:after="0"/>
              <w:rPr>
                <w:sz w:val="24"/>
                <w:szCs w:val="24"/>
                <w:color w:val="auto"/>
              </w:rPr>
            </w:pPr>
          </w:p>
        </w:tc>
        <w:tc>
          <w:tcPr>
            <w:tcW w:w="1220" w:type="dxa"/>
            <w:vAlign w:val="bottom"/>
            <w:tcBorders>
              <w:top w:val="single" w:sz="8" w:color="auto"/>
              <w:bottom w:val="single" w:sz="8" w:color="auto"/>
            </w:tcBorders>
          </w:tcPr>
          <w:p>
            <w:pPr>
              <w:spacing w:after="0"/>
              <w:rPr>
                <w:sz w:val="24"/>
                <w:szCs w:val="24"/>
                <w:color w:val="auto"/>
              </w:rPr>
            </w:pPr>
          </w:p>
        </w:tc>
        <w:tc>
          <w:tcPr>
            <w:tcW w:w="1100" w:type="dxa"/>
            <w:vAlign w:val="bottom"/>
            <w:tcBorders>
              <w:top w:val="single" w:sz="8" w:color="auto"/>
              <w:bottom w:val="single" w:sz="8" w:color="auto"/>
            </w:tcBorders>
          </w:tcPr>
          <w:p>
            <w:pPr>
              <w:spacing w:after="0"/>
              <w:rPr>
                <w:sz w:val="24"/>
                <w:szCs w:val="24"/>
                <w:color w:val="auto"/>
              </w:rPr>
            </w:pPr>
          </w:p>
        </w:tc>
        <w:tc>
          <w:tcPr>
            <w:tcW w:w="1100" w:type="dxa"/>
            <w:vAlign w:val="bottom"/>
            <w:tcBorders>
              <w:top w:val="single" w:sz="8" w:color="auto"/>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497" w:right="199" w:bottom="1440" w:gutter="0" w:footer="0" w:header="0"/>
        </w:sectPr>
      </w:pPr>
    </w:p>
    <w:bookmarkStart w:id="57" w:name="page58"/>
    <w:bookmarkEnd w:id="57"/>
    <w:p>
      <w:pPr>
        <w:ind w:left="640"/>
        <w:spacing w:after="0"/>
        <w:rPr>
          <w:sz w:val="20"/>
          <w:szCs w:val="20"/>
          <w:color w:val="auto"/>
        </w:rPr>
      </w:pPr>
      <w:r>
        <w:rPr>
          <w:rFonts w:ascii="Arial" w:cs="Arial" w:eastAsia="Arial" w:hAnsi="Arial"/>
          <w:sz w:val="17"/>
          <w:szCs w:val="17"/>
          <w:color w:val="auto"/>
        </w:rPr>
        <w:t>The table below summarizes the average yield by type of fixed-maturity security as of March 31, 2019 and December 31, 2018:</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Category</w:t>
            </w:r>
          </w:p>
        </w:tc>
        <w:tc>
          <w:tcPr>
            <w:tcW w:w="2720" w:type="dxa"/>
            <w:vAlign w:val="bottom"/>
          </w:tcPr>
          <w:p>
            <w:pPr>
              <w:jc w:val="center"/>
              <w:ind w:left="1319"/>
              <w:spacing w:after="0"/>
              <w:rPr>
                <w:sz w:val="20"/>
                <w:szCs w:val="20"/>
                <w:color w:val="auto"/>
              </w:rPr>
            </w:pPr>
            <w:r>
              <w:rPr>
                <w:rFonts w:ascii="Arial" w:cs="Arial" w:eastAsia="Arial" w:hAnsi="Arial"/>
                <w:sz w:val="14"/>
                <w:szCs w:val="14"/>
                <w:b w:val="1"/>
                <w:bCs w:val="1"/>
                <w:color w:val="auto"/>
                <w:w w:val="99"/>
              </w:rPr>
              <w:t>March 31,</w:t>
            </w:r>
          </w:p>
        </w:tc>
        <w:tc>
          <w:tcPr>
            <w:tcW w:w="10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7"/>
        </w:trPr>
        <w:tc>
          <w:tcPr>
            <w:tcW w:w="7660" w:type="dxa"/>
            <w:vAlign w:val="bottom"/>
            <w:gridSpan w:val="2"/>
            <w:vMerge w:val="continue"/>
          </w:tcPr>
          <w:p>
            <w:pPr>
              <w:spacing w:after="0"/>
              <w:rPr>
                <w:sz w:val="15"/>
                <w:szCs w:val="15"/>
                <w:color w:val="auto"/>
              </w:rPr>
            </w:pPr>
          </w:p>
        </w:tc>
        <w:tc>
          <w:tcPr>
            <w:tcW w:w="2720" w:type="dxa"/>
            <w:vAlign w:val="bottom"/>
          </w:tcPr>
          <w:p>
            <w:pPr>
              <w:jc w:val="center"/>
              <w:ind w:left="1319"/>
              <w:spacing w:after="0"/>
              <w:rPr>
                <w:sz w:val="20"/>
                <w:szCs w:val="20"/>
                <w:color w:val="auto"/>
              </w:rPr>
            </w:pPr>
            <w:r>
              <w:rPr>
                <w:rFonts w:ascii="Arial" w:cs="Arial" w:eastAsia="Arial" w:hAnsi="Arial"/>
                <w:sz w:val="14"/>
                <w:szCs w:val="14"/>
                <w:b w:val="1"/>
                <w:bCs w:val="1"/>
                <w:color w:val="auto"/>
                <w:w w:val="89"/>
              </w:rPr>
              <w:t>2019</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89"/>
              </w:rPr>
              <w:t>2018</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7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U.S. Treasury securities and obligations of U.S. government corporations and agencies</w:t>
            </w:r>
          </w:p>
        </w:tc>
        <w:tc>
          <w:tcPr>
            <w:tcW w:w="2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2.15%</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764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7"/>
                <w:szCs w:val="17"/>
                <w:color w:val="auto"/>
              </w:rPr>
              <w:t>Political subdivisions of States,</w:t>
            </w:r>
          </w:p>
        </w:tc>
        <w:tc>
          <w:tcPr>
            <w:tcW w:w="27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7"/>
                <w:szCs w:val="17"/>
                <w:color w:val="auto"/>
              </w:rPr>
              <w:t>Territories and Possessions</w:t>
            </w:r>
          </w:p>
        </w:tc>
        <w:tc>
          <w:tcPr>
            <w:tcW w:w="2720" w:type="dxa"/>
            <w:vAlign w:val="bottom"/>
          </w:tcPr>
          <w:p>
            <w:pPr>
              <w:jc w:val="right"/>
              <w:spacing w:after="0"/>
              <w:rPr>
                <w:sz w:val="20"/>
                <w:szCs w:val="20"/>
                <w:color w:val="auto"/>
              </w:rPr>
            </w:pPr>
            <w:r>
              <w:rPr>
                <w:rFonts w:ascii="Arial" w:cs="Arial" w:eastAsia="Arial" w:hAnsi="Arial"/>
                <w:sz w:val="17"/>
                <w:szCs w:val="17"/>
                <w:color w:val="auto"/>
              </w:rPr>
              <w:t>3.51%</w:t>
            </w:r>
          </w:p>
        </w:tc>
        <w:tc>
          <w:tcPr>
            <w:tcW w:w="1040" w:type="dxa"/>
            <w:vAlign w:val="bottom"/>
          </w:tcPr>
          <w:p>
            <w:pPr>
              <w:jc w:val="right"/>
              <w:spacing w:after="0"/>
              <w:rPr>
                <w:sz w:val="20"/>
                <w:szCs w:val="20"/>
                <w:color w:val="auto"/>
              </w:rPr>
            </w:pPr>
            <w:r>
              <w:rPr>
                <w:rFonts w:ascii="Arial" w:cs="Arial" w:eastAsia="Arial" w:hAnsi="Arial"/>
                <w:sz w:val="17"/>
                <w:szCs w:val="17"/>
                <w:color w:val="auto"/>
              </w:rPr>
              <w:t>3.62%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764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7"/>
                <w:szCs w:val="17"/>
                <w:color w:val="auto"/>
              </w:rPr>
              <w:t>Corporate and other bonds</w:t>
            </w:r>
          </w:p>
        </w:tc>
        <w:tc>
          <w:tcPr>
            <w:tcW w:w="27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7"/>
                <w:szCs w:val="17"/>
                <w:color w:val="auto"/>
              </w:rPr>
              <w:t>Industrial and miscellaneous</w:t>
            </w:r>
          </w:p>
        </w:tc>
        <w:tc>
          <w:tcPr>
            <w:tcW w:w="2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3.95%</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764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7"/>
                <w:szCs w:val="17"/>
                <w:color w:val="auto"/>
              </w:rPr>
              <w:t>Residential mortgage and other asset backed securities</w:t>
            </w:r>
          </w:p>
        </w:tc>
        <w:tc>
          <w:tcPr>
            <w:tcW w:w="2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1.98%</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1.94%</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764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7"/>
                <w:szCs w:val="17"/>
                <w:color w:val="auto"/>
              </w:rPr>
              <w:t>Total</w:t>
            </w:r>
          </w:p>
        </w:tc>
        <w:tc>
          <w:tcPr>
            <w:tcW w:w="2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3.58%</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3.68%</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36"/>
        </w:trPr>
        <w:tc>
          <w:tcPr>
            <w:tcW w:w="20" w:type="dxa"/>
            <w:vAlign w:val="bottom"/>
          </w:tcPr>
          <w:p>
            <w:pPr>
              <w:spacing w:after="0"/>
              <w:rPr>
                <w:sz w:val="24"/>
                <w:szCs w:val="24"/>
                <w:color w:val="auto"/>
              </w:rPr>
            </w:pPr>
          </w:p>
        </w:tc>
        <w:tc>
          <w:tcPr>
            <w:tcW w:w="11440" w:type="dxa"/>
            <w:vAlign w:val="bottom"/>
            <w:gridSpan w:val="4"/>
          </w:tcPr>
          <w:p>
            <w:pPr>
              <w:ind w:left="620"/>
              <w:spacing w:after="0"/>
              <w:rPr>
                <w:sz w:val="20"/>
                <w:szCs w:val="20"/>
                <w:color w:val="auto"/>
              </w:rPr>
            </w:pPr>
            <w:r>
              <w:rPr>
                <w:rFonts w:ascii="Arial" w:cs="Arial" w:eastAsia="Arial" w:hAnsi="Arial"/>
                <w:sz w:val="17"/>
                <w:szCs w:val="17"/>
                <w:color w:val="auto"/>
                <w:w w:val="92"/>
              </w:rPr>
              <w:t>The table below lists the weighted average maturity and effective duration in years on our fixed-maturity securities as of March 31, 2019 and December 31,</w:t>
            </w:r>
          </w:p>
        </w:tc>
        <w:tc>
          <w:tcPr>
            <w:tcW w:w="0" w:type="dxa"/>
            <w:vAlign w:val="bottom"/>
          </w:tcPr>
          <w:p>
            <w:pPr>
              <w:spacing w:after="0"/>
              <w:rPr>
                <w:sz w:val="1"/>
                <w:szCs w:val="1"/>
                <w:color w:val="auto"/>
              </w:rPr>
            </w:pPr>
          </w:p>
        </w:tc>
      </w:tr>
      <w:tr>
        <w:trPr>
          <w:trHeight w:val="216"/>
        </w:trPr>
        <w:tc>
          <w:tcPr>
            <w:tcW w:w="7660" w:type="dxa"/>
            <w:vAlign w:val="bottom"/>
            <w:gridSpan w:val="2"/>
          </w:tcPr>
          <w:p>
            <w:pPr>
              <w:spacing w:after="0"/>
              <w:rPr>
                <w:sz w:val="20"/>
                <w:szCs w:val="20"/>
                <w:color w:val="auto"/>
              </w:rPr>
            </w:pPr>
            <w:r>
              <w:rPr>
                <w:rFonts w:ascii="Arial" w:cs="Arial" w:eastAsia="Arial" w:hAnsi="Arial"/>
                <w:sz w:val="17"/>
                <w:szCs w:val="17"/>
                <w:color w:val="auto"/>
              </w:rPr>
              <w:t>2018:</w:t>
            </w:r>
          </w:p>
        </w:tc>
        <w:tc>
          <w:tcPr>
            <w:tcW w:w="27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7640" w:type="dxa"/>
            <w:vAlign w:val="bottom"/>
          </w:tcPr>
          <w:p>
            <w:pPr>
              <w:spacing w:after="0"/>
              <w:rPr>
                <w:sz w:val="24"/>
                <w:szCs w:val="24"/>
                <w:color w:val="auto"/>
              </w:rPr>
            </w:pPr>
          </w:p>
        </w:tc>
        <w:tc>
          <w:tcPr>
            <w:tcW w:w="2720" w:type="dxa"/>
            <w:vAlign w:val="bottom"/>
          </w:tcPr>
          <w:p>
            <w:pPr>
              <w:jc w:val="center"/>
              <w:ind w:left="1319"/>
              <w:spacing w:after="0"/>
              <w:rPr>
                <w:sz w:val="20"/>
                <w:szCs w:val="20"/>
                <w:color w:val="auto"/>
              </w:rPr>
            </w:pPr>
            <w:r>
              <w:rPr>
                <w:rFonts w:ascii="Arial" w:cs="Arial" w:eastAsia="Arial" w:hAnsi="Arial"/>
                <w:sz w:val="14"/>
                <w:szCs w:val="14"/>
                <w:b w:val="1"/>
                <w:bCs w:val="1"/>
                <w:color w:val="auto"/>
                <w:w w:val="99"/>
              </w:rPr>
              <w:t>March 31,</w:t>
            </w:r>
          </w:p>
        </w:tc>
        <w:tc>
          <w:tcPr>
            <w:tcW w:w="10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7640" w:type="dxa"/>
            <w:vAlign w:val="bottom"/>
            <w:tcBorders>
              <w:bottom w:val="single" w:sz="8" w:color="auto"/>
            </w:tcBorders>
          </w:tcPr>
          <w:p>
            <w:pPr>
              <w:spacing w:after="0"/>
              <w:rPr>
                <w:sz w:val="15"/>
                <w:szCs w:val="15"/>
                <w:color w:val="auto"/>
              </w:rPr>
            </w:pPr>
          </w:p>
        </w:tc>
        <w:tc>
          <w:tcPr>
            <w:tcW w:w="2720" w:type="dxa"/>
            <w:vAlign w:val="bottom"/>
            <w:tcBorders>
              <w:bottom w:val="single" w:sz="8" w:color="auto"/>
            </w:tcBorders>
          </w:tcPr>
          <w:p>
            <w:pPr>
              <w:jc w:val="center"/>
              <w:ind w:left="1319"/>
              <w:spacing w:after="0"/>
              <w:rPr>
                <w:sz w:val="20"/>
                <w:szCs w:val="20"/>
                <w:color w:val="auto"/>
              </w:rPr>
            </w:pPr>
            <w:r>
              <w:rPr>
                <w:rFonts w:ascii="Arial" w:cs="Arial" w:eastAsia="Arial" w:hAnsi="Arial"/>
                <w:sz w:val="14"/>
                <w:szCs w:val="14"/>
                <w:b w:val="1"/>
                <w:bCs w:val="1"/>
                <w:color w:val="auto"/>
                <w:w w:val="89"/>
              </w:rPr>
              <w:t>2019</w:t>
            </w: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2018</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7"/>
                <w:szCs w:val="17"/>
                <w:color w:val="auto"/>
              </w:rPr>
              <w:t>Weighted average effective maturity</w:t>
            </w:r>
          </w:p>
        </w:tc>
        <w:tc>
          <w:tcPr>
            <w:tcW w:w="2720" w:type="dxa"/>
            <w:vAlign w:val="bottom"/>
            <w:shd w:val="clear" w:color="auto" w:fill="CCEEFF"/>
          </w:tcPr>
          <w:p>
            <w:pPr>
              <w:jc w:val="right"/>
              <w:ind w:right="119"/>
              <w:spacing w:after="0"/>
              <w:rPr>
                <w:sz w:val="20"/>
                <w:szCs w:val="20"/>
                <w:color w:val="auto"/>
              </w:rPr>
            </w:pPr>
            <w:r>
              <w:rPr>
                <w:rFonts w:ascii="Arial" w:cs="Arial" w:eastAsia="Arial" w:hAnsi="Arial"/>
                <w:sz w:val="17"/>
                <w:szCs w:val="17"/>
                <w:color w:val="auto"/>
              </w:rPr>
              <w:t>5.4</w:t>
            </w: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7"/>
                <w:szCs w:val="17"/>
                <w:color w:val="auto"/>
              </w:rPr>
              <w:t>5.6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764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7"/>
                <w:szCs w:val="17"/>
                <w:color w:val="auto"/>
              </w:rPr>
              <w:t>Weighted average final maturity</w:t>
            </w:r>
          </w:p>
        </w:tc>
        <w:tc>
          <w:tcPr>
            <w:tcW w:w="2720" w:type="dxa"/>
            <w:vAlign w:val="bottom"/>
            <w:shd w:val="clear" w:color="auto" w:fill="CCEEFF"/>
          </w:tcPr>
          <w:p>
            <w:pPr>
              <w:jc w:val="right"/>
              <w:ind w:right="119"/>
              <w:spacing w:after="0"/>
              <w:rPr>
                <w:sz w:val="20"/>
                <w:szCs w:val="20"/>
                <w:color w:val="auto"/>
              </w:rPr>
            </w:pPr>
            <w:r>
              <w:rPr>
                <w:rFonts w:ascii="Arial" w:cs="Arial" w:eastAsia="Arial" w:hAnsi="Arial"/>
                <w:sz w:val="17"/>
                <w:szCs w:val="17"/>
                <w:color w:val="auto"/>
              </w:rPr>
              <w:t>6.7</w:t>
            </w: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7"/>
                <w:szCs w:val="17"/>
                <w:color w:val="auto"/>
              </w:rPr>
              <w:t>6.9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764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7"/>
                <w:szCs w:val="17"/>
                <w:color w:val="auto"/>
              </w:rPr>
              <w:t>Effective duration</w:t>
            </w:r>
          </w:p>
        </w:tc>
        <w:tc>
          <w:tcPr>
            <w:tcW w:w="2720" w:type="dxa"/>
            <w:vAlign w:val="bottom"/>
            <w:shd w:val="clear" w:color="auto" w:fill="CCEEFF"/>
          </w:tcPr>
          <w:p>
            <w:pPr>
              <w:jc w:val="right"/>
              <w:ind w:right="119"/>
              <w:spacing w:after="0"/>
              <w:rPr>
                <w:sz w:val="20"/>
                <w:szCs w:val="20"/>
                <w:color w:val="auto"/>
              </w:rPr>
            </w:pPr>
            <w:r>
              <w:rPr>
                <w:rFonts w:ascii="Arial" w:cs="Arial" w:eastAsia="Arial" w:hAnsi="Arial"/>
                <w:sz w:val="17"/>
                <w:szCs w:val="17"/>
                <w:color w:val="auto"/>
              </w:rPr>
              <w:t>4.5</w:t>
            </w: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7"/>
                <w:szCs w:val="17"/>
                <w:color w:val="auto"/>
              </w:rPr>
              <w:t>4.6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7640" w:type="dxa"/>
            <w:vAlign w:val="bottom"/>
            <w:tcBorders>
              <w:bottom w:val="single" w:sz="8" w:color="auto"/>
            </w:tcBorders>
          </w:tcPr>
          <w:p>
            <w:pPr>
              <w:jc w:val="right"/>
              <w:ind w:right="1775"/>
              <w:spacing w:after="0"/>
              <w:rPr>
                <w:sz w:val="20"/>
                <w:szCs w:val="20"/>
                <w:color w:val="auto"/>
              </w:rPr>
            </w:pPr>
            <w:r>
              <w:rPr>
                <w:rFonts w:ascii="Arial" w:cs="Arial" w:eastAsia="Arial" w:hAnsi="Arial"/>
                <w:sz w:val="17"/>
                <w:szCs w:val="17"/>
                <w:color w:val="auto"/>
              </w:rPr>
              <w:t>58</w:t>
            </w:r>
          </w:p>
        </w:tc>
        <w:tc>
          <w:tcPr>
            <w:tcW w:w="27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576" w:right="199" w:bottom="1440" w:gutter="0" w:footer="0" w:header="0"/>
        </w:sectPr>
      </w:pPr>
    </w:p>
    <w:bookmarkStart w:id="58" w:name="page59"/>
    <w:bookmarkEnd w:id="58"/>
    <w:p>
      <w:pPr>
        <w:ind w:left="640"/>
        <w:spacing w:after="0"/>
        <w:rPr>
          <w:sz w:val="20"/>
          <w:szCs w:val="20"/>
          <w:color w:val="auto"/>
        </w:rPr>
      </w:pPr>
      <w:r>
        <w:rPr>
          <w:rFonts w:ascii="Arial" w:cs="Arial" w:eastAsia="Arial" w:hAnsi="Arial"/>
          <w:sz w:val="17"/>
          <w:szCs w:val="17"/>
          <w:b w:val="1"/>
          <w:bCs w:val="1"/>
          <w:i w:val="1"/>
          <w:iCs w:val="1"/>
          <w:color w:val="auto"/>
        </w:rPr>
        <w:t>Fair Value Consideration</w:t>
      </w:r>
    </w:p>
    <w:p>
      <w:pPr>
        <w:spacing w:after="0" w:line="158" w:lineRule="exact"/>
        <w:rPr>
          <w:sz w:val="20"/>
          <w:szCs w:val="20"/>
          <w:color w:val="auto"/>
        </w:rPr>
      </w:pPr>
    </w:p>
    <w:p>
      <w:pPr>
        <w:jc w:val="both"/>
        <w:ind w:firstLine="628"/>
        <w:spacing w:after="0" w:line="299" w:lineRule="auto"/>
        <w:rPr>
          <w:sz w:val="20"/>
          <w:szCs w:val="20"/>
          <w:color w:val="auto"/>
        </w:rPr>
      </w:pPr>
      <w:r>
        <w:rPr>
          <w:rFonts w:ascii="Arial" w:cs="Arial" w:eastAsia="Arial" w:hAnsi="Arial"/>
          <w:sz w:val="15"/>
          <w:szCs w:val="15"/>
          <w:color w:val="auto"/>
        </w:rPr>
        <w:t>As disclosed in Note 4 to the condensed consolidated financial statements, with respect to “Fair Value Measurements,” we define fair value as the price that would be received to sell an asset or paid to transfer a liability in a transaction involving identical or comparable assets or liabilities between market participants (an “exit price”). The fair value hierarchy distinguishes between inputs based on market data from independent sources (“observable inputs”) and a reporting entity’s internal assumptions based upon the best information available when external market data is limited or unavailable (“unobservable inputs”). The fair value hierarchy prioritizes fair value measurements into three levels based on the nature of the inputs. Quoted prices in active markets for identical assets have the highest priority (“Level 1”), followed by observable inputs other than quoted prices including prices for similar but not identical assets or liabilities (“Level 2”), and unobservable inputs, including the reporting entity’s estimates of the assumption that market participants would use, having the lowest priority (“Level 3”). As of March 31, 2019 and December 31, 2018, 83% and 81%, respectively, of the investment portfolio recorded at fair value was priced based upon quoted market prices.</w:t>
      </w:r>
    </w:p>
    <w:p>
      <w:pPr>
        <w:spacing w:after="0" w:line="99" w:lineRule="exact"/>
        <w:rPr>
          <w:sz w:val="20"/>
          <w:szCs w:val="20"/>
          <w:color w:val="auto"/>
        </w:rPr>
      </w:pPr>
    </w:p>
    <w:p>
      <w:pPr>
        <w:ind w:right="120" w:firstLine="628"/>
        <w:spacing w:after="0" w:line="281" w:lineRule="auto"/>
        <w:rPr>
          <w:sz w:val="20"/>
          <w:szCs w:val="20"/>
          <w:color w:val="auto"/>
        </w:rPr>
      </w:pPr>
      <w:r>
        <w:rPr>
          <w:rFonts w:ascii="Arial" w:cs="Arial" w:eastAsia="Arial" w:hAnsi="Arial"/>
          <w:sz w:val="17"/>
          <w:szCs w:val="17"/>
          <w:color w:val="auto"/>
        </w:rPr>
        <w:t>The table below summarizes the gross unrealized losses of our fixed-maturity securities available-for-sale and equity securities by length of time the security has continuously been in an unrealized loss position as of March 31, 2019 and December 31, 2018:</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25106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ectPr>
          <w:pgSz w:w="11900" w:h="16838" w:orient="portrait"/>
          <w:cols w:equalWidth="0" w:num="1">
            <w:col w:w="11420"/>
          </w:cols>
          <w:pgMar w:left="240" w:top="523" w:right="23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177"/>
        </w:trPr>
        <w:tc>
          <w:tcPr>
            <w:tcW w:w="2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gridSpan w:val="3"/>
          </w:tcPr>
          <w:p>
            <w:pPr>
              <w:jc w:val="right"/>
              <w:ind w:right="739"/>
              <w:spacing w:after="0"/>
              <w:rPr>
                <w:sz w:val="20"/>
                <w:szCs w:val="20"/>
                <w:color w:val="auto"/>
              </w:rPr>
            </w:pPr>
            <w:r>
              <w:rPr>
                <w:rFonts w:ascii="Arial" w:cs="Arial" w:eastAsia="Arial" w:hAnsi="Arial"/>
                <w:sz w:val="14"/>
                <w:szCs w:val="14"/>
                <w:b w:val="1"/>
                <w:bCs w:val="1"/>
                <w:color w:val="auto"/>
              </w:rPr>
              <w:t>March 31, 2019</w:t>
            </w:r>
          </w:p>
        </w:tc>
        <w:tc>
          <w:tcPr>
            <w:tcW w:w="9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2"/>
          </w:tcPr>
          <w:p>
            <w:pPr>
              <w:jc w:val="center"/>
              <w:ind w:right="19"/>
              <w:spacing w:after="0"/>
              <w:rPr>
                <w:sz w:val="20"/>
                <w:szCs w:val="20"/>
                <w:color w:val="auto"/>
              </w:rPr>
            </w:pPr>
            <w:r>
              <w:rPr>
                <w:rFonts w:ascii="Arial" w:cs="Arial" w:eastAsia="Arial" w:hAnsi="Arial"/>
                <w:sz w:val="14"/>
                <w:szCs w:val="14"/>
                <w:b w:val="1"/>
                <w:bCs w:val="1"/>
                <w:color w:val="auto"/>
                <w:w w:val="90"/>
              </w:rPr>
              <w:t>Less than 12 months</w:t>
            </w:r>
          </w:p>
        </w:tc>
        <w:tc>
          <w:tcPr>
            <w:tcW w:w="8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12 months or more</w:t>
            </w:r>
          </w:p>
        </w:tc>
        <w:tc>
          <w:tcPr>
            <w:tcW w:w="9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Total</w:t>
            </w:r>
          </w:p>
        </w:tc>
        <w:tc>
          <w:tcPr>
            <w:tcW w:w="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center"/>
              <w:ind w:right="60"/>
              <w:spacing w:after="0"/>
              <w:rPr>
                <w:sz w:val="20"/>
                <w:szCs w:val="20"/>
                <w:color w:val="auto"/>
              </w:rPr>
            </w:pPr>
            <w:r>
              <w:rPr>
                <w:rFonts w:ascii="Arial" w:cs="Arial" w:eastAsia="Arial" w:hAnsi="Arial"/>
                <w:sz w:val="14"/>
                <w:szCs w:val="14"/>
                <w:b w:val="1"/>
                <w:bCs w:val="1"/>
                <w:color w:val="auto"/>
                <w:w w:val="92"/>
              </w:rPr>
              <w:t>Estimated</w:t>
            </w: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0"/>
              </w:rPr>
              <w:t>No. of</w:t>
            </w:r>
          </w:p>
        </w:tc>
        <w:tc>
          <w:tcPr>
            <w:tcW w:w="340" w:type="dxa"/>
            <w:vAlign w:val="bottom"/>
          </w:tcPr>
          <w:p>
            <w:pPr>
              <w:spacing w:after="0"/>
              <w:rPr>
                <w:sz w:val="19"/>
                <w:szCs w:val="19"/>
                <w:color w:val="auto"/>
              </w:rPr>
            </w:pPr>
          </w:p>
        </w:tc>
        <w:tc>
          <w:tcPr>
            <w:tcW w:w="840" w:type="dxa"/>
            <w:vAlign w:val="bottom"/>
          </w:tcPr>
          <w:p>
            <w:pPr>
              <w:jc w:val="center"/>
              <w:ind w:right="61"/>
              <w:spacing w:after="0"/>
              <w:rPr>
                <w:sz w:val="20"/>
                <w:szCs w:val="20"/>
                <w:color w:val="auto"/>
              </w:rPr>
            </w:pPr>
            <w:r>
              <w:rPr>
                <w:rFonts w:ascii="Arial" w:cs="Arial" w:eastAsia="Arial" w:hAnsi="Arial"/>
                <w:sz w:val="14"/>
                <w:szCs w:val="14"/>
                <w:b w:val="1"/>
                <w:bCs w:val="1"/>
                <w:color w:val="auto"/>
                <w:w w:val="92"/>
              </w:rPr>
              <w:t>Estimated</w:t>
            </w: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980" w:type="dxa"/>
            <w:vAlign w:val="bottom"/>
          </w:tcPr>
          <w:p>
            <w:pPr>
              <w:jc w:val="center"/>
              <w:ind w:right="60"/>
              <w:spacing w:after="0"/>
              <w:rPr>
                <w:sz w:val="20"/>
                <w:szCs w:val="20"/>
                <w:color w:val="auto"/>
              </w:rPr>
            </w:pPr>
            <w:r>
              <w:rPr>
                <w:rFonts w:ascii="Arial" w:cs="Arial" w:eastAsia="Arial" w:hAnsi="Arial"/>
                <w:sz w:val="14"/>
                <w:szCs w:val="14"/>
                <w:b w:val="1"/>
                <w:bCs w:val="1"/>
                <w:color w:val="auto"/>
                <w:w w:val="90"/>
              </w:rPr>
              <w:t>No. of</w:t>
            </w:r>
          </w:p>
        </w:tc>
        <w:tc>
          <w:tcPr>
            <w:tcW w:w="240" w:type="dxa"/>
            <w:vAlign w:val="bottom"/>
          </w:tcPr>
          <w:p>
            <w:pPr>
              <w:spacing w:after="0"/>
              <w:rPr>
                <w:sz w:val="19"/>
                <w:szCs w:val="19"/>
                <w:color w:val="auto"/>
              </w:rPr>
            </w:pPr>
          </w:p>
        </w:tc>
        <w:tc>
          <w:tcPr>
            <w:tcW w:w="900" w:type="dxa"/>
            <w:vAlign w:val="bottom"/>
          </w:tcPr>
          <w:p>
            <w:pPr>
              <w:jc w:val="center"/>
              <w:ind w:right="161"/>
              <w:spacing w:after="0"/>
              <w:rPr>
                <w:sz w:val="20"/>
                <w:szCs w:val="20"/>
                <w:color w:val="auto"/>
              </w:rPr>
            </w:pPr>
            <w:r>
              <w:rPr>
                <w:rFonts w:ascii="Arial" w:cs="Arial" w:eastAsia="Arial" w:hAnsi="Arial"/>
                <w:sz w:val="14"/>
                <w:szCs w:val="14"/>
                <w:b w:val="1"/>
                <w:bCs w:val="1"/>
                <w:color w:val="auto"/>
                <w:w w:val="92"/>
              </w:rPr>
              <w:t>Estimated</w:t>
            </w: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30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Category</w:t>
            </w:r>
          </w:p>
        </w:tc>
        <w:tc>
          <w:tcPr>
            <w:tcW w:w="220" w:type="dxa"/>
            <w:vAlign w:val="bottom"/>
          </w:tcPr>
          <w:p>
            <w:pPr>
              <w:spacing w:after="0"/>
              <w:rPr>
                <w:sz w:val="18"/>
                <w:szCs w:val="18"/>
                <w:color w:val="auto"/>
              </w:rPr>
            </w:pPr>
          </w:p>
        </w:tc>
        <w:tc>
          <w:tcPr>
            <w:tcW w:w="840" w:type="dxa"/>
            <w:vAlign w:val="bottom"/>
          </w:tcPr>
          <w:p>
            <w:pPr>
              <w:jc w:val="center"/>
              <w:ind w:right="60"/>
              <w:spacing w:after="0"/>
              <w:rPr>
                <w:sz w:val="20"/>
                <w:szCs w:val="20"/>
                <w:color w:val="auto"/>
              </w:rPr>
            </w:pPr>
            <w:r>
              <w:rPr>
                <w:rFonts w:ascii="Arial" w:cs="Arial" w:eastAsia="Arial" w:hAnsi="Arial"/>
                <w:sz w:val="14"/>
                <w:szCs w:val="14"/>
                <w:b w:val="1"/>
                <w:bCs w:val="1"/>
                <w:color w:val="auto"/>
              </w:rPr>
              <w:t>Fair</w:t>
            </w:r>
          </w:p>
        </w:tc>
        <w:tc>
          <w:tcPr>
            <w:tcW w:w="300" w:type="dxa"/>
            <w:vAlign w:val="bottom"/>
          </w:tcPr>
          <w:p>
            <w:pPr>
              <w:spacing w:after="0"/>
              <w:rPr>
                <w:sz w:val="18"/>
                <w:szCs w:val="18"/>
                <w:color w:val="auto"/>
              </w:rPr>
            </w:pPr>
          </w:p>
        </w:tc>
        <w:tc>
          <w:tcPr>
            <w:tcW w:w="1100" w:type="dxa"/>
            <w:vAlign w:val="bottom"/>
          </w:tcPr>
          <w:p>
            <w:pPr>
              <w:jc w:val="center"/>
              <w:ind w:right="299"/>
              <w:spacing w:after="0"/>
              <w:rPr>
                <w:sz w:val="20"/>
                <w:szCs w:val="20"/>
                <w:color w:val="auto"/>
              </w:rPr>
            </w:pPr>
            <w:r>
              <w:rPr>
                <w:rFonts w:ascii="Arial" w:cs="Arial" w:eastAsia="Arial" w:hAnsi="Arial"/>
                <w:sz w:val="14"/>
                <w:szCs w:val="14"/>
                <w:b w:val="1"/>
                <w:bCs w:val="1"/>
                <w:color w:val="auto"/>
                <w:w w:val="95"/>
              </w:rPr>
              <w:t>Unrealized</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88"/>
              </w:rPr>
              <w:t>Positions</w:t>
            </w:r>
          </w:p>
        </w:tc>
        <w:tc>
          <w:tcPr>
            <w:tcW w:w="340" w:type="dxa"/>
            <w:vAlign w:val="bottom"/>
          </w:tcPr>
          <w:p>
            <w:pPr>
              <w:spacing w:after="0"/>
              <w:rPr>
                <w:sz w:val="18"/>
                <w:szCs w:val="18"/>
                <w:color w:val="auto"/>
              </w:rPr>
            </w:pPr>
          </w:p>
        </w:tc>
        <w:tc>
          <w:tcPr>
            <w:tcW w:w="840" w:type="dxa"/>
            <w:vAlign w:val="bottom"/>
          </w:tcPr>
          <w:p>
            <w:pPr>
              <w:jc w:val="center"/>
              <w:ind w:right="61"/>
              <w:spacing w:after="0"/>
              <w:rPr>
                <w:sz w:val="20"/>
                <w:szCs w:val="20"/>
                <w:color w:val="auto"/>
              </w:rPr>
            </w:pPr>
            <w:r>
              <w:rPr>
                <w:rFonts w:ascii="Arial" w:cs="Arial" w:eastAsia="Arial" w:hAnsi="Arial"/>
                <w:sz w:val="14"/>
                <w:szCs w:val="14"/>
                <w:b w:val="1"/>
                <w:bCs w:val="1"/>
                <w:color w:val="auto"/>
              </w:rPr>
              <w:t>Fair</w:t>
            </w:r>
          </w:p>
        </w:tc>
        <w:tc>
          <w:tcPr>
            <w:tcW w:w="280" w:type="dxa"/>
            <w:vAlign w:val="bottom"/>
          </w:tcPr>
          <w:p>
            <w:pPr>
              <w:spacing w:after="0"/>
              <w:rPr>
                <w:sz w:val="18"/>
                <w:szCs w:val="18"/>
                <w:color w:val="auto"/>
              </w:rPr>
            </w:pPr>
          </w:p>
        </w:tc>
        <w:tc>
          <w:tcPr>
            <w:tcW w:w="1080" w:type="dxa"/>
            <w:vAlign w:val="bottom"/>
          </w:tcPr>
          <w:p>
            <w:pPr>
              <w:jc w:val="center"/>
              <w:ind w:right="279"/>
              <w:spacing w:after="0"/>
              <w:rPr>
                <w:sz w:val="20"/>
                <w:szCs w:val="20"/>
                <w:color w:val="auto"/>
              </w:rPr>
            </w:pPr>
            <w:r>
              <w:rPr>
                <w:rFonts w:ascii="Arial" w:cs="Arial" w:eastAsia="Arial" w:hAnsi="Arial"/>
                <w:sz w:val="14"/>
                <w:szCs w:val="14"/>
                <w:b w:val="1"/>
                <w:bCs w:val="1"/>
                <w:color w:val="auto"/>
                <w:w w:val="95"/>
              </w:rPr>
              <w:t>Unrealized</w:t>
            </w:r>
          </w:p>
        </w:tc>
        <w:tc>
          <w:tcPr>
            <w:tcW w:w="980" w:type="dxa"/>
            <w:vAlign w:val="bottom"/>
          </w:tcPr>
          <w:p>
            <w:pPr>
              <w:jc w:val="center"/>
              <w:ind w:right="60"/>
              <w:spacing w:after="0"/>
              <w:rPr>
                <w:sz w:val="20"/>
                <w:szCs w:val="20"/>
                <w:color w:val="auto"/>
              </w:rPr>
            </w:pPr>
            <w:r>
              <w:rPr>
                <w:rFonts w:ascii="Arial" w:cs="Arial" w:eastAsia="Arial" w:hAnsi="Arial"/>
                <w:sz w:val="14"/>
                <w:szCs w:val="14"/>
                <w:b w:val="1"/>
                <w:bCs w:val="1"/>
                <w:color w:val="auto"/>
                <w:w w:val="88"/>
              </w:rPr>
              <w:t>Positions</w:t>
            </w:r>
          </w:p>
        </w:tc>
        <w:tc>
          <w:tcPr>
            <w:tcW w:w="240" w:type="dxa"/>
            <w:vAlign w:val="bottom"/>
          </w:tcPr>
          <w:p>
            <w:pPr>
              <w:spacing w:after="0"/>
              <w:rPr>
                <w:sz w:val="18"/>
                <w:szCs w:val="18"/>
                <w:color w:val="auto"/>
              </w:rPr>
            </w:pPr>
          </w:p>
        </w:tc>
        <w:tc>
          <w:tcPr>
            <w:tcW w:w="900" w:type="dxa"/>
            <w:vAlign w:val="bottom"/>
          </w:tcPr>
          <w:p>
            <w:pPr>
              <w:jc w:val="center"/>
              <w:ind w:right="161"/>
              <w:spacing w:after="0"/>
              <w:rPr>
                <w:sz w:val="20"/>
                <w:szCs w:val="20"/>
                <w:color w:val="auto"/>
              </w:rPr>
            </w:pPr>
            <w:r>
              <w:rPr>
                <w:rFonts w:ascii="Arial" w:cs="Arial" w:eastAsia="Arial" w:hAnsi="Arial"/>
                <w:sz w:val="14"/>
                <w:szCs w:val="14"/>
                <w:b w:val="1"/>
                <w:bCs w:val="1"/>
                <w:color w:val="auto"/>
              </w:rPr>
              <w:t>Fair</w:t>
            </w:r>
          </w:p>
        </w:tc>
        <w:tc>
          <w:tcPr>
            <w:tcW w:w="220" w:type="dxa"/>
            <w:vAlign w:val="bottom"/>
          </w:tcPr>
          <w:p>
            <w:pPr>
              <w:spacing w:after="0"/>
              <w:rPr>
                <w:sz w:val="18"/>
                <w:szCs w:val="18"/>
                <w:color w:val="auto"/>
              </w:rPr>
            </w:pPr>
          </w:p>
        </w:tc>
        <w:tc>
          <w:tcPr>
            <w:tcW w:w="920" w:type="dxa"/>
            <w:vAlign w:val="bottom"/>
          </w:tcPr>
          <w:p>
            <w:pPr>
              <w:jc w:val="right"/>
              <w:ind w:right="159"/>
              <w:spacing w:after="0"/>
              <w:rPr>
                <w:sz w:val="20"/>
                <w:szCs w:val="20"/>
                <w:color w:val="auto"/>
              </w:rPr>
            </w:pPr>
            <w:r>
              <w:rPr>
                <w:rFonts w:ascii="Arial" w:cs="Arial" w:eastAsia="Arial" w:hAnsi="Arial"/>
                <w:sz w:val="14"/>
                <w:szCs w:val="14"/>
                <w:b w:val="1"/>
                <w:bCs w:val="1"/>
                <w:color w:val="auto"/>
                <w:w w:val="93"/>
              </w:rPr>
              <w:t>Unrealized</w:t>
            </w:r>
          </w:p>
        </w:tc>
        <w:tc>
          <w:tcPr>
            <w:tcW w:w="0" w:type="dxa"/>
            <w:vAlign w:val="bottom"/>
          </w:tcPr>
          <w:p>
            <w:pPr>
              <w:spacing w:after="0"/>
              <w:rPr>
                <w:sz w:val="1"/>
                <w:szCs w:val="1"/>
                <w:color w:val="auto"/>
              </w:rPr>
            </w:pPr>
          </w:p>
        </w:tc>
      </w:tr>
      <w:tr>
        <w:trPr>
          <w:trHeight w:val="200"/>
        </w:trPr>
        <w:tc>
          <w:tcPr>
            <w:tcW w:w="2300" w:type="dxa"/>
            <w:vAlign w:val="bottom"/>
            <w:tcBorders>
              <w:bottom w:val="single" w:sz="8" w:color="auto"/>
            </w:tcBorders>
            <w:gridSpan w:val="2"/>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w w:val="90"/>
              </w:rPr>
              <w:t>Value</w:t>
            </w:r>
          </w:p>
        </w:tc>
        <w:tc>
          <w:tcPr>
            <w:tcW w:w="3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299"/>
              <w:spacing w:after="0"/>
              <w:rPr>
                <w:sz w:val="20"/>
                <w:szCs w:val="20"/>
                <w:color w:val="auto"/>
              </w:rPr>
            </w:pPr>
            <w:r>
              <w:rPr>
                <w:rFonts w:ascii="Arial" w:cs="Arial" w:eastAsia="Arial" w:hAnsi="Arial"/>
                <w:sz w:val="14"/>
                <w:szCs w:val="14"/>
                <w:b w:val="1"/>
                <w:bCs w:val="1"/>
                <w:color w:val="auto"/>
                <w:w w:val="82"/>
              </w:rPr>
              <w:t>Losses</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Held</w:t>
            </w:r>
          </w:p>
        </w:tc>
        <w:tc>
          <w:tcPr>
            <w:tcW w:w="3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w w:val="96"/>
              </w:rPr>
              <w:t>Value</w:t>
            </w:r>
          </w:p>
        </w:tc>
        <w:tc>
          <w:tcPr>
            <w:tcW w:w="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279"/>
              <w:spacing w:after="0"/>
              <w:rPr>
                <w:sz w:val="20"/>
                <w:szCs w:val="20"/>
                <w:color w:val="auto"/>
              </w:rPr>
            </w:pPr>
            <w:r>
              <w:rPr>
                <w:rFonts w:ascii="Arial" w:cs="Arial" w:eastAsia="Arial" w:hAnsi="Arial"/>
                <w:sz w:val="14"/>
                <w:szCs w:val="14"/>
                <w:b w:val="1"/>
                <w:bCs w:val="1"/>
                <w:color w:val="auto"/>
                <w:w w:val="82"/>
              </w:rPr>
              <w:t>Losses</w:t>
            </w:r>
          </w:p>
        </w:tc>
        <w:tc>
          <w:tcPr>
            <w:tcW w:w="98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w w:val="92"/>
              </w:rPr>
              <w:t>Held</w:t>
            </w: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center"/>
              <w:ind w:right="161"/>
              <w:spacing w:after="0"/>
              <w:rPr>
                <w:sz w:val="20"/>
                <w:szCs w:val="20"/>
                <w:color w:val="auto"/>
              </w:rPr>
            </w:pPr>
            <w:r>
              <w:rPr>
                <w:rFonts w:ascii="Arial" w:cs="Arial" w:eastAsia="Arial" w:hAnsi="Arial"/>
                <w:sz w:val="14"/>
                <w:szCs w:val="14"/>
                <w:b w:val="1"/>
                <w:bCs w:val="1"/>
                <w:color w:val="auto"/>
                <w:w w:val="90"/>
              </w:rPr>
              <w:t>Value</w:t>
            </w: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Losses</w:t>
            </w:r>
          </w:p>
        </w:tc>
        <w:tc>
          <w:tcPr>
            <w:tcW w:w="0" w:type="dxa"/>
            <w:vAlign w:val="bottom"/>
          </w:tcPr>
          <w:p>
            <w:pPr>
              <w:spacing w:after="0"/>
              <w:rPr>
                <w:sz w:val="1"/>
                <w:szCs w:val="1"/>
                <w:color w:val="auto"/>
              </w:rPr>
            </w:pPr>
          </w:p>
        </w:tc>
      </w:tr>
      <w:tr>
        <w:trPr>
          <w:trHeight w:val="470"/>
        </w:trPr>
        <w:tc>
          <w:tcPr>
            <w:tcW w:w="2300" w:type="dxa"/>
            <w:vAlign w:val="bottom"/>
            <w:gridSpan w:val="2"/>
          </w:tcPr>
          <w:p>
            <w:pPr>
              <w:spacing w:after="0"/>
              <w:rPr>
                <w:sz w:val="20"/>
                <w:szCs w:val="20"/>
                <w:color w:val="auto"/>
              </w:rPr>
            </w:pPr>
            <w:r>
              <w:rPr>
                <w:rFonts w:ascii="Arial" w:cs="Arial" w:eastAsia="Arial" w:hAnsi="Arial"/>
                <w:sz w:val="17"/>
                <w:szCs w:val="17"/>
                <w:b w:val="1"/>
                <w:bCs w:val="1"/>
                <w:color w:val="auto"/>
              </w:rPr>
              <w:t>Fixed-Maturity Securities:</w:t>
            </w: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7"/>
                <w:szCs w:val="17"/>
                <w:color w:val="auto"/>
              </w:rPr>
              <w:t>U.S. Treasury securities and</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obligations of U.S.</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280" w:type="dxa"/>
            <w:vAlign w:val="bottom"/>
            <w:shd w:val="clear" w:color="auto" w:fill="CCEEFF"/>
          </w:tcPr>
          <w:p>
            <w:pPr>
              <w:ind w:left="140"/>
              <w:spacing w:after="0"/>
              <w:rPr>
                <w:sz w:val="20"/>
                <w:szCs w:val="20"/>
                <w:color w:val="auto"/>
              </w:rPr>
            </w:pPr>
            <w:r>
              <w:rPr>
                <w:rFonts w:ascii="Arial" w:cs="Arial" w:eastAsia="Arial" w:hAnsi="Arial"/>
                <w:sz w:val="17"/>
                <w:szCs w:val="17"/>
                <w:color w:val="auto"/>
                <w:w w:val="95"/>
              </w:rPr>
              <w:t>government corporations and</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2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agencies</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ind w:right="199"/>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3,972,480</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ind w:right="119"/>
              <w:spacing w:after="0"/>
              <w:rPr>
                <w:sz w:val="20"/>
                <w:szCs w:val="20"/>
                <w:color w:val="auto"/>
              </w:rPr>
            </w:pPr>
            <w:r>
              <w:rPr>
                <w:rFonts w:ascii="Arial" w:cs="Arial" w:eastAsia="Arial" w:hAnsi="Arial"/>
                <w:sz w:val="17"/>
                <w:szCs w:val="17"/>
                <w:color w:val="auto"/>
              </w:rPr>
              <w:t>(9,784)</w:t>
            </w:r>
          </w:p>
        </w:tc>
        <w:tc>
          <w:tcPr>
            <w:tcW w:w="980" w:type="dxa"/>
            <w:vAlign w:val="bottom"/>
            <w:shd w:val="clear" w:color="auto" w:fill="CCEEFF"/>
          </w:tcPr>
          <w:p>
            <w:pPr>
              <w:jc w:val="right"/>
              <w:ind w:right="20"/>
              <w:spacing w:after="0"/>
              <w:rPr>
                <w:sz w:val="20"/>
                <w:szCs w:val="20"/>
                <w:color w:val="auto"/>
              </w:rPr>
            </w:pPr>
            <w:r>
              <w:rPr>
                <w:rFonts w:ascii="Arial" w:cs="Arial" w:eastAsia="Arial" w:hAnsi="Arial"/>
                <w:sz w:val="17"/>
                <w:szCs w:val="17"/>
                <w:color w:val="auto"/>
              </w:rPr>
              <w:t>2</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ind w:right="21"/>
              <w:spacing w:after="0"/>
              <w:rPr>
                <w:sz w:val="20"/>
                <w:szCs w:val="20"/>
                <w:color w:val="auto"/>
              </w:rPr>
            </w:pPr>
            <w:r>
              <w:rPr>
                <w:rFonts w:ascii="Arial" w:cs="Arial" w:eastAsia="Arial" w:hAnsi="Arial"/>
                <w:sz w:val="17"/>
                <w:szCs w:val="17"/>
                <w:color w:val="auto"/>
              </w:rPr>
              <w:t>3,972,480</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(9,784)</w:t>
            </w:r>
          </w:p>
        </w:tc>
        <w:tc>
          <w:tcPr>
            <w:tcW w:w="0" w:type="dxa"/>
            <w:vAlign w:val="bottom"/>
          </w:tcPr>
          <w:p>
            <w:pPr>
              <w:spacing w:after="0"/>
              <w:rPr>
                <w:sz w:val="1"/>
                <w:szCs w:val="1"/>
                <w:color w:val="auto"/>
              </w:rPr>
            </w:pPr>
          </w:p>
        </w:tc>
      </w:tr>
      <w:tr>
        <w:trPr>
          <w:trHeight w:val="209"/>
        </w:trPr>
        <w:tc>
          <w:tcPr>
            <w:tcW w:w="230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7"/>
                <w:szCs w:val="17"/>
                <w:color w:val="auto"/>
                <w:w w:val="97"/>
              </w:rPr>
              <w:t>Political subdivisions of States,</w:t>
            </w:r>
          </w:p>
        </w:tc>
        <w:tc>
          <w:tcPr>
            <w:tcW w:w="2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2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Territories and Possessions</w:t>
            </w:r>
          </w:p>
        </w:tc>
        <w:tc>
          <w:tcPr>
            <w:tcW w:w="2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199"/>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825,878</w:t>
            </w:r>
          </w:p>
        </w:tc>
        <w:tc>
          <w:tcPr>
            <w:tcW w:w="28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119"/>
              <w:spacing w:after="0"/>
              <w:rPr>
                <w:sz w:val="20"/>
                <w:szCs w:val="20"/>
                <w:color w:val="auto"/>
              </w:rPr>
            </w:pPr>
            <w:r>
              <w:rPr>
                <w:rFonts w:ascii="Arial" w:cs="Arial" w:eastAsia="Arial" w:hAnsi="Arial"/>
                <w:sz w:val="17"/>
                <w:szCs w:val="17"/>
                <w:color w:val="auto"/>
              </w:rPr>
              <w:t>(6,230)</w:t>
            </w:r>
          </w:p>
        </w:tc>
        <w:tc>
          <w:tcPr>
            <w:tcW w:w="980" w:type="dxa"/>
            <w:vAlign w:val="bottom"/>
            <w:shd w:val="clear" w:color="auto" w:fill="CCEEFF"/>
          </w:tcPr>
          <w:p>
            <w:pPr>
              <w:jc w:val="right"/>
              <w:ind w:right="20"/>
              <w:spacing w:after="0"/>
              <w:rPr>
                <w:sz w:val="20"/>
                <w:szCs w:val="20"/>
                <w:color w:val="auto"/>
              </w:rPr>
            </w:pPr>
            <w:r>
              <w:rPr>
                <w:rFonts w:ascii="Arial" w:cs="Arial" w:eastAsia="Arial" w:hAnsi="Arial"/>
                <w:sz w:val="17"/>
                <w:szCs w:val="17"/>
                <w:color w:val="auto"/>
              </w:rPr>
              <w:t>2</w:t>
            </w: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21"/>
              <w:spacing w:after="0"/>
              <w:rPr>
                <w:sz w:val="20"/>
                <w:szCs w:val="20"/>
                <w:color w:val="auto"/>
              </w:rPr>
            </w:pPr>
            <w:r>
              <w:rPr>
                <w:rFonts w:ascii="Arial" w:cs="Arial" w:eastAsia="Arial" w:hAnsi="Arial"/>
                <w:sz w:val="17"/>
                <w:szCs w:val="17"/>
                <w:color w:val="auto"/>
              </w:rPr>
              <w:t>825,878</w:t>
            </w: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(6,230)</w:t>
            </w:r>
          </w:p>
        </w:tc>
        <w:tc>
          <w:tcPr>
            <w:tcW w:w="0" w:type="dxa"/>
            <w:vAlign w:val="bottom"/>
          </w:tcPr>
          <w:p>
            <w:pPr>
              <w:spacing w:after="0"/>
              <w:rPr>
                <w:sz w:val="1"/>
                <w:szCs w:val="1"/>
                <w:color w:val="auto"/>
              </w:rPr>
            </w:pPr>
          </w:p>
        </w:tc>
      </w:tr>
      <w:tr>
        <w:trPr>
          <w:trHeight w:val="209"/>
        </w:trPr>
        <w:tc>
          <w:tcPr>
            <w:tcW w:w="230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7"/>
                <w:szCs w:val="17"/>
                <w:color w:val="auto"/>
              </w:rPr>
              <w:t>Corporate and other bonds</w:t>
            </w:r>
          </w:p>
        </w:tc>
        <w:tc>
          <w:tcPr>
            <w:tcW w:w="2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280" w:type="dxa"/>
            <w:vAlign w:val="bottom"/>
            <w:shd w:val="clear" w:color="auto" w:fill="CCEEFF"/>
          </w:tcPr>
          <w:p>
            <w:pPr>
              <w:ind w:left="140"/>
              <w:spacing w:after="0"/>
              <w:rPr>
                <w:sz w:val="20"/>
                <w:szCs w:val="20"/>
                <w:color w:val="auto"/>
              </w:rPr>
            </w:pPr>
            <w:r>
              <w:rPr>
                <w:rFonts w:ascii="Arial" w:cs="Arial" w:eastAsia="Arial" w:hAnsi="Arial"/>
                <w:sz w:val="17"/>
                <w:szCs w:val="17"/>
                <w:color w:val="auto"/>
                <w:w w:val="99"/>
              </w:rPr>
              <w:t>industrial and miscellaneous</w:t>
            </w:r>
          </w:p>
        </w:tc>
        <w:tc>
          <w:tcPr>
            <w:tcW w:w="2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9,045,064</w:t>
            </w:r>
          </w:p>
        </w:tc>
        <w:tc>
          <w:tcPr>
            <w:tcW w:w="30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139"/>
              <w:spacing w:after="0"/>
              <w:rPr>
                <w:sz w:val="20"/>
                <w:szCs w:val="20"/>
                <w:color w:val="auto"/>
              </w:rPr>
            </w:pPr>
            <w:r>
              <w:rPr>
                <w:rFonts w:ascii="Arial" w:cs="Arial" w:eastAsia="Arial" w:hAnsi="Arial"/>
                <w:sz w:val="17"/>
                <w:szCs w:val="17"/>
                <w:color w:val="auto"/>
              </w:rPr>
              <w:t>(57,955)</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3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40,520,044</w:t>
            </w:r>
          </w:p>
        </w:tc>
        <w:tc>
          <w:tcPr>
            <w:tcW w:w="28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119"/>
              <w:spacing w:after="0"/>
              <w:rPr>
                <w:sz w:val="20"/>
                <w:szCs w:val="20"/>
                <w:color w:val="auto"/>
              </w:rPr>
            </w:pPr>
            <w:r>
              <w:rPr>
                <w:rFonts w:ascii="Arial" w:cs="Arial" w:eastAsia="Arial" w:hAnsi="Arial"/>
                <w:sz w:val="17"/>
                <w:szCs w:val="17"/>
                <w:color w:val="auto"/>
              </w:rPr>
              <w:t>(710,936)</w:t>
            </w:r>
          </w:p>
        </w:tc>
        <w:tc>
          <w:tcPr>
            <w:tcW w:w="980" w:type="dxa"/>
            <w:vAlign w:val="bottom"/>
            <w:shd w:val="clear" w:color="auto" w:fill="CCEEFF"/>
          </w:tcPr>
          <w:p>
            <w:pPr>
              <w:jc w:val="right"/>
              <w:ind w:right="20"/>
              <w:spacing w:after="0"/>
              <w:rPr>
                <w:sz w:val="20"/>
                <w:szCs w:val="20"/>
                <w:color w:val="auto"/>
              </w:rPr>
            </w:pPr>
            <w:r>
              <w:rPr>
                <w:rFonts w:ascii="Arial" w:cs="Arial" w:eastAsia="Arial" w:hAnsi="Arial"/>
                <w:sz w:val="17"/>
                <w:szCs w:val="17"/>
                <w:color w:val="auto"/>
              </w:rPr>
              <w:t>52</w:t>
            </w: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21"/>
              <w:spacing w:after="0"/>
              <w:rPr>
                <w:sz w:val="20"/>
                <w:szCs w:val="20"/>
                <w:color w:val="auto"/>
              </w:rPr>
            </w:pPr>
            <w:r>
              <w:rPr>
                <w:rFonts w:ascii="Arial" w:cs="Arial" w:eastAsia="Arial" w:hAnsi="Arial"/>
                <w:sz w:val="17"/>
                <w:szCs w:val="17"/>
                <w:color w:val="auto"/>
                <w:w w:val="91"/>
              </w:rPr>
              <w:t>49,565,108</w:t>
            </w: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(768,891)</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2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7"/>
                <w:szCs w:val="17"/>
                <w:color w:val="auto"/>
                <w:w w:val="95"/>
              </w:rPr>
              <w:t>Residential mortgage and other</w:t>
            </w: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2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asset backed securities</w:t>
            </w: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2,666,892</w:t>
            </w: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7"/>
                <w:szCs w:val="17"/>
                <w:color w:val="auto"/>
              </w:rPr>
              <w:t>(95,026)</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3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1"/>
              </w:rPr>
              <w:t>15,432,106</w:t>
            </w: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7"/>
                <w:szCs w:val="17"/>
                <w:color w:val="auto"/>
              </w:rPr>
              <w:t>(389,820)</w:t>
            </w:r>
          </w:p>
        </w:tc>
        <w:tc>
          <w:tcPr>
            <w:tcW w:w="9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7"/>
                <w:szCs w:val="17"/>
                <w:color w:val="auto"/>
              </w:rPr>
              <w:t>23</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7"/>
                <w:szCs w:val="17"/>
                <w:color w:val="auto"/>
                <w:w w:val="91"/>
              </w:rPr>
              <w:t>18,098,998</w:t>
            </w: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(484,846)</w:t>
            </w:r>
          </w:p>
        </w:tc>
        <w:tc>
          <w:tcPr>
            <w:tcW w:w="0" w:type="dxa"/>
            <w:vAlign w:val="bottom"/>
          </w:tcPr>
          <w:p>
            <w:pPr>
              <w:spacing w:after="0"/>
              <w:rPr>
                <w:sz w:val="1"/>
                <w:szCs w:val="1"/>
                <w:color w:val="auto"/>
              </w:rPr>
            </w:pPr>
          </w:p>
        </w:tc>
      </w:tr>
      <w:tr>
        <w:trPr>
          <w:trHeight w:val="209"/>
        </w:trPr>
        <w:tc>
          <w:tcPr>
            <w:tcW w:w="230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2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Total fixed-maturity securities</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1"/>
              </w:rPr>
              <w:t>11,711,956</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7"/>
                <w:szCs w:val="17"/>
                <w:color w:val="auto"/>
              </w:rPr>
              <w:t>(152,981)</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1"/>
              </w:rPr>
              <w:t>60,750,508</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7"/>
                <w:szCs w:val="17"/>
                <w:color w:val="auto"/>
                <w:w w:val="98"/>
              </w:rPr>
              <w:t>(1,116,770)</w:t>
            </w:r>
          </w:p>
        </w:tc>
        <w:tc>
          <w:tcPr>
            <w:tcW w:w="9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7"/>
                <w:szCs w:val="17"/>
                <w:color w:val="auto"/>
              </w:rPr>
              <w:t>79</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7"/>
                <w:szCs w:val="17"/>
                <w:color w:val="auto"/>
                <w:w w:val="91"/>
              </w:rPr>
              <w:t>72,462,464</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6"/>
              </w:rPr>
              <w:t>(1,269,751)</w:t>
            </w:r>
          </w:p>
        </w:tc>
        <w:tc>
          <w:tcPr>
            <w:tcW w:w="0" w:type="dxa"/>
            <w:vAlign w:val="bottom"/>
          </w:tcPr>
          <w:p>
            <w:pPr>
              <w:spacing w:after="0"/>
              <w:rPr>
                <w:sz w:val="1"/>
                <w:szCs w:val="1"/>
                <w:color w:val="auto"/>
              </w:rPr>
            </w:pPr>
          </w:p>
        </w:tc>
      </w:tr>
      <w:tr>
        <w:trPr>
          <w:trHeight w:val="567"/>
        </w:trPr>
        <w:tc>
          <w:tcPr>
            <w:tcW w:w="20" w:type="dxa"/>
            <w:vAlign w:val="bottom"/>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w w:val="84"/>
              </w:rPr>
              <w:t>60</w:t>
            </w:r>
          </w:p>
        </w:tc>
        <w:tc>
          <w:tcPr>
            <w:tcW w:w="8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41" w:right="239" w:bottom="1440" w:gutter="0" w:footer="0" w:header="0"/>
        </w:sectPr>
      </w:pPr>
    </w:p>
    <w:bookmarkStart w:id="60" w:name="page61"/>
    <w:bookmarkEnd w:id="6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23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3"/>
          </w:tcPr>
          <w:p>
            <w:pPr>
              <w:jc w:val="right"/>
              <w:ind w:right="599"/>
              <w:spacing w:after="0"/>
              <w:rPr>
                <w:sz w:val="20"/>
                <w:szCs w:val="20"/>
                <w:color w:val="auto"/>
              </w:rPr>
            </w:pPr>
            <w:r>
              <w:rPr>
                <w:rFonts w:ascii="Arial" w:cs="Arial" w:eastAsia="Arial" w:hAnsi="Arial"/>
                <w:sz w:val="14"/>
                <w:szCs w:val="14"/>
                <w:b w:val="1"/>
                <w:bCs w:val="1"/>
                <w:color w:val="auto"/>
              </w:rPr>
              <w:t>December 31, 2018</w:t>
            </w:r>
          </w:p>
        </w:tc>
        <w:tc>
          <w:tcPr>
            <w:tcW w:w="9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23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2"/>
          </w:tcPr>
          <w:p>
            <w:pPr>
              <w:jc w:val="center"/>
              <w:ind w:right="19"/>
              <w:spacing w:after="0"/>
              <w:rPr>
                <w:sz w:val="20"/>
                <w:szCs w:val="20"/>
                <w:color w:val="auto"/>
              </w:rPr>
            </w:pPr>
            <w:r>
              <w:rPr>
                <w:rFonts w:ascii="Arial" w:cs="Arial" w:eastAsia="Arial" w:hAnsi="Arial"/>
                <w:sz w:val="14"/>
                <w:szCs w:val="14"/>
                <w:b w:val="1"/>
                <w:bCs w:val="1"/>
                <w:color w:val="auto"/>
                <w:w w:val="90"/>
              </w:rPr>
              <w:t>Less than 12 months</w:t>
            </w:r>
          </w:p>
        </w:tc>
        <w:tc>
          <w:tcPr>
            <w:tcW w:w="10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12 months or more</w:t>
            </w:r>
          </w:p>
        </w:tc>
        <w:tc>
          <w:tcPr>
            <w:tcW w:w="9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Total</w:t>
            </w:r>
          </w:p>
        </w:tc>
        <w:tc>
          <w:tcPr>
            <w:tcW w:w="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center"/>
              <w:ind w:right="40"/>
              <w:spacing w:after="0"/>
              <w:rPr>
                <w:sz w:val="20"/>
                <w:szCs w:val="20"/>
                <w:color w:val="auto"/>
              </w:rPr>
            </w:pPr>
            <w:r>
              <w:rPr>
                <w:rFonts w:ascii="Arial" w:cs="Arial" w:eastAsia="Arial" w:hAnsi="Arial"/>
                <w:sz w:val="14"/>
                <w:szCs w:val="14"/>
                <w:b w:val="1"/>
                <w:bCs w:val="1"/>
                <w:color w:val="auto"/>
                <w:w w:val="92"/>
              </w:rPr>
              <w:t>Estimated</w:t>
            </w: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20" w:type="dxa"/>
            <w:vAlign w:val="bottom"/>
          </w:tcPr>
          <w:p>
            <w:pPr>
              <w:jc w:val="center"/>
              <w:ind w:right="179"/>
              <w:spacing w:after="0"/>
              <w:rPr>
                <w:sz w:val="20"/>
                <w:szCs w:val="20"/>
                <w:color w:val="auto"/>
              </w:rPr>
            </w:pPr>
            <w:r>
              <w:rPr>
                <w:rFonts w:ascii="Arial" w:cs="Arial" w:eastAsia="Arial" w:hAnsi="Arial"/>
                <w:sz w:val="14"/>
                <w:szCs w:val="14"/>
                <w:b w:val="1"/>
                <w:bCs w:val="1"/>
                <w:color w:val="auto"/>
                <w:w w:val="90"/>
              </w:rPr>
              <w:t>No. of</w:t>
            </w:r>
          </w:p>
        </w:tc>
        <w:tc>
          <w:tcPr>
            <w:tcW w:w="140" w:type="dxa"/>
            <w:vAlign w:val="bottom"/>
          </w:tcPr>
          <w:p>
            <w:pPr>
              <w:spacing w:after="0"/>
              <w:rPr>
                <w:sz w:val="19"/>
                <w:szCs w:val="19"/>
                <w:color w:val="auto"/>
              </w:rPr>
            </w:pPr>
          </w:p>
        </w:tc>
        <w:tc>
          <w:tcPr>
            <w:tcW w:w="840" w:type="dxa"/>
            <w:vAlign w:val="bottom"/>
          </w:tcPr>
          <w:p>
            <w:pPr>
              <w:jc w:val="center"/>
              <w:ind w:right="61"/>
              <w:spacing w:after="0"/>
              <w:rPr>
                <w:sz w:val="20"/>
                <w:szCs w:val="20"/>
                <w:color w:val="auto"/>
              </w:rPr>
            </w:pPr>
            <w:r>
              <w:rPr>
                <w:rFonts w:ascii="Arial" w:cs="Arial" w:eastAsia="Arial" w:hAnsi="Arial"/>
                <w:sz w:val="14"/>
                <w:szCs w:val="14"/>
                <w:b w:val="1"/>
                <w:bCs w:val="1"/>
                <w:color w:val="auto"/>
                <w:w w:val="92"/>
              </w:rPr>
              <w:t>Estimated</w:t>
            </w: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980" w:type="dxa"/>
            <w:vAlign w:val="bottom"/>
          </w:tcPr>
          <w:p>
            <w:pPr>
              <w:jc w:val="center"/>
              <w:ind w:right="60"/>
              <w:spacing w:after="0"/>
              <w:rPr>
                <w:sz w:val="20"/>
                <w:szCs w:val="20"/>
                <w:color w:val="auto"/>
              </w:rPr>
            </w:pPr>
            <w:r>
              <w:rPr>
                <w:rFonts w:ascii="Arial" w:cs="Arial" w:eastAsia="Arial" w:hAnsi="Arial"/>
                <w:sz w:val="14"/>
                <w:szCs w:val="14"/>
                <w:b w:val="1"/>
                <w:bCs w:val="1"/>
                <w:color w:val="auto"/>
                <w:w w:val="90"/>
              </w:rPr>
              <w:t>No. of</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2"/>
              </w:rPr>
              <w:t>Aggregate</w:t>
            </w: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380" w:type="dxa"/>
            <w:vAlign w:val="bottom"/>
            <w:vMerge w:val="restart"/>
          </w:tcPr>
          <w:p>
            <w:pPr>
              <w:spacing w:after="0"/>
              <w:rPr>
                <w:sz w:val="20"/>
                <w:szCs w:val="20"/>
                <w:color w:val="auto"/>
              </w:rPr>
            </w:pPr>
            <w:r>
              <w:rPr>
                <w:rFonts w:ascii="Arial" w:cs="Arial" w:eastAsia="Arial" w:hAnsi="Arial"/>
                <w:sz w:val="17"/>
                <w:szCs w:val="17"/>
                <w:b w:val="1"/>
                <w:bCs w:val="1"/>
                <w:color w:val="auto"/>
              </w:rPr>
              <w:t>Category</w:t>
            </w:r>
          </w:p>
        </w:tc>
        <w:tc>
          <w:tcPr>
            <w:tcW w:w="220" w:type="dxa"/>
            <w:vAlign w:val="bottom"/>
          </w:tcPr>
          <w:p>
            <w:pPr>
              <w:spacing w:after="0"/>
              <w:rPr>
                <w:sz w:val="18"/>
                <w:szCs w:val="18"/>
                <w:color w:val="auto"/>
              </w:rPr>
            </w:pPr>
          </w:p>
        </w:tc>
        <w:tc>
          <w:tcPr>
            <w:tcW w:w="820" w:type="dxa"/>
            <w:vAlign w:val="bottom"/>
          </w:tcPr>
          <w:p>
            <w:pPr>
              <w:jc w:val="center"/>
              <w:ind w:right="40"/>
              <w:spacing w:after="0"/>
              <w:rPr>
                <w:sz w:val="20"/>
                <w:szCs w:val="20"/>
                <w:color w:val="auto"/>
              </w:rPr>
            </w:pPr>
            <w:r>
              <w:rPr>
                <w:rFonts w:ascii="Arial" w:cs="Arial" w:eastAsia="Arial" w:hAnsi="Arial"/>
                <w:sz w:val="14"/>
                <w:szCs w:val="14"/>
                <w:b w:val="1"/>
                <w:bCs w:val="1"/>
                <w:color w:val="auto"/>
              </w:rPr>
              <w:t>Fair</w:t>
            </w:r>
          </w:p>
        </w:tc>
        <w:tc>
          <w:tcPr>
            <w:tcW w:w="300" w:type="dxa"/>
            <w:vAlign w:val="bottom"/>
          </w:tcPr>
          <w:p>
            <w:pPr>
              <w:spacing w:after="0"/>
              <w:rPr>
                <w:sz w:val="18"/>
                <w:szCs w:val="18"/>
                <w:color w:val="auto"/>
              </w:rPr>
            </w:pPr>
          </w:p>
        </w:tc>
        <w:tc>
          <w:tcPr>
            <w:tcW w:w="1100" w:type="dxa"/>
            <w:vAlign w:val="bottom"/>
          </w:tcPr>
          <w:p>
            <w:pPr>
              <w:jc w:val="center"/>
              <w:ind w:right="319"/>
              <w:spacing w:after="0"/>
              <w:rPr>
                <w:sz w:val="20"/>
                <w:szCs w:val="20"/>
                <w:color w:val="auto"/>
              </w:rPr>
            </w:pPr>
            <w:r>
              <w:rPr>
                <w:rFonts w:ascii="Arial" w:cs="Arial" w:eastAsia="Arial" w:hAnsi="Arial"/>
                <w:sz w:val="14"/>
                <w:szCs w:val="14"/>
                <w:b w:val="1"/>
                <w:bCs w:val="1"/>
                <w:color w:val="auto"/>
                <w:w w:val="93"/>
              </w:rPr>
              <w:t>Unrealized</w:t>
            </w:r>
          </w:p>
        </w:tc>
        <w:tc>
          <w:tcPr>
            <w:tcW w:w="1020" w:type="dxa"/>
            <w:vAlign w:val="bottom"/>
          </w:tcPr>
          <w:p>
            <w:pPr>
              <w:jc w:val="center"/>
              <w:ind w:right="179"/>
              <w:spacing w:after="0"/>
              <w:rPr>
                <w:sz w:val="20"/>
                <w:szCs w:val="20"/>
                <w:color w:val="auto"/>
              </w:rPr>
            </w:pPr>
            <w:r>
              <w:rPr>
                <w:rFonts w:ascii="Arial" w:cs="Arial" w:eastAsia="Arial" w:hAnsi="Arial"/>
                <w:sz w:val="14"/>
                <w:szCs w:val="14"/>
                <w:b w:val="1"/>
                <w:bCs w:val="1"/>
                <w:color w:val="auto"/>
                <w:w w:val="88"/>
              </w:rPr>
              <w:t>Positions</w:t>
            </w:r>
          </w:p>
        </w:tc>
        <w:tc>
          <w:tcPr>
            <w:tcW w:w="140" w:type="dxa"/>
            <w:vAlign w:val="bottom"/>
          </w:tcPr>
          <w:p>
            <w:pPr>
              <w:spacing w:after="0"/>
              <w:rPr>
                <w:sz w:val="18"/>
                <w:szCs w:val="18"/>
                <w:color w:val="auto"/>
              </w:rPr>
            </w:pPr>
          </w:p>
        </w:tc>
        <w:tc>
          <w:tcPr>
            <w:tcW w:w="840" w:type="dxa"/>
            <w:vAlign w:val="bottom"/>
          </w:tcPr>
          <w:p>
            <w:pPr>
              <w:jc w:val="center"/>
              <w:ind w:right="61"/>
              <w:spacing w:after="0"/>
              <w:rPr>
                <w:sz w:val="20"/>
                <w:szCs w:val="20"/>
                <w:color w:val="auto"/>
              </w:rPr>
            </w:pPr>
            <w:r>
              <w:rPr>
                <w:rFonts w:ascii="Arial" w:cs="Arial" w:eastAsia="Arial" w:hAnsi="Arial"/>
                <w:sz w:val="14"/>
                <w:szCs w:val="14"/>
                <w:b w:val="1"/>
                <w:bCs w:val="1"/>
                <w:color w:val="auto"/>
              </w:rPr>
              <w:t>Fair</w:t>
            </w:r>
          </w:p>
        </w:tc>
        <w:tc>
          <w:tcPr>
            <w:tcW w:w="280" w:type="dxa"/>
            <w:vAlign w:val="bottom"/>
          </w:tcPr>
          <w:p>
            <w:pPr>
              <w:spacing w:after="0"/>
              <w:rPr>
                <w:sz w:val="18"/>
                <w:szCs w:val="18"/>
                <w:color w:val="auto"/>
              </w:rPr>
            </w:pPr>
          </w:p>
        </w:tc>
        <w:tc>
          <w:tcPr>
            <w:tcW w:w="1060" w:type="dxa"/>
            <w:vAlign w:val="bottom"/>
          </w:tcPr>
          <w:p>
            <w:pPr>
              <w:jc w:val="center"/>
              <w:ind w:right="279"/>
              <w:spacing w:after="0"/>
              <w:rPr>
                <w:sz w:val="20"/>
                <w:szCs w:val="20"/>
                <w:color w:val="auto"/>
              </w:rPr>
            </w:pPr>
            <w:r>
              <w:rPr>
                <w:rFonts w:ascii="Arial" w:cs="Arial" w:eastAsia="Arial" w:hAnsi="Arial"/>
                <w:sz w:val="14"/>
                <w:szCs w:val="14"/>
                <w:b w:val="1"/>
                <w:bCs w:val="1"/>
                <w:color w:val="auto"/>
                <w:w w:val="93"/>
              </w:rPr>
              <w:t>Unrealized</w:t>
            </w:r>
          </w:p>
        </w:tc>
        <w:tc>
          <w:tcPr>
            <w:tcW w:w="980" w:type="dxa"/>
            <w:vAlign w:val="bottom"/>
          </w:tcPr>
          <w:p>
            <w:pPr>
              <w:jc w:val="center"/>
              <w:ind w:right="60"/>
              <w:spacing w:after="0"/>
              <w:rPr>
                <w:sz w:val="20"/>
                <w:szCs w:val="20"/>
                <w:color w:val="auto"/>
              </w:rPr>
            </w:pPr>
            <w:r>
              <w:rPr>
                <w:rFonts w:ascii="Arial" w:cs="Arial" w:eastAsia="Arial" w:hAnsi="Arial"/>
                <w:sz w:val="14"/>
                <w:szCs w:val="14"/>
                <w:b w:val="1"/>
                <w:bCs w:val="1"/>
                <w:color w:val="auto"/>
                <w:w w:val="88"/>
              </w:rPr>
              <w:t>Positions</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Fair</w:t>
            </w:r>
          </w:p>
        </w:tc>
        <w:tc>
          <w:tcPr>
            <w:tcW w:w="220" w:type="dxa"/>
            <w:vAlign w:val="bottom"/>
          </w:tcPr>
          <w:p>
            <w:pPr>
              <w:spacing w:after="0"/>
              <w:rPr>
                <w:sz w:val="18"/>
                <w:szCs w:val="18"/>
                <w:color w:val="auto"/>
              </w:rPr>
            </w:pPr>
          </w:p>
        </w:tc>
        <w:tc>
          <w:tcPr>
            <w:tcW w:w="920" w:type="dxa"/>
            <w:vAlign w:val="bottom"/>
          </w:tcPr>
          <w:p>
            <w:pPr>
              <w:jc w:val="right"/>
              <w:ind w:right="159"/>
              <w:spacing w:after="0"/>
              <w:rPr>
                <w:sz w:val="20"/>
                <w:szCs w:val="20"/>
                <w:color w:val="auto"/>
              </w:rPr>
            </w:pPr>
            <w:r>
              <w:rPr>
                <w:rFonts w:ascii="Arial" w:cs="Arial" w:eastAsia="Arial" w:hAnsi="Arial"/>
                <w:sz w:val="14"/>
                <w:szCs w:val="14"/>
                <w:b w:val="1"/>
                <w:bCs w:val="1"/>
                <w:color w:val="auto"/>
                <w:w w:val="93"/>
              </w:rPr>
              <w:t>Unrealized</w:t>
            </w:r>
          </w:p>
        </w:tc>
        <w:tc>
          <w:tcPr>
            <w:tcW w:w="0" w:type="dxa"/>
            <w:vAlign w:val="bottom"/>
          </w:tcPr>
          <w:p>
            <w:pPr>
              <w:spacing w:after="0"/>
              <w:rPr>
                <w:sz w:val="1"/>
                <w:szCs w:val="1"/>
                <w:color w:val="auto"/>
              </w:rPr>
            </w:pPr>
          </w:p>
        </w:tc>
      </w:tr>
      <w:tr>
        <w:trPr>
          <w:trHeight w:val="200"/>
        </w:trPr>
        <w:tc>
          <w:tcPr>
            <w:tcW w:w="238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90"/>
              </w:rPr>
              <w:t>Value</w:t>
            </w:r>
          </w:p>
        </w:tc>
        <w:tc>
          <w:tcPr>
            <w:tcW w:w="3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299"/>
              <w:spacing w:after="0"/>
              <w:rPr>
                <w:sz w:val="20"/>
                <w:szCs w:val="20"/>
                <w:color w:val="auto"/>
              </w:rPr>
            </w:pPr>
            <w:r>
              <w:rPr>
                <w:rFonts w:ascii="Arial" w:cs="Arial" w:eastAsia="Arial" w:hAnsi="Arial"/>
                <w:sz w:val="14"/>
                <w:szCs w:val="14"/>
                <w:b w:val="1"/>
                <w:bCs w:val="1"/>
                <w:color w:val="auto"/>
                <w:w w:val="82"/>
              </w:rPr>
              <w:t>Losses</w:t>
            </w:r>
          </w:p>
        </w:tc>
        <w:tc>
          <w:tcPr>
            <w:tcW w:w="1020" w:type="dxa"/>
            <w:vAlign w:val="bottom"/>
            <w:tcBorders>
              <w:bottom w:val="single" w:sz="8" w:color="auto"/>
            </w:tcBorders>
          </w:tcPr>
          <w:p>
            <w:pPr>
              <w:jc w:val="center"/>
              <w:ind w:right="199"/>
              <w:spacing w:after="0"/>
              <w:rPr>
                <w:sz w:val="20"/>
                <w:szCs w:val="20"/>
                <w:color w:val="auto"/>
              </w:rPr>
            </w:pPr>
            <w:r>
              <w:rPr>
                <w:rFonts w:ascii="Arial" w:cs="Arial" w:eastAsia="Arial" w:hAnsi="Arial"/>
                <w:sz w:val="14"/>
                <w:szCs w:val="14"/>
                <w:b w:val="1"/>
                <w:bCs w:val="1"/>
                <w:color w:val="auto"/>
                <w:w w:val="98"/>
              </w:rPr>
              <w:t>Held</w:t>
            </w: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w w:val="96"/>
              </w:rPr>
              <w:t>Value</w:t>
            </w: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299"/>
              <w:spacing w:after="0"/>
              <w:rPr>
                <w:sz w:val="20"/>
                <w:szCs w:val="20"/>
                <w:color w:val="auto"/>
              </w:rPr>
            </w:pPr>
            <w:r>
              <w:rPr>
                <w:rFonts w:ascii="Arial" w:cs="Arial" w:eastAsia="Arial" w:hAnsi="Arial"/>
                <w:sz w:val="14"/>
                <w:szCs w:val="14"/>
                <w:b w:val="1"/>
                <w:bCs w:val="1"/>
                <w:color w:val="auto"/>
                <w:w w:val="82"/>
              </w:rPr>
              <w:t>Losses</w:t>
            </w:r>
          </w:p>
        </w:tc>
        <w:tc>
          <w:tcPr>
            <w:tcW w:w="98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w w:val="92"/>
              </w:rPr>
              <w:t>Held</w:t>
            </w: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Value</w:t>
            </w: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Losses</w:t>
            </w:r>
          </w:p>
        </w:tc>
        <w:tc>
          <w:tcPr>
            <w:tcW w:w="0" w:type="dxa"/>
            <w:vAlign w:val="bottom"/>
          </w:tcPr>
          <w:p>
            <w:pPr>
              <w:spacing w:after="0"/>
              <w:rPr>
                <w:sz w:val="1"/>
                <w:szCs w:val="1"/>
                <w:color w:val="auto"/>
              </w:rPr>
            </w:pPr>
          </w:p>
        </w:tc>
      </w:tr>
      <w:tr>
        <w:trPr>
          <w:trHeight w:val="470"/>
        </w:trPr>
        <w:tc>
          <w:tcPr>
            <w:tcW w:w="2380" w:type="dxa"/>
            <w:vAlign w:val="bottom"/>
          </w:tcPr>
          <w:p>
            <w:pPr>
              <w:spacing w:after="0"/>
              <w:rPr>
                <w:sz w:val="20"/>
                <w:szCs w:val="20"/>
                <w:color w:val="auto"/>
              </w:rPr>
            </w:pPr>
            <w:r>
              <w:rPr>
                <w:rFonts w:ascii="Arial" w:cs="Arial" w:eastAsia="Arial" w:hAnsi="Arial"/>
                <w:sz w:val="17"/>
                <w:szCs w:val="17"/>
                <w:b w:val="1"/>
                <w:bCs w:val="1"/>
                <w:color w:val="auto"/>
              </w:rPr>
              <w:t>Fixed-Maturity Securities:</w:t>
            </w: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380" w:type="dxa"/>
            <w:vAlign w:val="bottom"/>
            <w:shd w:val="clear" w:color="auto" w:fill="CCEEFF"/>
          </w:tcPr>
          <w:p>
            <w:pPr>
              <w:spacing w:after="0"/>
              <w:rPr>
                <w:sz w:val="20"/>
                <w:szCs w:val="20"/>
                <w:color w:val="auto"/>
              </w:rPr>
            </w:pPr>
            <w:r>
              <w:rPr>
                <w:rFonts w:ascii="Arial" w:cs="Arial" w:eastAsia="Arial" w:hAnsi="Arial"/>
                <w:sz w:val="17"/>
                <w:szCs w:val="17"/>
                <w:color w:val="auto"/>
              </w:rPr>
              <w:t>U.S. Treasury securities and</w:t>
            </w: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2380" w:type="dxa"/>
            <w:vAlign w:val="bottom"/>
            <w:shd w:val="clear" w:color="auto" w:fill="CCEEFF"/>
          </w:tcPr>
          <w:p>
            <w:pPr>
              <w:ind w:left="160"/>
              <w:spacing w:after="0"/>
              <w:rPr>
                <w:sz w:val="20"/>
                <w:szCs w:val="20"/>
                <w:color w:val="auto"/>
              </w:rPr>
            </w:pPr>
            <w:r>
              <w:rPr>
                <w:rFonts w:ascii="Arial" w:cs="Arial" w:eastAsia="Arial" w:hAnsi="Arial"/>
                <w:sz w:val="17"/>
                <w:szCs w:val="17"/>
                <w:color w:val="auto"/>
                <w:w w:val="94"/>
              </w:rPr>
              <w:t>obligations of U.S. government</w:t>
            </w: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23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corporations and agencies</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4,948,530</w:t>
            </w: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ind w:right="159"/>
              <w:spacing w:after="0"/>
              <w:rPr>
                <w:sz w:val="20"/>
                <w:szCs w:val="20"/>
                <w:color w:val="auto"/>
              </w:rPr>
            </w:pPr>
            <w:r>
              <w:rPr>
                <w:rFonts w:ascii="Arial" w:cs="Arial" w:eastAsia="Arial" w:hAnsi="Arial"/>
                <w:sz w:val="17"/>
                <w:szCs w:val="17"/>
                <w:color w:val="auto"/>
              </w:rPr>
              <w:t>(28,000)</w:t>
            </w: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7"/>
                <w:szCs w:val="17"/>
                <w:color w:val="auto"/>
              </w:rPr>
              <w:t>3</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ind w:right="179"/>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ind w:right="21"/>
              <w:spacing w:after="0"/>
              <w:rPr>
                <w:sz w:val="20"/>
                <w:szCs w:val="20"/>
                <w:color w:val="auto"/>
              </w:rPr>
            </w:pPr>
            <w:r>
              <w:rPr>
                <w:rFonts w:ascii="Arial" w:cs="Arial" w:eastAsia="Arial" w:hAnsi="Arial"/>
                <w:sz w:val="17"/>
                <w:szCs w:val="17"/>
                <w:color w:val="auto"/>
              </w:rPr>
              <w:t>$  4,948,530</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(28,000)</w:t>
            </w:r>
          </w:p>
        </w:tc>
        <w:tc>
          <w:tcPr>
            <w:tcW w:w="0" w:type="dxa"/>
            <w:vAlign w:val="bottom"/>
          </w:tcPr>
          <w:p>
            <w:pPr>
              <w:spacing w:after="0"/>
              <w:rPr>
                <w:sz w:val="1"/>
                <w:szCs w:val="1"/>
                <w:color w:val="auto"/>
              </w:rPr>
            </w:pPr>
          </w:p>
        </w:tc>
      </w:tr>
      <w:tr>
        <w:trPr>
          <w:trHeight w:val="209"/>
        </w:trPr>
        <w:tc>
          <w:tcPr>
            <w:tcW w:w="2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380" w:type="dxa"/>
            <w:vAlign w:val="bottom"/>
            <w:shd w:val="clear" w:color="auto" w:fill="CCEEFF"/>
          </w:tcPr>
          <w:p>
            <w:pPr>
              <w:spacing w:after="0"/>
              <w:rPr>
                <w:sz w:val="20"/>
                <w:szCs w:val="20"/>
                <w:color w:val="auto"/>
              </w:rPr>
            </w:pPr>
            <w:r>
              <w:rPr>
                <w:rFonts w:ascii="Arial" w:cs="Arial" w:eastAsia="Arial" w:hAnsi="Arial"/>
                <w:sz w:val="17"/>
                <w:szCs w:val="17"/>
                <w:color w:val="auto"/>
              </w:rPr>
              <w:t>Political subdivisions of States,</w:t>
            </w: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23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Territories and Possessions</w:t>
            </w: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555,375</w:t>
            </w:r>
          </w:p>
        </w:tc>
        <w:tc>
          <w:tcPr>
            <w:tcW w:w="30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159"/>
              <w:spacing w:after="0"/>
              <w:rPr>
                <w:sz w:val="20"/>
                <w:szCs w:val="20"/>
                <w:color w:val="auto"/>
              </w:rPr>
            </w:pPr>
            <w:r>
              <w:rPr>
                <w:rFonts w:ascii="Arial" w:cs="Arial" w:eastAsia="Arial" w:hAnsi="Arial"/>
                <w:sz w:val="17"/>
                <w:szCs w:val="17"/>
                <w:color w:val="auto"/>
              </w:rPr>
              <w:t>(12,327)</w:t>
            </w: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7"/>
                <w:szCs w:val="17"/>
                <w:color w:val="auto"/>
              </w:rPr>
              <w:t>1</w:t>
            </w: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1,436,242</w:t>
            </w:r>
          </w:p>
        </w:tc>
        <w:tc>
          <w:tcPr>
            <w:tcW w:w="28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119"/>
              <w:spacing w:after="0"/>
              <w:rPr>
                <w:sz w:val="20"/>
                <w:szCs w:val="20"/>
                <w:color w:val="auto"/>
              </w:rPr>
            </w:pPr>
            <w:r>
              <w:rPr>
                <w:rFonts w:ascii="Arial" w:cs="Arial" w:eastAsia="Arial" w:hAnsi="Arial"/>
                <w:sz w:val="17"/>
                <w:szCs w:val="17"/>
                <w:color w:val="auto"/>
              </w:rPr>
              <w:t>(36,508)</w:t>
            </w:r>
          </w:p>
        </w:tc>
        <w:tc>
          <w:tcPr>
            <w:tcW w:w="980" w:type="dxa"/>
            <w:vAlign w:val="bottom"/>
            <w:shd w:val="clear" w:color="auto" w:fill="CCEEFF"/>
          </w:tcPr>
          <w:p>
            <w:pPr>
              <w:jc w:val="right"/>
              <w:ind w:right="20"/>
              <w:spacing w:after="0"/>
              <w:rPr>
                <w:sz w:val="20"/>
                <w:szCs w:val="20"/>
                <w:color w:val="auto"/>
              </w:rPr>
            </w:pPr>
            <w:r>
              <w:rPr>
                <w:rFonts w:ascii="Arial" w:cs="Arial" w:eastAsia="Arial" w:hAnsi="Arial"/>
                <w:sz w:val="17"/>
                <w:szCs w:val="17"/>
                <w:color w:val="auto"/>
              </w:rPr>
              <w:t>3</w:t>
            </w:r>
          </w:p>
        </w:tc>
        <w:tc>
          <w:tcPr>
            <w:tcW w:w="1140" w:type="dxa"/>
            <w:vAlign w:val="bottom"/>
            <w:shd w:val="clear" w:color="auto" w:fill="CCEEFF"/>
          </w:tcPr>
          <w:p>
            <w:pPr>
              <w:jc w:val="right"/>
              <w:ind w:right="21"/>
              <w:spacing w:after="0"/>
              <w:rPr>
                <w:sz w:val="20"/>
                <w:szCs w:val="20"/>
                <w:color w:val="auto"/>
              </w:rPr>
            </w:pPr>
            <w:r>
              <w:rPr>
                <w:rFonts w:ascii="Arial" w:cs="Arial" w:eastAsia="Arial" w:hAnsi="Arial"/>
                <w:sz w:val="17"/>
                <w:szCs w:val="17"/>
                <w:color w:val="auto"/>
              </w:rPr>
              <w:t>1,991,617</w:t>
            </w: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(48,835)</w:t>
            </w:r>
          </w:p>
        </w:tc>
        <w:tc>
          <w:tcPr>
            <w:tcW w:w="0" w:type="dxa"/>
            <w:vAlign w:val="bottom"/>
          </w:tcPr>
          <w:p>
            <w:pPr>
              <w:spacing w:after="0"/>
              <w:rPr>
                <w:sz w:val="1"/>
                <w:szCs w:val="1"/>
                <w:color w:val="auto"/>
              </w:rPr>
            </w:pPr>
          </w:p>
        </w:tc>
      </w:tr>
      <w:tr>
        <w:trPr>
          <w:trHeight w:val="209"/>
        </w:trPr>
        <w:tc>
          <w:tcPr>
            <w:tcW w:w="2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380" w:type="dxa"/>
            <w:vAlign w:val="bottom"/>
            <w:shd w:val="clear" w:color="auto" w:fill="CCEEFF"/>
          </w:tcPr>
          <w:p>
            <w:pPr>
              <w:spacing w:after="0"/>
              <w:rPr>
                <w:sz w:val="20"/>
                <w:szCs w:val="20"/>
                <w:color w:val="auto"/>
              </w:rPr>
            </w:pPr>
            <w:r>
              <w:rPr>
                <w:rFonts w:ascii="Arial" w:cs="Arial" w:eastAsia="Arial" w:hAnsi="Arial"/>
                <w:sz w:val="17"/>
                <w:szCs w:val="17"/>
                <w:color w:val="auto"/>
              </w:rPr>
              <w:t>Corporate and other bonds</w:t>
            </w: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23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industrial and miscellaneous</w:t>
            </w: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81,004,459</w:t>
            </w:r>
          </w:p>
        </w:tc>
        <w:tc>
          <w:tcPr>
            <w:tcW w:w="30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159"/>
              <w:spacing w:after="0"/>
              <w:rPr>
                <w:sz w:val="20"/>
                <w:szCs w:val="20"/>
                <w:color w:val="auto"/>
              </w:rPr>
            </w:pPr>
            <w:r>
              <w:rPr>
                <w:rFonts w:ascii="Arial" w:cs="Arial" w:eastAsia="Arial" w:hAnsi="Arial"/>
                <w:sz w:val="17"/>
                <w:szCs w:val="17"/>
                <w:color w:val="auto"/>
                <w:w w:val="96"/>
              </w:rPr>
              <w:t>(2,775,540)</w:t>
            </w: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7"/>
                <w:szCs w:val="17"/>
                <w:color w:val="auto"/>
              </w:rPr>
              <w:t>97</w:t>
            </w: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13,424,888</w:t>
            </w:r>
          </w:p>
        </w:tc>
        <w:tc>
          <w:tcPr>
            <w:tcW w:w="28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119"/>
              <w:spacing w:after="0"/>
              <w:rPr>
                <w:sz w:val="20"/>
                <w:szCs w:val="20"/>
                <w:color w:val="auto"/>
              </w:rPr>
            </w:pPr>
            <w:r>
              <w:rPr>
                <w:rFonts w:ascii="Arial" w:cs="Arial" w:eastAsia="Arial" w:hAnsi="Arial"/>
                <w:sz w:val="17"/>
                <w:szCs w:val="17"/>
                <w:color w:val="auto"/>
              </w:rPr>
              <w:t>(676,605)</w:t>
            </w:r>
          </w:p>
        </w:tc>
        <w:tc>
          <w:tcPr>
            <w:tcW w:w="980" w:type="dxa"/>
            <w:vAlign w:val="bottom"/>
            <w:shd w:val="clear" w:color="auto" w:fill="CCEEFF"/>
          </w:tcPr>
          <w:p>
            <w:pPr>
              <w:jc w:val="right"/>
              <w:ind w:right="20"/>
              <w:spacing w:after="0"/>
              <w:rPr>
                <w:sz w:val="20"/>
                <w:szCs w:val="20"/>
                <w:color w:val="auto"/>
              </w:rPr>
            </w:pPr>
            <w:r>
              <w:rPr>
                <w:rFonts w:ascii="Arial" w:cs="Arial" w:eastAsia="Arial" w:hAnsi="Arial"/>
                <w:sz w:val="17"/>
                <w:szCs w:val="17"/>
                <w:color w:val="auto"/>
              </w:rPr>
              <w:t>24</w:t>
            </w:r>
          </w:p>
        </w:tc>
        <w:tc>
          <w:tcPr>
            <w:tcW w:w="1140" w:type="dxa"/>
            <w:vAlign w:val="bottom"/>
            <w:shd w:val="clear" w:color="auto" w:fill="CCEEFF"/>
          </w:tcPr>
          <w:p>
            <w:pPr>
              <w:jc w:val="right"/>
              <w:ind w:right="21"/>
              <w:spacing w:after="0"/>
              <w:rPr>
                <w:sz w:val="20"/>
                <w:szCs w:val="20"/>
                <w:color w:val="auto"/>
              </w:rPr>
            </w:pPr>
            <w:r>
              <w:rPr>
                <w:rFonts w:ascii="Arial" w:cs="Arial" w:eastAsia="Arial" w:hAnsi="Arial"/>
                <w:sz w:val="17"/>
                <w:szCs w:val="17"/>
                <w:color w:val="auto"/>
              </w:rPr>
              <w:t>94,429,347</w:t>
            </w: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(3,452,145)</w:t>
            </w:r>
          </w:p>
        </w:tc>
        <w:tc>
          <w:tcPr>
            <w:tcW w:w="0" w:type="dxa"/>
            <w:vAlign w:val="bottom"/>
          </w:tcPr>
          <w:p>
            <w:pPr>
              <w:spacing w:after="0"/>
              <w:rPr>
                <w:sz w:val="1"/>
                <w:szCs w:val="1"/>
                <w:color w:val="auto"/>
              </w:rPr>
            </w:pPr>
          </w:p>
        </w:tc>
      </w:tr>
      <w:tr>
        <w:trPr>
          <w:trHeight w:val="410"/>
        </w:trPr>
        <w:tc>
          <w:tcPr>
            <w:tcW w:w="2380" w:type="dxa"/>
            <w:vAlign w:val="bottom"/>
          </w:tcPr>
          <w:p>
            <w:pPr>
              <w:spacing w:after="0"/>
              <w:rPr>
                <w:sz w:val="20"/>
                <w:szCs w:val="20"/>
                <w:color w:val="auto"/>
              </w:rPr>
            </w:pPr>
            <w:r>
              <w:rPr>
                <w:rFonts w:ascii="Arial" w:cs="Arial" w:eastAsia="Arial" w:hAnsi="Arial"/>
                <w:sz w:val="17"/>
                <w:szCs w:val="17"/>
                <w:color w:val="auto"/>
                <w:w w:val="99"/>
              </w:rPr>
              <w:t>Residential mortgage and other</w:t>
            </w: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380" w:type="dxa"/>
            <w:vAlign w:val="bottom"/>
          </w:tcPr>
          <w:p>
            <w:pPr>
              <w:ind w:left="160"/>
              <w:spacing w:after="0"/>
              <w:rPr>
                <w:sz w:val="20"/>
                <w:szCs w:val="20"/>
                <w:color w:val="auto"/>
              </w:rPr>
            </w:pPr>
            <w:r>
              <w:rPr>
                <w:rFonts w:ascii="Arial" w:cs="Arial" w:eastAsia="Arial" w:hAnsi="Arial"/>
                <w:sz w:val="17"/>
                <w:szCs w:val="17"/>
                <w:color w:val="auto"/>
              </w:rPr>
              <w:t>asset backed securities</w:t>
            </w: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7,002,713</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59"/>
              <w:spacing w:after="0"/>
              <w:rPr>
                <w:sz w:val="20"/>
                <w:szCs w:val="20"/>
                <w:color w:val="auto"/>
              </w:rPr>
            </w:pPr>
            <w:r>
              <w:rPr>
                <w:rFonts w:ascii="Arial" w:cs="Arial" w:eastAsia="Arial" w:hAnsi="Arial"/>
                <w:sz w:val="17"/>
                <w:szCs w:val="17"/>
                <w:color w:val="auto"/>
              </w:rPr>
              <w:t>(231,229)</w:t>
            </w:r>
          </w:p>
        </w:tc>
        <w:tc>
          <w:tcPr>
            <w:tcW w:w="1020" w:type="dxa"/>
            <w:vAlign w:val="bottom"/>
            <w:tcBorders>
              <w:bottom w:val="single" w:sz="8" w:color="auto"/>
            </w:tcBorders>
          </w:tcPr>
          <w:p>
            <w:pPr>
              <w:jc w:val="right"/>
              <w:ind w:right="119"/>
              <w:spacing w:after="0"/>
              <w:rPr>
                <w:sz w:val="20"/>
                <w:szCs w:val="20"/>
                <w:color w:val="auto"/>
              </w:rPr>
            </w:pPr>
            <w:r>
              <w:rPr>
                <w:rFonts w:ascii="Arial" w:cs="Arial" w:eastAsia="Arial" w:hAnsi="Arial"/>
                <w:sz w:val="17"/>
                <w:szCs w:val="17"/>
                <w:color w:val="auto"/>
              </w:rPr>
              <w:t>9</w:t>
            </w: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1"/>
              </w:rPr>
              <w:t>11,928,425</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19"/>
              <w:spacing w:after="0"/>
              <w:rPr>
                <w:sz w:val="20"/>
                <w:szCs w:val="20"/>
                <w:color w:val="auto"/>
              </w:rPr>
            </w:pPr>
            <w:r>
              <w:rPr>
                <w:rFonts w:ascii="Arial" w:cs="Arial" w:eastAsia="Arial" w:hAnsi="Arial"/>
                <w:sz w:val="17"/>
                <w:szCs w:val="17"/>
                <w:color w:val="auto"/>
              </w:rPr>
              <w:t>(331,012)</w:t>
            </w:r>
          </w:p>
        </w:tc>
        <w:tc>
          <w:tcPr>
            <w:tcW w:w="980" w:type="dxa"/>
            <w:vAlign w:val="bottom"/>
            <w:tcBorders>
              <w:bottom w:val="single" w:sz="8" w:color="auto"/>
            </w:tcBorders>
          </w:tcPr>
          <w:p>
            <w:pPr>
              <w:jc w:val="right"/>
              <w:ind w:right="20"/>
              <w:spacing w:after="0"/>
              <w:rPr>
                <w:sz w:val="20"/>
                <w:szCs w:val="20"/>
                <w:color w:val="auto"/>
              </w:rPr>
            </w:pPr>
            <w:r>
              <w:rPr>
                <w:rFonts w:ascii="Arial" w:cs="Arial" w:eastAsia="Arial" w:hAnsi="Arial"/>
                <w:sz w:val="17"/>
                <w:szCs w:val="17"/>
                <w:color w:val="auto"/>
              </w:rPr>
              <w:t>19</w:t>
            </w:r>
          </w:p>
        </w:tc>
        <w:tc>
          <w:tcPr>
            <w:tcW w:w="1140" w:type="dxa"/>
            <w:vAlign w:val="bottom"/>
            <w:tcBorders>
              <w:bottom w:val="single" w:sz="8" w:color="auto"/>
            </w:tcBorders>
          </w:tcPr>
          <w:p>
            <w:pPr>
              <w:jc w:val="right"/>
              <w:ind w:right="21"/>
              <w:spacing w:after="0"/>
              <w:rPr>
                <w:sz w:val="20"/>
                <w:szCs w:val="20"/>
                <w:color w:val="auto"/>
              </w:rPr>
            </w:pPr>
            <w:r>
              <w:rPr>
                <w:rFonts w:ascii="Arial" w:cs="Arial" w:eastAsia="Arial" w:hAnsi="Arial"/>
                <w:sz w:val="17"/>
                <w:szCs w:val="17"/>
                <w:color w:val="auto"/>
              </w:rPr>
              <w:t>18,931,138</w:t>
            </w: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(562,241)</w:t>
            </w:r>
          </w:p>
        </w:tc>
        <w:tc>
          <w:tcPr>
            <w:tcW w:w="0" w:type="dxa"/>
            <w:vAlign w:val="bottom"/>
          </w:tcPr>
          <w:p>
            <w:pPr>
              <w:spacing w:after="0"/>
              <w:rPr>
                <w:sz w:val="1"/>
                <w:szCs w:val="1"/>
                <w:color w:val="auto"/>
              </w:rPr>
            </w:pPr>
          </w:p>
        </w:tc>
      </w:tr>
      <w:tr>
        <w:trPr>
          <w:trHeight w:val="484"/>
        </w:trPr>
        <w:tc>
          <w:tcPr>
            <w:tcW w:w="2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Total fixed-maturity securities</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1"/>
              </w:rPr>
              <w:t>93,511,077</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7"/>
                <w:szCs w:val="17"/>
                <w:color w:val="auto"/>
                <w:w w:val="96"/>
              </w:rPr>
              <w:t>(3,047,096)</w:t>
            </w:r>
          </w:p>
        </w:tc>
        <w:tc>
          <w:tcPr>
            <w:tcW w:w="10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7"/>
                <w:szCs w:val="17"/>
                <w:color w:val="auto"/>
              </w:rPr>
              <w:t>110</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1"/>
              </w:rPr>
              <w:t>26,789,555</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7"/>
                <w:szCs w:val="17"/>
                <w:color w:val="auto"/>
                <w:w w:val="96"/>
              </w:rPr>
              <w:t>(1,044,125)</w:t>
            </w:r>
          </w:p>
        </w:tc>
        <w:tc>
          <w:tcPr>
            <w:tcW w:w="9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7"/>
                <w:szCs w:val="17"/>
                <w:color w:val="auto"/>
              </w:rPr>
              <w:t>46</w:t>
            </w:r>
          </w:p>
        </w:tc>
        <w:tc>
          <w:tcPr>
            <w:tcW w:w="11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7"/>
                <w:szCs w:val="17"/>
                <w:color w:val="auto"/>
                <w:w w:val="98"/>
              </w:rPr>
              <w:t>$120,300,632</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6"/>
              </w:rPr>
              <w:t>(4,091,221)</w:t>
            </w:r>
          </w:p>
        </w:tc>
        <w:tc>
          <w:tcPr>
            <w:tcW w:w="0" w:type="dxa"/>
            <w:vAlign w:val="bottom"/>
          </w:tcPr>
          <w:p>
            <w:pPr>
              <w:spacing w:after="0"/>
              <w:rPr>
                <w:sz w:val="1"/>
                <w:szCs w:val="1"/>
                <w:color w:val="auto"/>
              </w:rPr>
            </w:pPr>
          </w:p>
        </w:tc>
      </w:tr>
      <w:tr>
        <w:trPr>
          <w:trHeight w:val="620"/>
        </w:trPr>
        <w:tc>
          <w:tcPr>
            <w:tcW w:w="23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61</w:t>
            </w: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45" w:right="239" w:bottom="1440" w:gutter="0" w:footer="0" w:header="0"/>
        </w:sectPr>
      </w:pPr>
    </w:p>
    <w:bookmarkStart w:id="61" w:name="page62"/>
    <w:bookmarkEnd w:id="61"/>
    <w:p>
      <w:pPr>
        <w:jc w:val="both"/>
        <w:ind w:firstLine="683"/>
        <w:spacing w:after="0" w:line="283" w:lineRule="auto"/>
        <w:rPr>
          <w:sz w:val="20"/>
          <w:szCs w:val="20"/>
          <w:color w:val="auto"/>
        </w:rPr>
      </w:pPr>
      <w:r>
        <w:rPr>
          <w:rFonts w:ascii="Arial" w:cs="Arial" w:eastAsia="Arial" w:hAnsi="Arial"/>
          <w:sz w:val="16"/>
          <w:szCs w:val="16"/>
          <w:color w:val="auto"/>
        </w:rPr>
        <w:t>There were 94 securities at March 31, 2019 that accounted for the gross unrealized loss of our fixed-maturity securities available-for-sale, none of which were deemed by us to be other than temporarily impaired. There were 156 securities at December 31, 2018 that accounted for the gross unrealized loss, none of which were deemed by us to be other than temporarily impaired. Significant factors influencing our determination that unrealized losses were temporary included the magnitude of the unrealized losses in relation to each security’s cost, the nature of the investment and management’s intent not to sell these securities and it being not more likely than not that we will be required to sell these investments before anticipated recovery of fair value to our cost basis.</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162"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Cash Flows</w:t>
      </w:r>
    </w:p>
    <w:p>
      <w:pPr>
        <w:spacing w:after="0" w:line="158" w:lineRule="exact"/>
        <w:rPr>
          <w:sz w:val="20"/>
          <w:szCs w:val="20"/>
          <w:color w:val="auto"/>
        </w:rPr>
      </w:pPr>
    </w:p>
    <w:p>
      <w:pPr>
        <w:jc w:val="both"/>
        <w:ind w:firstLine="628"/>
        <w:spacing w:after="0" w:line="263" w:lineRule="auto"/>
        <w:rPr>
          <w:sz w:val="20"/>
          <w:szCs w:val="20"/>
          <w:color w:val="auto"/>
        </w:rPr>
      </w:pPr>
      <w:r>
        <w:rPr>
          <w:rFonts w:ascii="Arial" w:cs="Arial" w:eastAsia="Arial" w:hAnsi="Arial"/>
          <w:sz w:val="17"/>
          <w:szCs w:val="17"/>
          <w:color w:val="auto"/>
        </w:rPr>
        <w:t>The primary sources of cash flow are from our insurance underwriting subsidiary, KICO, and include direct premiums written, ceding commissions from our quota share reinsurers, loss recovery payments from our reinsurers, investment income and proceeds from the sale or maturity of investments. Funds are used by KICO for ceded premium payments to reinsurers, which are paid on a net basis after subtracting losses paid on reinsured claims and reinsurance commissions. KICO also uses funds for loss payments and loss adjustment expenses on our net business, commissions to producers, salaries and other underwriting expenses as well as to purchase investments and fixed assets.</w:t>
      </w:r>
    </w:p>
    <w:p>
      <w:pPr>
        <w:spacing w:after="0" w:line="119" w:lineRule="exact"/>
        <w:rPr>
          <w:sz w:val="20"/>
          <w:szCs w:val="20"/>
          <w:color w:val="auto"/>
        </w:rPr>
      </w:pPr>
    </w:p>
    <w:p>
      <w:pPr>
        <w:jc w:val="both"/>
        <w:ind w:firstLine="628"/>
        <w:spacing w:after="0" w:line="281" w:lineRule="auto"/>
        <w:rPr>
          <w:sz w:val="20"/>
          <w:szCs w:val="20"/>
          <w:color w:val="auto"/>
        </w:rPr>
      </w:pPr>
      <w:r>
        <w:rPr>
          <w:rFonts w:ascii="Arial" w:cs="Arial" w:eastAsia="Arial" w:hAnsi="Arial"/>
          <w:sz w:val="17"/>
          <w:szCs w:val="17"/>
          <w:color w:val="auto"/>
        </w:rPr>
        <w:t>For the three months ended March 31, 2019, the primary source of cash flow for our holding company was the dividends received from KICO, subject to statutory restrictions. For the three months March 31, 2019, KICO paid dividends of $2,000,000 to us.</w:t>
      </w:r>
    </w:p>
    <w:p>
      <w:pPr>
        <w:spacing w:after="0" w:line="105" w:lineRule="exact"/>
        <w:rPr>
          <w:sz w:val="20"/>
          <w:szCs w:val="20"/>
          <w:color w:val="auto"/>
        </w:rPr>
      </w:pPr>
    </w:p>
    <w:p>
      <w:pPr>
        <w:jc w:val="both"/>
        <w:ind w:firstLine="628"/>
        <w:spacing w:after="0" w:line="301" w:lineRule="auto"/>
        <w:rPr>
          <w:sz w:val="20"/>
          <w:szCs w:val="20"/>
          <w:color w:val="auto"/>
        </w:rPr>
      </w:pPr>
      <w:r>
        <w:rPr>
          <w:rFonts w:ascii="Arial" w:cs="Arial" w:eastAsia="Arial" w:hAnsi="Arial"/>
          <w:sz w:val="15"/>
          <w:szCs w:val="15"/>
          <w:color w:val="auto"/>
        </w:rPr>
        <w:t>KICO is a member of the Federal Home Loan Bank of New York, which provides additional access to liquidity. Members have access to a variety of flexible, low cost funding through FHLBNY’s credit products, enabling members to customize advances. Advances are to be fully collateralized; eligible collateral to pledge to FHLBNY includes residential and commercial mortgage backed securities, along with U.S. Treasury and agency securities. See Note 3 to our consolidated financial statements –Investments, for eligible collateral held in a designated custodian account available for future advances. Advances are limited to 5% of KICO’s net admitted assets as of December 31, 2018 and are due and payable within one year of borrowing. The maximum allowable advance as of March 31, 2019, based on the net admitted assets as of December 31, 2018, was approximately $9,849,000. Advances are limited to the amount of available collateral, which was approximately $5,553,000 as of March 31, 2019. There were no borrowings under this facility during the three months ended March 31, 2019.</w:t>
      </w:r>
    </w:p>
    <w:p>
      <w:pPr>
        <w:spacing w:after="0" w:line="95" w:lineRule="exact"/>
        <w:rPr>
          <w:sz w:val="20"/>
          <w:szCs w:val="20"/>
          <w:color w:val="auto"/>
        </w:rPr>
      </w:pPr>
    </w:p>
    <w:p>
      <w:pPr>
        <w:jc w:val="both"/>
        <w:ind w:firstLine="628"/>
        <w:spacing w:after="0" w:line="281" w:lineRule="auto"/>
        <w:rPr>
          <w:sz w:val="20"/>
          <w:szCs w:val="20"/>
          <w:color w:val="auto"/>
        </w:rPr>
      </w:pPr>
      <w:r>
        <w:rPr>
          <w:rFonts w:ascii="Arial" w:cs="Arial" w:eastAsia="Arial" w:hAnsi="Arial"/>
          <w:sz w:val="17"/>
          <w:szCs w:val="17"/>
          <w:color w:val="auto"/>
        </w:rPr>
        <w:t>As of March 31, 2019, invested assets and cash in our holding company was approximately $4,497,000. If the aforementioned sources of cash flow currently available are insufficient to cover our holding company cash requirements, we will seek to obtain additional financing.</w:t>
      </w:r>
    </w:p>
    <w:p>
      <w:pPr>
        <w:spacing w:after="0" w:line="170" w:lineRule="exact"/>
        <w:rPr>
          <w:sz w:val="20"/>
          <w:szCs w:val="20"/>
          <w:color w:val="auto"/>
        </w:rPr>
      </w:pPr>
    </w:p>
    <w:p>
      <w:pPr>
        <w:jc w:val="both"/>
        <w:ind w:firstLine="628"/>
        <w:spacing w:after="0" w:line="281" w:lineRule="auto"/>
        <w:rPr>
          <w:sz w:val="20"/>
          <w:szCs w:val="20"/>
          <w:color w:val="auto"/>
        </w:rPr>
      </w:pPr>
      <w:r>
        <w:rPr>
          <w:rFonts w:ascii="Arial" w:cs="Arial" w:eastAsia="Arial" w:hAnsi="Arial"/>
          <w:sz w:val="17"/>
          <w:szCs w:val="17"/>
          <w:color w:val="auto"/>
        </w:rPr>
        <w:t>Our reconciliation of net income to net cash provided by operations is generally influenced by the collection of premiums in advance of paid losses, the timing of reinsurance, issuing company settlements and loss payments.</w:t>
      </w:r>
    </w:p>
    <w:p>
      <w:pPr>
        <w:spacing w:after="0" w:line="105" w:lineRule="exact"/>
        <w:rPr>
          <w:sz w:val="20"/>
          <w:szCs w:val="20"/>
          <w:color w:val="auto"/>
        </w:rPr>
      </w:pPr>
    </w:p>
    <w:p>
      <w:pPr>
        <w:jc w:val="both"/>
        <w:ind w:firstLine="628"/>
        <w:spacing w:after="0" w:line="281" w:lineRule="auto"/>
        <w:rPr>
          <w:sz w:val="20"/>
          <w:szCs w:val="20"/>
          <w:color w:val="auto"/>
        </w:rPr>
      </w:pPr>
      <w:r>
        <w:rPr>
          <w:rFonts w:ascii="Arial" w:cs="Arial" w:eastAsia="Arial" w:hAnsi="Arial"/>
          <w:sz w:val="17"/>
          <w:szCs w:val="17"/>
          <w:color w:val="auto"/>
        </w:rPr>
        <w:t>Cash flow and liquidity are categorized into three sources: (1) operating activities; (2) investing activities; and (3) financing activities, which are shown in the following table:</w:t>
      </w:r>
    </w:p>
    <w:p>
      <w:pPr>
        <w:sectPr>
          <w:pgSz w:w="11900" w:h="16838" w:orient="portrait"/>
          <w:cols w:equalWidth="0" w:num="1">
            <w:col w:w="11420"/>
          </w:cols>
          <w:pgMar w:left="240" w:top="550" w:right="239" w:bottom="1440" w:gutter="0" w:footer="0" w:header="0"/>
        </w:sectPr>
      </w:pP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38100</wp:posOffset>
            </wp:positionV>
            <wp:extent cx="7251065" cy="165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pacing w:after="0" w:line="319" w:lineRule="exact"/>
        <w:rPr>
          <w:sz w:val="20"/>
          <w:szCs w:val="20"/>
          <w:color w:val="auto"/>
        </w:rPr>
      </w:pPr>
    </w:p>
    <w:p>
      <w:pPr>
        <w:spacing w:after="0"/>
        <w:rPr>
          <w:sz w:val="20"/>
          <w:szCs w:val="20"/>
          <w:color w:val="auto"/>
        </w:rPr>
      </w:pPr>
      <w:r>
        <w:rPr>
          <w:rFonts w:ascii="Arial" w:cs="Arial" w:eastAsia="Arial" w:hAnsi="Arial"/>
          <w:sz w:val="15"/>
          <w:szCs w:val="15"/>
          <w:color w:val="auto"/>
        </w:rPr>
        <w:t>Cash flows provided by (used in):</w:t>
      </w:r>
    </w:p>
    <w:p>
      <w:pPr>
        <w:spacing w:after="0" w:line="43" w:lineRule="exact"/>
        <w:rPr>
          <w:sz w:val="20"/>
          <w:szCs w:val="20"/>
          <w:color w:val="auto"/>
        </w:rPr>
      </w:pPr>
    </w:p>
    <w:p>
      <w:pPr>
        <w:ind w:left="160"/>
        <w:spacing w:after="0"/>
        <w:rPr>
          <w:sz w:val="20"/>
          <w:szCs w:val="20"/>
          <w:color w:val="auto"/>
        </w:rPr>
      </w:pPr>
      <w:r>
        <w:rPr>
          <w:rFonts w:ascii="Arial" w:cs="Arial" w:eastAsia="Arial" w:hAnsi="Arial"/>
          <w:sz w:val="17"/>
          <w:szCs w:val="17"/>
          <w:color w:val="auto"/>
        </w:rPr>
        <w:t>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-121920</wp:posOffset>
            </wp:positionV>
            <wp:extent cx="7251065" cy="13271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1065" cy="132715"/>
                    </a:xfrm>
                    <a:prstGeom prst="rect">
                      <a:avLst/>
                    </a:prstGeom>
                    <a:noFill/>
                  </pic:spPr>
                </pic:pic>
              </a:graphicData>
            </a:graphic>
          </wp:anchor>
        </w:drawing>
      </w:r>
    </w:p>
    <w:p>
      <w:pPr>
        <w:ind w:left="160"/>
        <w:spacing w:after="0"/>
        <w:rPr>
          <w:sz w:val="20"/>
          <w:szCs w:val="20"/>
          <w:color w:val="auto"/>
        </w:rPr>
      </w:pPr>
      <w:r>
        <w:rPr>
          <w:rFonts w:ascii="Arial" w:cs="Arial" w:eastAsia="Arial" w:hAnsi="Arial"/>
          <w:sz w:val="17"/>
          <w:szCs w:val="17"/>
          <w:color w:val="auto"/>
        </w:rPr>
        <w:t>Investing activities</w:t>
      </w:r>
    </w:p>
    <w:p>
      <w:pPr>
        <w:spacing w:after="0" w:line="20" w:lineRule="exact"/>
        <w:rPr>
          <w:sz w:val="20"/>
          <w:szCs w:val="20"/>
          <w:color w:val="auto"/>
        </w:rPr>
      </w:pPr>
      <w:r>
        <w:rPr>
          <w:sz w:val="20"/>
          <w:szCs w:val="20"/>
          <w:color w:val="auto"/>
        </w:rPr>
        <w:br w:type="column"/>
      </w:r>
    </w:p>
    <w:p>
      <w:pPr>
        <w:spacing w:after="0" w:line="302" w:lineRule="exact"/>
        <w:rPr>
          <w:sz w:val="20"/>
          <w:szCs w:val="20"/>
          <w:color w:val="auto"/>
        </w:rPr>
      </w:pPr>
    </w:p>
    <w:p>
      <w:pPr>
        <w:ind w:left="319"/>
        <w:spacing w:after="0"/>
        <w:tabs>
          <w:tab w:leader="none" w:pos="1439"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2018</w:t>
      </w:r>
    </w:p>
    <w:p>
      <w:pPr>
        <w:spacing w:after="0" w:line="200" w:lineRule="exact"/>
        <w:rPr>
          <w:sz w:val="20"/>
          <w:szCs w:val="20"/>
          <w:color w:val="auto"/>
        </w:rPr>
      </w:pPr>
    </w:p>
    <w:p>
      <w:pPr>
        <w:spacing w:after="0" w:line="298" w:lineRule="exact"/>
        <w:rPr>
          <w:sz w:val="20"/>
          <w:szCs w:val="20"/>
          <w:color w:val="auto"/>
        </w:rPr>
      </w:pPr>
    </w:p>
    <w:p>
      <w:pPr>
        <w:ind w:left="239" w:hanging="239"/>
        <w:spacing w:after="0"/>
        <w:tabs>
          <w:tab w:leader="none" w:pos="239" w:val="left"/>
        </w:tabs>
        <w:numPr>
          <w:ilvl w:val="0"/>
          <w:numId w:val="20"/>
        </w:numPr>
        <w:rPr>
          <w:rFonts w:ascii="Arial" w:cs="Arial" w:eastAsia="Arial" w:hAnsi="Arial"/>
          <w:sz w:val="17"/>
          <w:szCs w:val="17"/>
          <w:color w:val="auto"/>
        </w:rPr>
      </w:pPr>
      <w:r>
        <w:rPr>
          <w:rFonts w:ascii="Arial" w:cs="Arial" w:eastAsia="Arial" w:hAnsi="Arial"/>
          <w:sz w:val="17"/>
          <w:szCs w:val="17"/>
          <w:color w:val="auto"/>
        </w:rPr>
        <w:t>2,702,404   $   380,373</w:t>
      </w:r>
    </w:p>
    <w:p>
      <w:pPr>
        <w:spacing w:after="0" w:line="20" w:lineRule="exact"/>
        <w:rPr>
          <w:rFonts w:ascii="Arial" w:cs="Arial" w:eastAsia="Arial" w:hAnsi="Arial"/>
          <w:sz w:val="17"/>
          <w:szCs w:val="17"/>
          <w:color w:val="auto"/>
        </w:rPr>
      </w:pPr>
    </w:p>
    <w:p>
      <w:pPr>
        <w:ind w:left="179"/>
        <w:spacing w:after="0"/>
        <w:rPr>
          <w:rFonts w:ascii="Arial" w:cs="Arial" w:eastAsia="Arial" w:hAnsi="Arial"/>
          <w:sz w:val="17"/>
          <w:szCs w:val="17"/>
          <w:color w:val="auto"/>
        </w:rPr>
      </w:pPr>
      <w:r>
        <w:rPr>
          <w:rFonts w:ascii="Arial" w:cs="Arial" w:eastAsia="Arial" w:hAnsi="Arial"/>
          <w:sz w:val="16"/>
          <w:szCs w:val="16"/>
          <w:color w:val="auto"/>
        </w:rPr>
        <w:t>(6,884,358)   (15,438,163)</w:t>
      </w:r>
    </w:p>
    <w:p>
      <w:pPr>
        <w:spacing w:after="0" w:line="41" w:lineRule="exact"/>
        <w:rPr>
          <w:sz w:val="20"/>
          <w:szCs w:val="20"/>
          <w:color w:val="auto"/>
        </w:rPr>
      </w:pPr>
    </w:p>
    <w:p>
      <w:pPr>
        <w:sectPr>
          <w:pgSz w:w="11900" w:h="16838" w:orient="portrait"/>
          <w:cols w:equalWidth="0" w:num="2">
            <w:col w:w="8541" w:space="720"/>
            <w:col w:w="2159"/>
          </w:cols>
          <w:pgMar w:left="240" w:top="550" w:right="239" w:bottom="1440" w:gutter="0" w:footer="0" w:header="0"/>
          <w:type w:val="continuous"/>
        </w:sectPr>
      </w:pPr>
    </w:p>
    <w:tbl>
      <w:tblPr>
        <w:tblLayout w:type="fixed"/>
        <w:tblInd w:w="0" w:type="dxa"/>
        <w:tblCellMar>
          <w:top w:w="0" w:type="dxa"/>
          <w:left w:w="0" w:type="dxa"/>
          <w:bottom w:w="0" w:type="dxa"/>
          <w:right w:w="0" w:type="dxa"/>
        </w:tblCellMar>
      </w:tblPr>
      <w:tr>
        <w:trPr>
          <w:trHeight w:val="202"/>
        </w:trPr>
        <w:tc>
          <w:tcPr>
            <w:tcW w:w="20" w:type="dxa"/>
            <w:vAlign w:val="bottom"/>
          </w:tcPr>
          <w:p>
            <w:pPr>
              <w:spacing w:after="0"/>
              <w:rPr>
                <w:sz w:val="17"/>
                <w:szCs w:val="17"/>
                <w:color w:val="auto"/>
              </w:rPr>
            </w:pPr>
          </w:p>
        </w:tc>
        <w:tc>
          <w:tcPr>
            <w:tcW w:w="44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Financing activities</w:t>
            </w:r>
          </w:p>
        </w:tc>
        <w:tc>
          <w:tcPr>
            <w:tcW w:w="472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(1,191,969)</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(1,729,676)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7"/>
                <w:szCs w:val="17"/>
                <w:b w:val="1"/>
                <w:bCs w:val="1"/>
                <w:color w:val="auto"/>
              </w:rPr>
              <w:t>Net decrease in cash and cash equivalents</w:t>
            </w:r>
          </w:p>
        </w:tc>
        <w:tc>
          <w:tcPr>
            <w:tcW w:w="5900" w:type="dxa"/>
            <w:vAlign w:val="bottom"/>
            <w:gridSpan w:val="2"/>
          </w:tcPr>
          <w:p>
            <w:pPr>
              <w:jc w:val="right"/>
              <w:ind w:right="15"/>
              <w:spacing w:after="0"/>
              <w:rPr>
                <w:sz w:val="20"/>
                <w:szCs w:val="20"/>
                <w:color w:val="auto"/>
              </w:rPr>
            </w:pPr>
            <w:r>
              <w:rPr>
                <w:rFonts w:ascii="Arial" w:cs="Arial" w:eastAsia="Arial" w:hAnsi="Arial"/>
                <w:sz w:val="17"/>
                <w:szCs w:val="17"/>
                <w:color w:val="auto"/>
              </w:rPr>
              <w:t>(5,373,923)</w:t>
            </w:r>
          </w:p>
        </w:tc>
        <w:tc>
          <w:tcPr>
            <w:tcW w:w="1100" w:type="dxa"/>
            <w:vAlign w:val="bottom"/>
          </w:tcPr>
          <w:p>
            <w:pPr>
              <w:jc w:val="right"/>
              <w:spacing w:after="0"/>
              <w:rPr>
                <w:sz w:val="20"/>
                <w:szCs w:val="20"/>
                <w:color w:val="auto"/>
              </w:rPr>
            </w:pPr>
            <w:r>
              <w:rPr>
                <w:rFonts w:ascii="Arial" w:cs="Arial" w:eastAsia="Arial" w:hAnsi="Arial"/>
                <w:sz w:val="17"/>
                <w:szCs w:val="17"/>
                <w:color w:val="auto"/>
              </w:rPr>
              <w:t>(16,787,466)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Cash and cash equivalents, beginning of period</w:t>
            </w:r>
          </w:p>
        </w:tc>
        <w:tc>
          <w:tcPr>
            <w:tcW w:w="472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21,138,403</w:t>
            </w:r>
          </w:p>
        </w:tc>
        <w:tc>
          <w:tcPr>
            <w:tcW w:w="11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48,381,633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7"/>
                <w:szCs w:val="17"/>
                <w:b w:val="1"/>
                <w:bCs w:val="1"/>
                <w:color w:val="auto"/>
              </w:rPr>
              <w:t>Cash and cash equivalents, end of period</w:t>
            </w:r>
          </w:p>
        </w:tc>
        <w:tc>
          <w:tcPr>
            <w:tcW w:w="5900" w:type="dxa"/>
            <w:vAlign w:val="bottom"/>
            <w:gridSpan w:val="2"/>
          </w:tcPr>
          <w:p>
            <w:pPr>
              <w:jc w:val="right"/>
              <w:ind w:right="55"/>
              <w:spacing w:after="0"/>
              <w:rPr>
                <w:sz w:val="20"/>
                <w:szCs w:val="20"/>
                <w:color w:val="auto"/>
              </w:rPr>
            </w:pPr>
            <w:r>
              <w:rPr>
                <w:rFonts w:ascii="Arial" w:cs="Arial" w:eastAsia="Arial" w:hAnsi="Arial"/>
                <w:sz w:val="17"/>
                <w:szCs w:val="17"/>
                <w:color w:val="auto"/>
              </w:rPr>
              <w:t>$ 15,764,480</w:t>
            </w:r>
          </w:p>
        </w:tc>
        <w:tc>
          <w:tcPr>
            <w:tcW w:w="1100" w:type="dxa"/>
            <w:vAlign w:val="bottom"/>
          </w:tcPr>
          <w:p>
            <w:pPr>
              <w:jc w:val="right"/>
              <w:ind w:right="35"/>
              <w:spacing w:after="0"/>
              <w:rPr>
                <w:sz w:val="20"/>
                <w:szCs w:val="20"/>
                <w:color w:val="auto"/>
              </w:rPr>
            </w:pPr>
            <w:r>
              <w:rPr>
                <w:rFonts w:ascii="Arial" w:cs="Arial" w:eastAsia="Arial" w:hAnsi="Arial"/>
                <w:sz w:val="17"/>
                <w:szCs w:val="17"/>
                <w:color w:val="auto"/>
                <w:w w:val="96"/>
              </w:rPr>
              <w:t>$ 31,594,167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4720" w:type="dxa"/>
            <w:vAlign w:val="bottom"/>
            <w:vMerge w:val="restart"/>
          </w:tcPr>
          <w:p>
            <w:pPr>
              <w:jc w:val="right"/>
              <w:ind w:right="3255"/>
              <w:spacing w:after="0"/>
              <w:rPr>
                <w:sz w:val="20"/>
                <w:szCs w:val="20"/>
                <w:color w:val="auto"/>
              </w:rPr>
            </w:pPr>
            <w:r>
              <w:rPr>
                <w:rFonts w:ascii="Arial" w:cs="Arial" w:eastAsia="Arial" w:hAnsi="Arial"/>
                <w:sz w:val="17"/>
                <w:szCs w:val="17"/>
                <w:color w:val="auto"/>
              </w:rPr>
              <w:t>62</w:t>
            </w: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7"/>
        </w:trPr>
        <w:tc>
          <w:tcPr>
            <w:tcW w:w="20" w:type="dxa"/>
            <w:vAlign w:val="bottom"/>
          </w:tcPr>
          <w:p>
            <w:pPr>
              <w:spacing w:after="0"/>
              <w:rPr>
                <w:sz w:val="24"/>
                <w:szCs w:val="24"/>
                <w:color w:val="auto"/>
              </w:rPr>
            </w:pPr>
          </w:p>
        </w:tc>
        <w:tc>
          <w:tcPr>
            <w:tcW w:w="4400" w:type="dxa"/>
            <w:vAlign w:val="bottom"/>
            <w:tcBorders>
              <w:bottom w:val="single" w:sz="8" w:color="auto"/>
            </w:tcBorders>
          </w:tcPr>
          <w:p>
            <w:pPr>
              <w:spacing w:after="0"/>
              <w:rPr>
                <w:sz w:val="24"/>
                <w:szCs w:val="24"/>
                <w:color w:val="auto"/>
              </w:rPr>
            </w:pPr>
          </w:p>
        </w:tc>
        <w:tc>
          <w:tcPr>
            <w:tcW w:w="4720" w:type="dxa"/>
            <w:vAlign w:val="bottom"/>
            <w:tcBorders>
              <w:bottom w:val="single" w:sz="8" w:color="auto"/>
            </w:tcBorders>
            <w:vMerge w:val="continue"/>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50" w:right="239" w:bottom="1440" w:gutter="0" w:footer="0" w:header="0"/>
          <w:type w:val="continuous"/>
        </w:sectPr>
      </w:pPr>
    </w:p>
    <w:bookmarkStart w:id="62" w:name="page63"/>
    <w:bookmarkEnd w:id="62"/>
    <w:p>
      <w:pPr>
        <w:jc w:val="both"/>
        <w:ind w:firstLine="628"/>
        <w:spacing w:after="0" w:line="293" w:lineRule="auto"/>
        <w:rPr>
          <w:sz w:val="20"/>
          <w:szCs w:val="20"/>
          <w:color w:val="auto"/>
        </w:rPr>
      </w:pPr>
      <w:r>
        <w:rPr>
          <w:rFonts w:ascii="Arial" w:cs="Arial" w:eastAsia="Arial" w:hAnsi="Arial"/>
          <w:sz w:val="16"/>
          <w:szCs w:val="16"/>
          <w:color w:val="auto"/>
        </w:rPr>
        <w:t>Net cash provided by operating activities was $2,702,000 in 2019 as compared to $380,000 in 2018. The $2,283,000 increase in cash flows provided by operating activities in 2019 was primarily a result of a decrease in net income (adjusted for non-cash items) of $6,292,000, partially offset by an increase in cash arising from net fluctuations in assets and liabilities relating to operating activities of KICO as affected by the growth in its operations which are described above.</w:t>
      </w:r>
    </w:p>
    <w:p>
      <w:pPr>
        <w:spacing w:after="0" w:line="242" w:lineRule="exact"/>
        <w:rPr>
          <w:sz w:val="20"/>
          <w:szCs w:val="20"/>
          <w:color w:val="auto"/>
        </w:rPr>
      </w:pPr>
    </w:p>
    <w:p>
      <w:pPr>
        <w:jc w:val="both"/>
        <w:ind w:firstLine="628"/>
        <w:spacing w:after="0" w:line="269" w:lineRule="auto"/>
        <w:rPr>
          <w:sz w:val="20"/>
          <w:szCs w:val="20"/>
          <w:color w:val="auto"/>
        </w:rPr>
      </w:pPr>
      <w:r>
        <w:rPr>
          <w:rFonts w:ascii="Arial" w:cs="Arial" w:eastAsia="Arial" w:hAnsi="Arial"/>
          <w:sz w:val="17"/>
          <w:szCs w:val="17"/>
          <w:color w:val="auto"/>
        </w:rPr>
        <w:t>Net cash used in investing activities was $6,884,000 in 2019 compared to $15,438,000 in 2018. The $8,554,000 decrease in net cash used in investing activities was the result of a $9,118,000 decrease in sales or maturities of invested assets, which offset the $18,324,000 increase in acquisitions of invested assets and the $364,000 increase in fixed asset acquisitions in 2019.</w:t>
      </w:r>
    </w:p>
    <w:p>
      <w:pPr>
        <w:spacing w:after="0" w:line="114" w:lineRule="exact"/>
        <w:rPr>
          <w:sz w:val="20"/>
          <w:szCs w:val="20"/>
          <w:color w:val="auto"/>
        </w:rPr>
      </w:pPr>
    </w:p>
    <w:p>
      <w:pPr>
        <w:jc w:val="both"/>
        <w:ind w:firstLine="628"/>
        <w:spacing w:after="0" w:line="281" w:lineRule="auto"/>
        <w:rPr>
          <w:sz w:val="20"/>
          <w:szCs w:val="20"/>
          <w:color w:val="auto"/>
        </w:rPr>
      </w:pPr>
      <w:r>
        <w:rPr>
          <w:rFonts w:ascii="Arial" w:cs="Arial" w:eastAsia="Arial" w:hAnsi="Arial"/>
          <w:sz w:val="17"/>
          <w:szCs w:val="17"/>
          <w:color w:val="auto"/>
        </w:rPr>
        <w:t>Net cash used in financing activities was $1,192,000 in 2019 compared to $1,730,000 provided in 2018. The $538,000 decrease in net cash used in financing activities was primarily attributable to the purchase of $337,000 in treasury stock in 2018.</w:t>
      </w:r>
    </w:p>
    <w:p>
      <w:pPr>
        <w:spacing w:after="0" w:line="1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Reinsurance</w:t>
      </w:r>
    </w:p>
    <w:p>
      <w:pPr>
        <w:spacing w:after="0" w:line="162" w:lineRule="exact"/>
        <w:rPr>
          <w:sz w:val="20"/>
          <w:szCs w:val="20"/>
          <w:color w:val="auto"/>
        </w:rPr>
      </w:pPr>
    </w:p>
    <w:p>
      <w:pPr>
        <w:jc w:val="both"/>
        <w:ind w:firstLine="628"/>
        <w:spacing w:after="0" w:line="281" w:lineRule="auto"/>
        <w:rPr>
          <w:sz w:val="20"/>
          <w:szCs w:val="20"/>
          <w:color w:val="auto"/>
        </w:rPr>
      </w:pPr>
      <w:r>
        <w:rPr>
          <w:rFonts w:ascii="Arial" w:cs="Arial" w:eastAsia="Arial" w:hAnsi="Arial"/>
          <w:sz w:val="17"/>
          <w:szCs w:val="17"/>
          <w:color w:val="auto"/>
        </w:rPr>
        <w:t>Our quota share reinsurance treaties are on a July 1 through June 30 fiscal year basis; therefore, for year to date fiscal periods after June 30, two separate treaties will be included in such periods.</w:t>
      </w:r>
    </w:p>
    <w:p>
      <w:pPr>
        <w:spacing w:after="0" w:line="170" w:lineRule="exact"/>
        <w:rPr>
          <w:sz w:val="20"/>
          <w:szCs w:val="20"/>
          <w:color w:val="auto"/>
        </w:rPr>
      </w:pPr>
    </w:p>
    <w:p>
      <w:pPr>
        <w:jc w:val="both"/>
        <w:ind w:firstLine="628"/>
        <w:spacing w:after="0" w:line="286" w:lineRule="auto"/>
        <w:rPr>
          <w:sz w:val="20"/>
          <w:szCs w:val="20"/>
          <w:color w:val="auto"/>
        </w:rPr>
      </w:pPr>
      <w:r>
        <w:rPr>
          <w:rFonts w:ascii="Arial" w:cs="Arial" w:eastAsia="Arial" w:hAnsi="Arial"/>
          <w:sz w:val="16"/>
          <w:szCs w:val="16"/>
          <w:color w:val="auto"/>
        </w:rPr>
        <w:t>Our quota share reinsurance treaties in effect for the three months ended March 31, 2019 and 2018 for our personal lines business, which primarily consists of homeowners’ policies, were covered under a treaty covering a two-year period from July 1, 2017 through June 30, 2019 (“2017-2019 Treaty”). The treaty in effect for the three months ended March 31, 2019 is covered under the July 1, 2018 through June 30, 2019 treaty year (“2018/2019 Treaty Year”) and the treaty in effect for the three months ended March 31, 2018 was covered under the July 1, 2017 through June 30, 2018 treaty year (“2017/2018 Treaty Year”).</w:t>
      </w:r>
    </w:p>
    <w:p>
      <w:pPr>
        <w:spacing w:after="0" w:line="169" w:lineRule="exact"/>
        <w:rPr>
          <w:sz w:val="20"/>
          <w:szCs w:val="20"/>
          <w:color w:val="auto"/>
        </w:rPr>
      </w:pPr>
    </w:p>
    <w:p>
      <w:pPr>
        <w:jc w:val="both"/>
        <w:ind w:firstLine="628"/>
        <w:spacing w:after="0" w:line="314" w:lineRule="auto"/>
        <w:rPr>
          <w:sz w:val="20"/>
          <w:szCs w:val="20"/>
          <w:color w:val="auto"/>
        </w:rPr>
      </w:pPr>
      <w:r>
        <w:rPr>
          <w:rFonts w:ascii="Arial" w:cs="Arial" w:eastAsia="Arial" w:hAnsi="Arial"/>
          <w:sz w:val="16"/>
          <w:szCs w:val="16"/>
          <w:color w:val="auto"/>
        </w:rPr>
        <w:t>In August 2018, we terminated our contract with one of the reinsurers that was a party to the 2017/2019 Treaty. This termination was retroactive to July 1, 2018 and had the effect of reducing the quota share ceding rate to 10% under the 2018/2019 Treaty Year from 20% under the 2017/2018 Treaty Year.</w:t>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25106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ectPr>
          <w:pgSz w:w="11900" w:h="16838" w:orient="portrait"/>
          <w:cols w:equalWidth="0" w:num="1">
            <w:col w:w="11420"/>
          </w:cols>
          <w:pgMar w:left="240" w:top="497" w:right="239" w:bottom="1440" w:gutter="0" w:footer="0" w:header="0"/>
        </w:sectPr>
      </w:pPr>
    </w:p>
    <w:bookmarkStart w:id="63" w:name="page64"/>
    <w:bookmarkEnd w:id="63"/>
    <w:p>
      <w:pPr>
        <w:ind w:firstLine="628"/>
        <w:spacing w:after="0" w:line="281" w:lineRule="auto"/>
        <w:rPr>
          <w:sz w:val="20"/>
          <w:szCs w:val="20"/>
          <w:color w:val="auto"/>
        </w:rPr>
      </w:pPr>
      <w:r>
        <w:rPr>
          <w:rFonts w:ascii="Arial" w:cs="Arial" w:eastAsia="Arial" w:hAnsi="Arial"/>
          <w:sz w:val="17"/>
          <w:szCs w:val="17"/>
          <w:color w:val="auto"/>
        </w:rPr>
        <w:t>We entered into new excess of loss and catastrophe reinsurance treaties effective July 1, 2018. Material terms for our reinsurance treaties in effect for the treaty years shown below are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6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center"/>
              <w:ind w:right="356"/>
              <w:spacing w:after="0"/>
              <w:rPr>
                <w:sz w:val="20"/>
                <w:szCs w:val="20"/>
                <w:color w:val="auto"/>
              </w:rPr>
            </w:pPr>
            <w:r>
              <w:rPr>
                <w:rFonts w:ascii="Arial" w:cs="Arial" w:eastAsia="Arial" w:hAnsi="Arial"/>
                <w:sz w:val="14"/>
                <w:szCs w:val="14"/>
                <w:b w:val="1"/>
                <w:bCs w:val="1"/>
                <w:color w:val="auto"/>
                <w:w w:val="94"/>
              </w:rPr>
              <w:t>Treaty Year</w:t>
            </w:r>
          </w:p>
        </w:tc>
        <w:tc>
          <w:tcPr>
            <w:tcW w:w="26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40" w:type="dxa"/>
            <w:vAlign w:val="bottom"/>
          </w:tcPr>
          <w:p>
            <w:pPr>
              <w:jc w:val="center"/>
              <w:ind w:right="336"/>
              <w:spacing w:after="0"/>
              <w:rPr>
                <w:sz w:val="20"/>
                <w:szCs w:val="20"/>
                <w:color w:val="auto"/>
              </w:rPr>
            </w:pPr>
            <w:r>
              <w:rPr>
                <w:rFonts w:ascii="Arial" w:cs="Arial" w:eastAsia="Arial" w:hAnsi="Arial"/>
                <w:sz w:val="14"/>
                <w:szCs w:val="14"/>
                <w:b w:val="1"/>
                <w:bCs w:val="1"/>
                <w:color w:val="auto"/>
                <w:w w:val="94"/>
              </w:rPr>
              <w:t>July 1, 2018</w:t>
            </w:r>
          </w:p>
        </w:tc>
        <w:tc>
          <w:tcPr>
            <w:tcW w:w="280" w:type="dxa"/>
            <w:vAlign w:val="bottom"/>
          </w:tcPr>
          <w:p>
            <w:pPr>
              <w:spacing w:after="0"/>
              <w:rPr>
                <w:sz w:val="19"/>
                <w:szCs w:val="19"/>
                <w:color w:val="auto"/>
              </w:rPr>
            </w:pPr>
          </w:p>
        </w:tc>
        <w:tc>
          <w:tcPr>
            <w:tcW w:w="1440" w:type="dxa"/>
            <w:vAlign w:val="bottom"/>
          </w:tcPr>
          <w:p>
            <w:pPr>
              <w:jc w:val="center"/>
              <w:ind w:right="336"/>
              <w:spacing w:after="0"/>
              <w:rPr>
                <w:sz w:val="20"/>
                <w:szCs w:val="20"/>
                <w:color w:val="auto"/>
              </w:rPr>
            </w:pPr>
            <w:r>
              <w:rPr>
                <w:rFonts w:ascii="Arial" w:cs="Arial" w:eastAsia="Arial" w:hAnsi="Arial"/>
                <w:sz w:val="14"/>
                <w:szCs w:val="14"/>
                <w:b w:val="1"/>
                <w:bCs w:val="1"/>
                <w:color w:val="auto"/>
                <w:w w:val="94"/>
              </w:rPr>
              <w:t>July 1, 2017</w:t>
            </w:r>
          </w:p>
        </w:tc>
        <w:tc>
          <w:tcPr>
            <w:tcW w:w="260" w:type="dxa"/>
            <w:vAlign w:val="bottom"/>
          </w:tcPr>
          <w:p>
            <w:pPr>
              <w:spacing w:after="0"/>
              <w:rPr>
                <w:sz w:val="19"/>
                <w:szCs w:val="19"/>
                <w:color w:val="auto"/>
              </w:rPr>
            </w:pPr>
          </w:p>
        </w:tc>
        <w:tc>
          <w:tcPr>
            <w:tcW w:w="1360" w:type="dxa"/>
            <w:vAlign w:val="bottom"/>
          </w:tcPr>
          <w:p>
            <w:pPr>
              <w:jc w:val="center"/>
              <w:ind w:right="256"/>
              <w:spacing w:after="0"/>
              <w:rPr>
                <w:sz w:val="20"/>
                <w:szCs w:val="20"/>
                <w:color w:val="auto"/>
              </w:rPr>
            </w:pPr>
            <w:r>
              <w:rPr>
                <w:rFonts w:ascii="Arial" w:cs="Arial" w:eastAsia="Arial" w:hAnsi="Arial"/>
                <w:sz w:val="14"/>
                <w:szCs w:val="14"/>
                <w:b w:val="1"/>
                <w:bCs w:val="1"/>
                <w:color w:val="auto"/>
                <w:w w:val="94"/>
              </w:rPr>
              <w:t>July 1, 2016</w:t>
            </w:r>
          </w:p>
        </w:tc>
        <w:tc>
          <w:tcPr>
            <w:tcW w:w="0" w:type="dxa"/>
            <w:vAlign w:val="bottom"/>
          </w:tcPr>
          <w:p>
            <w:pPr>
              <w:spacing w:after="0"/>
              <w:rPr>
                <w:sz w:val="1"/>
                <w:szCs w:val="1"/>
                <w:color w:val="auto"/>
              </w:rPr>
            </w:pPr>
          </w:p>
        </w:tc>
      </w:tr>
      <w:tr>
        <w:trPr>
          <w:trHeight w:val="209"/>
        </w:trPr>
        <w:tc>
          <w:tcPr>
            <w:tcW w:w="6300" w:type="dxa"/>
            <w:vAlign w:val="bottom"/>
            <w:gridSpan w:val="5"/>
            <w:vMerge w:val="restart"/>
          </w:tcPr>
          <w:p>
            <w:pPr>
              <w:spacing w:after="0"/>
              <w:rPr>
                <w:sz w:val="20"/>
                <w:szCs w:val="20"/>
                <w:color w:val="auto"/>
              </w:rPr>
            </w:pPr>
            <w:r>
              <w:rPr>
                <w:rFonts w:ascii="Arial" w:cs="Arial" w:eastAsia="Arial" w:hAnsi="Arial"/>
                <w:sz w:val="17"/>
                <w:szCs w:val="17"/>
                <w:b w:val="1"/>
                <w:bCs w:val="1"/>
                <w:color w:val="auto"/>
              </w:rPr>
              <w:t>Line of Busines</w:t>
            </w:r>
          </w:p>
        </w:tc>
        <w:tc>
          <w:tcPr>
            <w:tcW w:w="340" w:type="dxa"/>
            <w:vAlign w:val="bottom"/>
          </w:tcPr>
          <w:p>
            <w:pPr>
              <w:spacing w:after="0"/>
              <w:rPr>
                <w:sz w:val="18"/>
                <w:szCs w:val="18"/>
                <w:color w:val="auto"/>
              </w:rPr>
            </w:pPr>
          </w:p>
        </w:tc>
        <w:tc>
          <w:tcPr>
            <w:tcW w:w="1440" w:type="dxa"/>
            <w:vAlign w:val="bottom"/>
          </w:tcPr>
          <w:p>
            <w:pPr>
              <w:jc w:val="center"/>
              <w:ind w:right="316"/>
              <w:spacing w:after="0"/>
              <w:rPr>
                <w:sz w:val="20"/>
                <w:szCs w:val="20"/>
                <w:color w:val="auto"/>
              </w:rPr>
            </w:pPr>
            <w:r>
              <w:rPr>
                <w:rFonts w:ascii="Arial" w:cs="Arial" w:eastAsia="Arial" w:hAnsi="Arial"/>
                <w:sz w:val="14"/>
                <w:szCs w:val="14"/>
                <w:b w:val="1"/>
                <w:bCs w:val="1"/>
                <w:color w:val="auto"/>
                <w:w w:val="90"/>
              </w:rPr>
              <w:t>to</w:t>
            </w:r>
          </w:p>
        </w:tc>
        <w:tc>
          <w:tcPr>
            <w:tcW w:w="280" w:type="dxa"/>
            <w:vAlign w:val="bottom"/>
          </w:tcPr>
          <w:p>
            <w:pPr>
              <w:spacing w:after="0"/>
              <w:rPr>
                <w:sz w:val="18"/>
                <w:szCs w:val="18"/>
                <w:color w:val="auto"/>
              </w:rPr>
            </w:pPr>
          </w:p>
        </w:tc>
        <w:tc>
          <w:tcPr>
            <w:tcW w:w="1440" w:type="dxa"/>
            <w:vAlign w:val="bottom"/>
          </w:tcPr>
          <w:p>
            <w:pPr>
              <w:jc w:val="center"/>
              <w:ind w:right="356"/>
              <w:spacing w:after="0"/>
              <w:rPr>
                <w:sz w:val="20"/>
                <w:szCs w:val="20"/>
                <w:color w:val="auto"/>
              </w:rPr>
            </w:pPr>
            <w:r>
              <w:rPr>
                <w:rFonts w:ascii="Arial" w:cs="Arial" w:eastAsia="Arial" w:hAnsi="Arial"/>
                <w:sz w:val="14"/>
                <w:szCs w:val="14"/>
                <w:b w:val="1"/>
                <w:bCs w:val="1"/>
                <w:color w:val="auto"/>
                <w:w w:val="90"/>
              </w:rPr>
              <w:t>to</w:t>
            </w:r>
          </w:p>
        </w:tc>
        <w:tc>
          <w:tcPr>
            <w:tcW w:w="260" w:type="dxa"/>
            <w:vAlign w:val="bottom"/>
          </w:tcPr>
          <w:p>
            <w:pPr>
              <w:spacing w:after="0"/>
              <w:rPr>
                <w:sz w:val="18"/>
                <w:szCs w:val="18"/>
                <w:color w:val="auto"/>
              </w:rPr>
            </w:pPr>
          </w:p>
        </w:tc>
        <w:tc>
          <w:tcPr>
            <w:tcW w:w="1360" w:type="dxa"/>
            <w:vAlign w:val="bottom"/>
          </w:tcPr>
          <w:p>
            <w:pPr>
              <w:jc w:val="center"/>
              <w:ind w:right="236"/>
              <w:spacing w:after="0"/>
              <w:rPr>
                <w:sz w:val="20"/>
                <w:szCs w:val="20"/>
                <w:color w:val="auto"/>
              </w:rPr>
            </w:pPr>
            <w:r>
              <w:rPr>
                <w:rFonts w:ascii="Arial" w:cs="Arial" w:eastAsia="Arial" w:hAnsi="Arial"/>
                <w:sz w:val="14"/>
                <w:szCs w:val="14"/>
                <w:b w:val="1"/>
                <w:bCs w:val="1"/>
                <w:color w:val="auto"/>
                <w:w w:val="90"/>
              </w:rPr>
              <w:t>to</w:t>
            </w:r>
          </w:p>
        </w:tc>
        <w:tc>
          <w:tcPr>
            <w:tcW w:w="0" w:type="dxa"/>
            <w:vAlign w:val="bottom"/>
          </w:tcPr>
          <w:p>
            <w:pPr>
              <w:spacing w:after="0"/>
              <w:rPr>
                <w:sz w:val="1"/>
                <w:szCs w:val="1"/>
                <w:color w:val="auto"/>
              </w:rPr>
            </w:pPr>
          </w:p>
        </w:tc>
      </w:tr>
      <w:tr>
        <w:trPr>
          <w:trHeight w:val="200"/>
        </w:trPr>
        <w:tc>
          <w:tcPr>
            <w:tcW w:w="6300" w:type="dxa"/>
            <w:vAlign w:val="bottom"/>
            <w:tcBorders>
              <w:bottom w:val="single" w:sz="8" w:color="auto"/>
            </w:tcBorders>
            <w:gridSpan w:val="5"/>
            <w:vMerge w:val="continue"/>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center"/>
              <w:ind w:right="316"/>
              <w:spacing w:after="0"/>
              <w:rPr>
                <w:sz w:val="20"/>
                <w:szCs w:val="20"/>
                <w:color w:val="auto"/>
              </w:rPr>
            </w:pPr>
            <w:r>
              <w:rPr>
                <w:rFonts w:ascii="Arial" w:cs="Arial" w:eastAsia="Arial" w:hAnsi="Arial"/>
                <w:sz w:val="14"/>
                <w:szCs w:val="14"/>
                <w:b w:val="1"/>
                <w:bCs w:val="1"/>
                <w:color w:val="auto"/>
                <w:w w:val="92"/>
              </w:rPr>
              <w:t>June 30, 2019</w:t>
            </w:r>
          </w:p>
        </w:tc>
        <w:tc>
          <w:tcPr>
            <w:tcW w:w="28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center"/>
              <w:ind w:right="356"/>
              <w:spacing w:after="0"/>
              <w:rPr>
                <w:sz w:val="20"/>
                <w:szCs w:val="20"/>
                <w:color w:val="auto"/>
              </w:rPr>
            </w:pPr>
            <w:r>
              <w:rPr>
                <w:rFonts w:ascii="Arial" w:cs="Arial" w:eastAsia="Arial" w:hAnsi="Arial"/>
                <w:sz w:val="14"/>
                <w:szCs w:val="14"/>
                <w:b w:val="1"/>
                <w:bCs w:val="1"/>
                <w:color w:val="auto"/>
                <w:w w:val="92"/>
              </w:rPr>
              <w:t>June 30, 2018</w:t>
            </w:r>
          </w:p>
        </w:tc>
        <w:tc>
          <w:tcPr>
            <w:tcW w:w="2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center"/>
              <w:ind w:right="236"/>
              <w:spacing w:after="0"/>
              <w:rPr>
                <w:sz w:val="20"/>
                <w:szCs w:val="20"/>
                <w:color w:val="auto"/>
              </w:rPr>
            </w:pPr>
            <w:r>
              <w:rPr>
                <w:rFonts w:ascii="Arial" w:cs="Arial" w:eastAsia="Arial" w:hAnsi="Arial"/>
                <w:sz w:val="14"/>
                <w:szCs w:val="14"/>
                <w:b w:val="1"/>
                <w:bCs w:val="1"/>
                <w:color w:val="auto"/>
                <w:w w:val="92"/>
              </w:rPr>
              <w:t>June 30, 2017</w:t>
            </w:r>
          </w:p>
        </w:tc>
        <w:tc>
          <w:tcPr>
            <w:tcW w:w="0" w:type="dxa"/>
            <w:vAlign w:val="bottom"/>
          </w:tcPr>
          <w:p>
            <w:pPr>
              <w:spacing w:after="0"/>
              <w:rPr>
                <w:sz w:val="1"/>
                <w:szCs w:val="1"/>
                <w:color w:val="auto"/>
              </w:rPr>
            </w:pPr>
          </w:p>
        </w:tc>
      </w:tr>
      <w:tr>
        <w:trPr>
          <w:trHeight w:val="405"/>
        </w:trPr>
        <w:tc>
          <w:tcPr>
            <w:tcW w:w="6300" w:type="dxa"/>
            <w:vAlign w:val="bottom"/>
            <w:gridSpan w:val="5"/>
          </w:tcPr>
          <w:p>
            <w:pPr>
              <w:spacing w:after="0"/>
              <w:rPr>
                <w:sz w:val="20"/>
                <w:szCs w:val="20"/>
                <w:color w:val="auto"/>
              </w:rPr>
            </w:pPr>
            <w:r>
              <w:rPr>
                <w:rFonts w:ascii="Arial" w:cs="Arial" w:eastAsia="Arial" w:hAnsi="Arial"/>
                <w:sz w:val="17"/>
                <w:szCs w:val="17"/>
                <w:color w:val="auto"/>
              </w:rPr>
              <w:t>Personal Lines:</w:t>
            </w:r>
          </w:p>
        </w:tc>
        <w:tc>
          <w:tcPr>
            <w:tcW w:w="3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20" w:type="dxa"/>
            <w:vAlign w:val="bottom"/>
            <w:gridSpan w:val="2"/>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6300" w:type="dxa"/>
            <w:vAlign w:val="bottom"/>
            <w:gridSpan w:val="5"/>
          </w:tcPr>
          <w:p>
            <w:pPr>
              <w:spacing w:after="0"/>
              <w:rPr>
                <w:sz w:val="20"/>
                <w:szCs w:val="20"/>
                <w:color w:val="auto"/>
              </w:rPr>
            </w:pPr>
            <w:r>
              <w:rPr>
                <w:rFonts w:ascii="Arial" w:cs="Arial" w:eastAsia="Arial" w:hAnsi="Arial"/>
                <w:sz w:val="17"/>
                <w:szCs w:val="17"/>
                <w:color w:val="auto"/>
              </w:rPr>
              <w:t>Homeowners, dwelling fire and canine legal liability</w:t>
            </w:r>
          </w:p>
        </w:tc>
        <w:tc>
          <w:tcPr>
            <w:tcW w:w="3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280" w:type="dxa"/>
            <w:vAlign w:val="bottom"/>
            <w:gridSpan w:val="4"/>
          </w:tcPr>
          <w:p>
            <w:pPr>
              <w:ind w:left="140"/>
              <w:spacing w:after="0"/>
              <w:rPr>
                <w:sz w:val="20"/>
                <w:szCs w:val="20"/>
                <w:color w:val="auto"/>
              </w:rPr>
            </w:pPr>
            <w:r>
              <w:rPr>
                <w:rFonts w:ascii="Arial" w:cs="Arial" w:eastAsia="Arial" w:hAnsi="Arial"/>
                <w:sz w:val="17"/>
                <w:szCs w:val="17"/>
                <w:color w:val="auto"/>
              </w:rPr>
              <w:t>Quota share treaty:</w:t>
            </w:r>
          </w:p>
        </w:tc>
        <w:tc>
          <w:tcPr>
            <w:tcW w:w="3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80" w:type="dxa"/>
            <w:vAlign w:val="bottom"/>
            <w:gridSpan w:val="4"/>
            <w:shd w:val="clear" w:color="auto" w:fill="CCEEFF"/>
          </w:tcPr>
          <w:p>
            <w:pPr>
              <w:ind w:left="460"/>
              <w:spacing w:after="0"/>
              <w:rPr>
                <w:sz w:val="20"/>
                <w:szCs w:val="20"/>
                <w:color w:val="auto"/>
              </w:rPr>
            </w:pPr>
            <w:r>
              <w:rPr>
                <w:rFonts w:ascii="Arial" w:cs="Arial" w:eastAsia="Arial" w:hAnsi="Arial"/>
                <w:sz w:val="17"/>
                <w:szCs w:val="17"/>
                <w:color w:val="auto"/>
              </w:rPr>
              <w:t>Percent ceded</w:t>
            </w:r>
          </w:p>
        </w:tc>
        <w:tc>
          <w:tcPr>
            <w:tcW w:w="3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10%</w:t>
            </w:r>
          </w:p>
        </w:tc>
        <w:tc>
          <w:tcPr>
            <w:tcW w:w="28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20%</w:t>
            </w: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80" w:type="dxa"/>
            <w:vAlign w:val="bottom"/>
            <w:gridSpan w:val="4"/>
          </w:tcPr>
          <w:p>
            <w:pPr>
              <w:ind w:left="460"/>
              <w:spacing w:after="0"/>
              <w:rPr>
                <w:sz w:val="20"/>
                <w:szCs w:val="20"/>
                <w:color w:val="auto"/>
              </w:rPr>
            </w:pPr>
            <w:r>
              <w:rPr>
                <w:rFonts w:ascii="Arial" w:cs="Arial" w:eastAsia="Arial" w:hAnsi="Arial"/>
                <w:sz w:val="17"/>
                <w:szCs w:val="17"/>
                <w:color w:val="auto"/>
              </w:rPr>
              <w:t>Risk retained</w:t>
            </w:r>
          </w:p>
        </w:tc>
        <w:tc>
          <w:tcPr>
            <w:tcW w:w="340" w:type="dxa"/>
            <w:vAlign w:val="bottom"/>
          </w:tcPr>
          <w:p>
            <w:pPr>
              <w:jc w:val="right"/>
              <w:spacing w:after="0"/>
              <w:rPr>
                <w:sz w:val="20"/>
                <w:szCs w:val="20"/>
                <w:color w:val="auto"/>
              </w:rPr>
            </w:pPr>
            <w:r>
              <w:rPr>
                <w:rFonts w:ascii="Arial" w:cs="Arial" w:eastAsia="Arial" w:hAnsi="Arial"/>
                <w:sz w:val="17"/>
                <w:szCs w:val="17"/>
                <w:color w:val="auto"/>
              </w:rPr>
              <w:t>$</w:t>
            </w:r>
          </w:p>
        </w:tc>
        <w:tc>
          <w:tcPr>
            <w:tcW w:w="1440" w:type="dxa"/>
            <w:vAlign w:val="bottom"/>
          </w:tcPr>
          <w:p>
            <w:pPr>
              <w:jc w:val="right"/>
              <w:ind w:right="156"/>
              <w:spacing w:after="0"/>
              <w:rPr>
                <w:sz w:val="20"/>
                <w:szCs w:val="20"/>
                <w:color w:val="auto"/>
              </w:rPr>
            </w:pPr>
            <w:r>
              <w:rPr>
                <w:rFonts w:ascii="Arial" w:cs="Arial" w:eastAsia="Arial" w:hAnsi="Arial"/>
                <w:sz w:val="17"/>
                <w:szCs w:val="17"/>
                <w:color w:val="auto"/>
              </w:rPr>
              <w:t>900,000</w:t>
            </w:r>
          </w:p>
        </w:tc>
        <w:tc>
          <w:tcPr>
            <w:tcW w:w="28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440" w:type="dxa"/>
            <w:vAlign w:val="bottom"/>
          </w:tcPr>
          <w:p>
            <w:pPr>
              <w:jc w:val="right"/>
              <w:ind w:right="156"/>
              <w:spacing w:after="0"/>
              <w:rPr>
                <w:sz w:val="20"/>
                <w:szCs w:val="20"/>
                <w:color w:val="auto"/>
              </w:rPr>
            </w:pPr>
            <w:r>
              <w:rPr>
                <w:rFonts w:ascii="Arial" w:cs="Arial" w:eastAsia="Arial" w:hAnsi="Arial"/>
                <w:sz w:val="17"/>
                <w:szCs w:val="17"/>
                <w:color w:val="auto"/>
              </w:rPr>
              <w:t>800,000</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1360" w:type="dxa"/>
            <w:vAlign w:val="bottom"/>
          </w:tcPr>
          <w:p>
            <w:pPr>
              <w:jc w:val="right"/>
              <w:ind w:right="76"/>
              <w:spacing w:after="0"/>
              <w:rPr>
                <w:sz w:val="20"/>
                <w:szCs w:val="20"/>
                <w:color w:val="auto"/>
              </w:rPr>
            </w:pPr>
            <w:r>
              <w:rPr>
                <w:rFonts w:ascii="Arial" w:cs="Arial" w:eastAsia="Arial" w:hAnsi="Arial"/>
                <w:sz w:val="17"/>
                <w:szCs w:val="17"/>
                <w:color w:val="auto"/>
              </w:rPr>
              <w:t>500,000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80" w:type="dxa"/>
            <w:vAlign w:val="bottom"/>
            <w:gridSpan w:val="4"/>
            <w:shd w:val="clear" w:color="auto" w:fill="CCEEFF"/>
          </w:tcPr>
          <w:p>
            <w:pPr>
              <w:ind w:left="460"/>
              <w:spacing w:after="0"/>
              <w:rPr>
                <w:sz w:val="20"/>
                <w:szCs w:val="20"/>
                <w:color w:val="auto"/>
              </w:rPr>
            </w:pPr>
            <w:r>
              <w:rPr>
                <w:rFonts w:ascii="Arial" w:cs="Arial" w:eastAsia="Arial" w:hAnsi="Arial"/>
                <w:sz w:val="17"/>
                <w:szCs w:val="17"/>
                <w:color w:val="auto"/>
              </w:rPr>
              <w:t>Losses per occurrence subject to quota share reinsurance coverage</w:t>
            </w: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40" w:type="dxa"/>
            <w:vAlign w:val="bottom"/>
            <w:shd w:val="clear" w:color="auto" w:fill="CCEEFF"/>
          </w:tcPr>
          <w:p>
            <w:pPr>
              <w:jc w:val="right"/>
              <w:ind w:right="156"/>
              <w:spacing w:after="0"/>
              <w:rPr>
                <w:sz w:val="20"/>
                <w:szCs w:val="20"/>
                <w:color w:val="auto"/>
              </w:rPr>
            </w:pPr>
            <w:r>
              <w:rPr>
                <w:rFonts w:ascii="Arial" w:cs="Arial" w:eastAsia="Arial" w:hAnsi="Arial"/>
                <w:sz w:val="17"/>
                <w:szCs w:val="17"/>
                <w:color w:val="auto"/>
              </w:rPr>
              <w:t>1,000,000</w:t>
            </w:r>
          </w:p>
        </w:tc>
        <w:tc>
          <w:tcPr>
            <w:tcW w:w="28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440" w:type="dxa"/>
            <w:vAlign w:val="bottom"/>
            <w:shd w:val="clear" w:color="auto" w:fill="CCEEFF"/>
          </w:tcPr>
          <w:p>
            <w:pPr>
              <w:jc w:val="right"/>
              <w:ind w:right="156"/>
              <w:spacing w:after="0"/>
              <w:rPr>
                <w:sz w:val="20"/>
                <w:szCs w:val="20"/>
                <w:color w:val="auto"/>
              </w:rPr>
            </w:pPr>
            <w:r>
              <w:rPr>
                <w:rFonts w:ascii="Arial" w:cs="Arial" w:eastAsia="Arial" w:hAnsi="Arial"/>
                <w:sz w:val="17"/>
                <w:szCs w:val="17"/>
                <w:color w:val="auto"/>
              </w:rPr>
              <w:t>1,000,000</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833,333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80" w:type="dxa"/>
            <w:vAlign w:val="bottom"/>
            <w:gridSpan w:val="4"/>
          </w:tcPr>
          <w:p>
            <w:pPr>
              <w:ind w:left="140"/>
              <w:spacing w:after="0"/>
              <w:rPr>
                <w:sz w:val="20"/>
                <w:szCs w:val="20"/>
                <w:color w:val="auto"/>
              </w:rPr>
            </w:pPr>
            <w:r>
              <w:rPr>
                <w:rFonts w:ascii="Arial" w:cs="Arial" w:eastAsia="Arial" w:hAnsi="Arial"/>
                <w:sz w:val="17"/>
                <w:szCs w:val="17"/>
                <w:color w:val="auto"/>
              </w:rPr>
              <w:t>Excess of loss coverage and facultative facility above quota share coverage (1)</w:t>
            </w:r>
          </w:p>
        </w:tc>
        <w:tc>
          <w:tcPr>
            <w:tcW w:w="340" w:type="dxa"/>
            <w:vAlign w:val="bottom"/>
          </w:tcPr>
          <w:p>
            <w:pPr>
              <w:jc w:val="right"/>
              <w:spacing w:after="0"/>
              <w:rPr>
                <w:sz w:val="20"/>
                <w:szCs w:val="20"/>
                <w:color w:val="auto"/>
              </w:rPr>
            </w:pPr>
            <w:r>
              <w:rPr>
                <w:rFonts w:ascii="Arial" w:cs="Arial" w:eastAsia="Arial" w:hAnsi="Arial"/>
                <w:sz w:val="17"/>
                <w:szCs w:val="17"/>
                <w:color w:val="auto"/>
              </w:rPr>
              <w:t>$</w:t>
            </w:r>
          </w:p>
        </w:tc>
        <w:tc>
          <w:tcPr>
            <w:tcW w:w="1440" w:type="dxa"/>
            <w:vAlign w:val="bottom"/>
          </w:tcPr>
          <w:p>
            <w:pPr>
              <w:jc w:val="right"/>
              <w:ind w:right="156"/>
              <w:spacing w:after="0"/>
              <w:rPr>
                <w:sz w:val="20"/>
                <w:szCs w:val="20"/>
                <w:color w:val="auto"/>
              </w:rPr>
            </w:pPr>
            <w:r>
              <w:rPr>
                <w:rFonts w:ascii="Arial" w:cs="Arial" w:eastAsia="Arial" w:hAnsi="Arial"/>
                <w:sz w:val="17"/>
                <w:szCs w:val="17"/>
                <w:color w:val="auto"/>
              </w:rPr>
              <w:t>9,000,000</w:t>
            </w:r>
          </w:p>
        </w:tc>
        <w:tc>
          <w:tcPr>
            <w:tcW w:w="28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440" w:type="dxa"/>
            <w:vAlign w:val="bottom"/>
          </w:tcPr>
          <w:p>
            <w:pPr>
              <w:jc w:val="right"/>
              <w:ind w:right="156"/>
              <w:spacing w:after="0"/>
              <w:rPr>
                <w:sz w:val="20"/>
                <w:szCs w:val="20"/>
                <w:color w:val="auto"/>
              </w:rPr>
            </w:pPr>
            <w:r>
              <w:rPr>
                <w:rFonts w:ascii="Arial" w:cs="Arial" w:eastAsia="Arial" w:hAnsi="Arial"/>
                <w:sz w:val="17"/>
                <w:szCs w:val="17"/>
                <w:color w:val="auto"/>
              </w:rPr>
              <w:t>9,000,000</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1360" w:type="dxa"/>
            <w:vAlign w:val="bottom"/>
          </w:tcPr>
          <w:p>
            <w:pPr>
              <w:jc w:val="right"/>
              <w:ind w:right="76"/>
              <w:spacing w:after="0"/>
              <w:rPr>
                <w:sz w:val="20"/>
                <w:szCs w:val="20"/>
                <w:color w:val="auto"/>
              </w:rPr>
            </w:pPr>
            <w:r>
              <w:rPr>
                <w:rFonts w:ascii="Arial" w:cs="Arial" w:eastAsia="Arial" w:hAnsi="Arial"/>
                <w:sz w:val="17"/>
                <w:szCs w:val="17"/>
                <w:color w:val="auto"/>
              </w:rPr>
              <w:t>3,666,667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56"/>
              <w:spacing w:after="0"/>
              <w:rPr>
                <w:sz w:val="20"/>
                <w:szCs w:val="20"/>
                <w:color w:val="auto"/>
              </w:rPr>
            </w:pPr>
            <w:r>
              <w:rPr>
                <w:rFonts w:ascii="Arial" w:cs="Arial" w:eastAsia="Arial" w:hAnsi="Arial"/>
                <w:sz w:val="17"/>
                <w:szCs w:val="17"/>
                <w:color w:val="auto"/>
              </w:rPr>
              <w:t>in excess of</w:t>
            </w:r>
          </w:p>
        </w:tc>
        <w:tc>
          <w:tcPr>
            <w:tcW w:w="28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56"/>
              <w:spacing w:after="0"/>
              <w:rPr>
                <w:sz w:val="20"/>
                <w:szCs w:val="20"/>
                <w:color w:val="auto"/>
              </w:rPr>
            </w:pPr>
            <w:r>
              <w:rPr>
                <w:rFonts w:ascii="Arial" w:cs="Arial" w:eastAsia="Arial" w:hAnsi="Arial"/>
                <w:sz w:val="17"/>
                <w:szCs w:val="17"/>
                <w:color w:val="auto"/>
              </w:rPr>
              <w:t>in excess of</w:t>
            </w: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in excess of</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7"/>
                <w:szCs w:val="17"/>
                <w:color w:val="auto"/>
              </w:rPr>
              <w:t>$</w:t>
            </w:r>
          </w:p>
        </w:tc>
        <w:tc>
          <w:tcPr>
            <w:tcW w:w="1440" w:type="dxa"/>
            <w:vAlign w:val="bottom"/>
          </w:tcPr>
          <w:p>
            <w:pPr>
              <w:jc w:val="right"/>
              <w:ind w:right="156"/>
              <w:spacing w:after="0"/>
              <w:rPr>
                <w:sz w:val="20"/>
                <w:szCs w:val="20"/>
                <w:color w:val="auto"/>
              </w:rPr>
            </w:pPr>
            <w:r>
              <w:rPr>
                <w:rFonts w:ascii="Arial" w:cs="Arial" w:eastAsia="Arial" w:hAnsi="Arial"/>
                <w:sz w:val="17"/>
                <w:szCs w:val="17"/>
                <w:color w:val="auto"/>
              </w:rPr>
              <w:t>1,000,000</w:t>
            </w:r>
          </w:p>
        </w:tc>
        <w:tc>
          <w:tcPr>
            <w:tcW w:w="28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440" w:type="dxa"/>
            <w:vAlign w:val="bottom"/>
          </w:tcPr>
          <w:p>
            <w:pPr>
              <w:jc w:val="right"/>
              <w:ind w:right="156"/>
              <w:spacing w:after="0"/>
              <w:rPr>
                <w:sz w:val="20"/>
                <w:szCs w:val="20"/>
                <w:color w:val="auto"/>
              </w:rPr>
            </w:pPr>
            <w:r>
              <w:rPr>
                <w:rFonts w:ascii="Arial" w:cs="Arial" w:eastAsia="Arial" w:hAnsi="Arial"/>
                <w:sz w:val="17"/>
                <w:szCs w:val="17"/>
                <w:color w:val="auto"/>
              </w:rPr>
              <w:t>1,000,000</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1360" w:type="dxa"/>
            <w:vAlign w:val="bottom"/>
          </w:tcPr>
          <w:p>
            <w:pPr>
              <w:jc w:val="right"/>
              <w:ind w:right="76"/>
              <w:spacing w:after="0"/>
              <w:rPr>
                <w:sz w:val="20"/>
                <w:szCs w:val="20"/>
                <w:color w:val="auto"/>
              </w:rPr>
            </w:pPr>
            <w:r>
              <w:rPr>
                <w:rFonts w:ascii="Arial" w:cs="Arial" w:eastAsia="Arial" w:hAnsi="Arial"/>
                <w:sz w:val="17"/>
                <w:szCs w:val="17"/>
                <w:color w:val="auto"/>
              </w:rPr>
              <w:t>833,333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80" w:type="dxa"/>
            <w:vAlign w:val="bottom"/>
            <w:gridSpan w:val="4"/>
            <w:shd w:val="clear" w:color="auto" w:fill="CCEEFF"/>
          </w:tcPr>
          <w:p>
            <w:pPr>
              <w:ind w:left="140"/>
              <w:spacing w:after="0"/>
              <w:rPr>
                <w:sz w:val="20"/>
                <w:szCs w:val="20"/>
                <w:color w:val="auto"/>
              </w:rPr>
            </w:pPr>
            <w:r>
              <w:rPr>
                <w:rFonts w:ascii="Arial" w:cs="Arial" w:eastAsia="Arial" w:hAnsi="Arial"/>
                <w:sz w:val="17"/>
                <w:szCs w:val="17"/>
                <w:color w:val="auto"/>
              </w:rPr>
              <w:t>Total reinsurance coverage per occurrence</w:t>
            </w: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40" w:type="dxa"/>
            <w:vAlign w:val="bottom"/>
            <w:shd w:val="clear" w:color="auto" w:fill="CCEEFF"/>
          </w:tcPr>
          <w:p>
            <w:pPr>
              <w:jc w:val="right"/>
              <w:ind w:right="156"/>
              <w:spacing w:after="0"/>
              <w:rPr>
                <w:sz w:val="20"/>
                <w:szCs w:val="20"/>
                <w:color w:val="auto"/>
              </w:rPr>
            </w:pPr>
            <w:r>
              <w:rPr>
                <w:rFonts w:ascii="Arial" w:cs="Arial" w:eastAsia="Arial" w:hAnsi="Arial"/>
                <w:sz w:val="17"/>
                <w:szCs w:val="17"/>
                <w:color w:val="auto"/>
              </w:rPr>
              <w:t>9,100,000</w:t>
            </w:r>
          </w:p>
        </w:tc>
        <w:tc>
          <w:tcPr>
            <w:tcW w:w="28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440" w:type="dxa"/>
            <w:vAlign w:val="bottom"/>
            <w:shd w:val="clear" w:color="auto" w:fill="CCEEFF"/>
          </w:tcPr>
          <w:p>
            <w:pPr>
              <w:jc w:val="right"/>
              <w:ind w:right="156"/>
              <w:spacing w:after="0"/>
              <w:rPr>
                <w:sz w:val="20"/>
                <w:szCs w:val="20"/>
                <w:color w:val="auto"/>
              </w:rPr>
            </w:pPr>
            <w:r>
              <w:rPr>
                <w:rFonts w:ascii="Arial" w:cs="Arial" w:eastAsia="Arial" w:hAnsi="Arial"/>
                <w:sz w:val="17"/>
                <w:szCs w:val="17"/>
                <w:color w:val="auto"/>
              </w:rPr>
              <w:t>9,200,000</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4,000,000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80" w:type="dxa"/>
            <w:vAlign w:val="bottom"/>
            <w:gridSpan w:val="4"/>
          </w:tcPr>
          <w:p>
            <w:pPr>
              <w:ind w:left="140"/>
              <w:spacing w:after="0"/>
              <w:rPr>
                <w:sz w:val="20"/>
                <w:szCs w:val="20"/>
                <w:color w:val="auto"/>
              </w:rPr>
            </w:pPr>
            <w:r>
              <w:rPr>
                <w:rFonts w:ascii="Arial" w:cs="Arial" w:eastAsia="Arial" w:hAnsi="Arial"/>
                <w:sz w:val="17"/>
                <w:szCs w:val="17"/>
                <w:color w:val="auto"/>
              </w:rPr>
              <w:t>Losses per occurrence subject to reinsurance coverage</w:t>
            </w:r>
          </w:p>
        </w:tc>
        <w:tc>
          <w:tcPr>
            <w:tcW w:w="340" w:type="dxa"/>
            <w:vAlign w:val="bottom"/>
          </w:tcPr>
          <w:p>
            <w:pPr>
              <w:jc w:val="right"/>
              <w:spacing w:after="0"/>
              <w:rPr>
                <w:sz w:val="20"/>
                <w:szCs w:val="20"/>
                <w:color w:val="auto"/>
              </w:rPr>
            </w:pPr>
            <w:r>
              <w:rPr>
                <w:rFonts w:ascii="Arial" w:cs="Arial" w:eastAsia="Arial" w:hAnsi="Arial"/>
                <w:sz w:val="17"/>
                <w:szCs w:val="17"/>
                <w:color w:val="auto"/>
              </w:rPr>
              <w:t>$</w:t>
            </w:r>
          </w:p>
        </w:tc>
        <w:tc>
          <w:tcPr>
            <w:tcW w:w="1440" w:type="dxa"/>
            <w:vAlign w:val="bottom"/>
          </w:tcPr>
          <w:p>
            <w:pPr>
              <w:jc w:val="right"/>
              <w:ind w:right="156"/>
              <w:spacing w:after="0"/>
              <w:rPr>
                <w:sz w:val="20"/>
                <w:szCs w:val="20"/>
                <w:color w:val="auto"/>
              </w:rPr>
            </w:pPr>
            <w:r>
              <w:rPr>
                <w:rFonts w:ascii="Arial" w:cs="Arial" w:eastAsia="Arial" w:hAnsi="Arial"/>
                <w:sz w:val="17"/>
                <w:szCs w:val="17"/>
                <w:color w:val="auto"/>
              </w:rPr>
              <w:t>10,000,000</w:t>
            </w:r>
          </w:p>
        </w:tc>
        <w:tc>
          <w:tcPr>
            <w:tcW w:w="28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440" w:type="dxa"/>
            <w:vAlign w:val="bottom"/>
          </w:tcPr>
          <w:p>
            <w:pPr>
              <w:jc w:val="right"/>
              <w:ind w:right="156"/>
              <w:spacing w:after="0"/>
              <w:rPr>
                <w:sz w:val="20"/>
                <w:szCs w:val="20"/>
                <w:color w:val="auto"/>
              </w:rPr>
            </w:pPr>
            <w:r>
              <w:rPr>
                <w:rFonts w:ascii="Arial" w:cs="Arial" w:eastAsia="Arial" w:hAnsi="Arial"/>
                <w:sz w:val="17"/>
                <w:szCs w:val="17"/>
                <w:color w:val="auto"/>
              </w:rPr>
              <w:t>10,000,000</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1360" w:type="dxa"/>
            <w:vAlign w:val="bottom"/>
          </w:tcPr>
          <w:p>
            <w:pPr>
              <w:jc w:val="right"/>
              <w:ind w:right="76"/>
              <w:spacing w:after="0"/>
              <w:rPr>
                <w:sz w:val="20"/>
                <w:szCs w:val="20"/>
                <w:color w:val="auto"/>
              </w:rPr>
            </w:pPr>
            <w:r>
              <w:rPr>
                <w:rFonts w:ascii="Arial" w:cs="Arial" w:eastAsia="Arial" w:hAnsi="Arial"/>
                <w:sz w:val="17"/>
                <w:szCs w:val="17"/>
                <w:color w:val="auto"/>
              </w:rPr>
              <w:t>4,500,000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80" w:type="dxa"/>
            <w:vAlign w:val="bottom"/>
            <w:gridSpan w:val="4"/>
            <w:shd w:val="clear" w:color="auto" w:fill="CCEEFF"/>
          </w:tcPr>
          <w:p>
            <w:pPr>
              <w:ind w:left="140"/>
              <w:spacing w:after="0"/>
              <w:rPr>
                <w:sz w:val="20"/>
                <w:szCs w:val="20"/>
                <w:color w:val="auto"/>
              </w:rPr>
            </w:pPr>
            <w:r>
              <w:rPr>
                <w:rFonts w:ascii="Arial" w:cs="Arial" w:eastAsia="Arial" w:hAnsi="Arial"/>
                <w:sz w:val="17"/>
                <w:szCs w:val="17"/>
                <w:color w:val="auto"/>
              </w:rPr>
              <w:t>Expiration date</w:t>
            </w:r>
          </w:p>
        </w:tc>
        <w:tc>
          <w:tcPr>
            <w:tcW w:w="3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56"/>
              <w:spacing w:after="0"/>
              <w:rPr>
                <w:sz w:val="20"/>
                <w:szCs w:val="20"/>
                <w:color w:val="auto"/>
              </w:rPr>
            </w:pPr>
            <w:r>
              <w:rPr>
                <w:rFonts w:ascii="Arial" w:cs="Arial" w:eastAsia="Arial" w:hAnsi="Arial"/>
                <w:sz w:val="17"/>
                <w:szCs w:val="17"/>
                <w:color w:val="auto"/>
              </w:rPr>
              <w:t>June 30, 2019</w:t>
            </w:r>
          </w:p>
        </w:tc>
        <w:tc>
          <w:tcPr>
            <w:tcW w:w="28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56"/>
              <w:spacing w:after="0"/>
              <w:rPr>
                <w:sz w:val="20"/>
                <w:szCs w:val="20"/>
                <w:color w:val="auto"/>
              </w:rPr>
            </w:pPr>
            <w:r>
              <w:rPr>
                <w:rFonts w:ascii="Arial" w:cs="Arial" w:eastAsia="Arial" w:hAnsi="Arial"/>
                <w:sz w:val="17"/>
                <w:szCs w:val="17"/>
                <w:color w:val="auto"/>
              </w:rPr>
              <w:t>June 30, 2019</w:t>
            </w: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June 30, 2017</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628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Personal Umbrella</w:t>
            </w:r>
          </w:p>
        </w:tc>
        <w:tc>
          <w:tcPr>
            <w:tcW w:w="3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80" w:type="dxa"/>
            <w:vAlign w:val="bottom"/>
            <w:gridSpan w:val="4"/>
          </w:tcPr>
          <w:p>
            <w:pPr>
              <w:ind w:left="140"/>
              <w:spacing w:after="0"/>
              <w:rPr>
                <w:sz w:val="20"/>
                <w:szCs w:val="20"/>
                <w:color w:val="auto"/>
              </w:rPr>
            </w:pPr>
            <w:r>
              <w:rPr>
                <w:rFonts w:ascii="Arial" w:cs="Arial" w:eastAsia="Arial" w:hAnsi="Arial"/>
                <w:sz w:val="17"/>
                <w:szCs w:val="17"/>
                <w:color w:val="auto"/>
              </w:rPr>
              <w:t>Quota share treaty:</w:t>
            </w:r>
          </w:p>
        </w:tc>
        <w:tc>
          <w:tcPr>
            <w:tcW w:w="3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80" w:type="dxa"/>
            <w:vAlign w:val="bottom"/>
            <w:gridSpan w:val="4"/>
            <w:shd w:val="clear" w:color="auto" w:fill="CCEEFF"/>
          </w:tcPr>
          <w:p>
            <w:pPr>
              <w:ind w:left="460"/>
              <w:spacing w:after="0"/>
              <w:rPr>
                <w:sz w:val="20"/>
                <w:szCs w:val="20"/>
                <w:color w:val="auto"/>
              </w:rPr>
            </w:pPr>
            <w:r>
              <w:rPr>
                <w:rFonts w:ascii="Arial" w:cs="Arial" w:eastAsia="Arial" w:hAnsi="Arial"/>
                <w:sz w:val="17"/>
                <w:szCs w:val="17"/>
                <w:color w:val="auto"/>
              </w:rPr>
              <w:t>Percent ceded - first $1,000,000 of coverage</w:t>
            </w:r>
          </w:p>
        </w:tc>
        <w:tc>
          <w:tcPr>
            <w:tcW w:w="3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90%</w:t>
            </w:r>
          </w:p>
        </w:tc>
        <w:tc>
          <w:tcPr>
            <w:tcW w:w="28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90%</w:t>
            </w: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80" w:type="dxa"/>
            <w:vAlign w:val="bottom"/>
            <w:gridSpan w:val="4"/>
          </w:tcPr>
          <w:p>
            <w:pPr>
              <w:ind w:left="460"/>
              <w:spacing w:after="0"/>
              <w:rPr>
                <w:sz w:val="20"/>
                <w:szCs w:val="20"/>
                <w:color w:val="auto"/>
              </w:rPr>
            </w:pPr>
            <w:r>
              <w:rPr>
                <w:rFonts w:ascii="Arial" w:cs="Arial" w:eastAsia="Arial" w:hAnsi="Arial"/>
                <w:sz w:val="17"/>
                <w:szCs w:val="17"/>
                <w:color w:val="auto"/>
              </w:rPr>
              <w:t>Percent ceded - excess of $1,000,000 dollars of coverage</w:t>
            </w:r>
          </w:p>
        </w:tc>
        <w:tc>
          <w:tcPr>
            <w:tcW w:w="340" w:type="dxa"/>
            <w:vAlign w:val="bottom"/>
          </w:tcPr>
          <w:p>
            <w:pPr>
              <w:spacing w:after="0"/>
              <w:rPr>
                <w:sz w:val="18"/>
                <w:szCs w:val="18"/>
                <w:color w:val="auto"/>
              </w:rPr>
            </w:pPr>
          </w:p>
        </w:tc>
        <w:tc>
          <w:tcPr>
            <w:tcW w:w="1440" w:type="dxa"/>
            <w:vAlign w:val="bottom"/>
          </w:tcPr>
          <w:p>
            <w:pPr>
              <w:jc w:val="right"/>
              <w:ind w:right="16"/>
              <w:spacing w:after="0"/>
              <w:rPr>
                <w:sz w:val="20"/>
                <w:szCs w:val="20"/>
                <w:color w:val="auto"/>
              </w:rPr>
            </w:pPr>
            <w:r>
              <w:rPr>
                <w:rFonts w:ascii="Arial" w:cs="Arial" w:eastAsia="Arial" w:hAnsi="Arial"/>
                <w:sz w:val="17"/>
                <w:szCs w:val="17"/>
                <w:color w:val="auto"/>
              </w:rPr>
              <w:t>100%</w:t>
            </w:r>
          </w:p>
        </w:tc>
        <w:tc>
          <w:tcPr>
            <w:tcW w:w="280" w:type="dxa"/>
            <w:vAlign w:val="bottom"/>
          </w:tcPr>
          <w:p>
            <w:pPr>
              <w:spacing w:after="0"/>
              <w:rPr>
                <w:sz w:val="18"/>
                <w:szCs w:val="18"/>
                <w:color w:val="auto"/>
              </w:rPr>
            </w:pPr>
          </w:p>
        </w:tc>
        <w:tc>
          <w:tcPr>
            <w:tcW w:w="1440" w:type="dxa"/>
            <w:vAlign w:val="bottom"/>
          </w:tcPr>
          <w:p>
            <w:pPr>
              <w:jc w:val="right"/>
              <w:ind w:right="16"/>
              <w:spacing w:after="0"/>
              <w:rPr>
                <w:sz w:val="20"/>
                <w:szCs w:val="20"/>
                <w:color w:val="auto"/>
              </w:rPr>
            </w:pPr>
            <w:r>
              <w:rPr>
                <w:rFonts w:ascii="Arial" w:cs="Arial" w:eastAsia="Arial" w:hAnsi="Arial"/>
                <w:sz w:val="17"/>
                <w:szCs w:val="17"/>
                <w:color w:val="auto"/>
              </w:rPr>
              <w:t>100%</w:t>
            </w: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80" w:type="dxa"/>
            <w:vAlign w:val="bottom"/>
            <w:gridSpan w:val="4"/>
            <w:shd w:val="clear" w:color="auto" w:fill="CCEEFF"/>
          </w:tcPr>
          <w:p>
            <w:pPr>
              <w:ind w:left="460"/>
              <w:spacing w:after="0"/>
              <w:rPr>
                <w:sz w:val="20"/>
                <w:szCs w:val="20"/>
                <w:color w:val="auto"/>
              </w:rPr>
            </w:pPr>
            <w:r>
              <w:rPr>
                <w:rFonts w:ascii="Arial" w:cs="Arial" w:eastAsia="Arial" w:hAnsi="Arial"/>
                <w:sz w:val="17"/>
                <w:szCs w:val="17"/>
                <w:color w:val="auto"/>
              </w:rPr>
              <w:t>Risk retained</w:t>
            </w: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40" w:type="dxa"/>
            <w:vAlign w:val="bottom"/>
            <w:shd w:val="clear" w:color="auto" w:fill="CCEEFF"/>
          </w:tcPr>
          <w:p>
            <w:pPr>
              <w:jc w:val="right"/>
              <w:ind w:right="156"/>
              <w:spacing w:after="0"/>
              <w:rPr>
                <w:sz w:val="20"/>
                <w:szCs w:val="20"/>
                <w:color w:val="auto"/>
              </w:rPr>
            </w:pPr>
            <w:r>
              <w:rPr>
                <w:rFonts w:ascii="Arial" w:cs="Arial" w:eastAsia="Arial" w:hAnsi="Arial"/>
                <w:sz w:val="17"/>
                <w:szCs w:val="17"/>
                <w:color w:val="auto"/>
              </w:rPr>
              <w:t>100,000</w:t>
            </w:r>
          </w:p>
        </w:tc>
        <w:tc>
          <w:tcPr>
            <w:tcW w:w="28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440" w:type="dxa"/>
            <w:vAlign w:val="bottom"/>
            <w:shd w:val="clear" w:color="auto" w:fill="CCEEFF"/>
          </w:tcPr>
          <w:p>
            <w:pPr>
              <w:jc w:val="right"/>
              <w:ind w:right="156"/>
              <w:spacing w:after="0"/>
              <w:rPr>
                <w:sz w:val="20"/>
                <w:szCs w:val="20"/>
                <w:color w:val="auto"/>
              </w:rPr>
            </w:pPr>
            <w:r>
              <w:rPr>
                <w:rFonts w:ascii="Arial" w:cs="Arial" w:eastAsia="Arial" w:hAnsi="Arial"/>
                <w:sz w:val="17"/>
                <w:szCs w:val="17"/>
                <w:color w:val="auto"/>
              </w:rPr>
              <w:t>100,000</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100,000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80" w:type="dxa"/>
            <w:vAlign w:val="bottom"/>
            <w:gridSpan w:val="4"/>
          </w:tcPr>
          <w:p>
            <w:pPr>
              <w:ind w:left="460"/>
              <w:spacing w:after="0"/>
              <w:rPr>
                <w:sz w:val="20"/>
                <w:szCs w:val="20"/>
                <w:color w:val="auto"/>
              </w:rPr>
            </w:pPr>
            <w:r>
              <w:rPr>
                <w:rFonts w:ascii="Arial" w:cs="Arial" w:eastAsia="Arial" w:hAnsi="Arial"/>
                <w:sz w:val="17"/>
                <w:szCs w:val="17"/>
                <w:color w:val="auto"/>
              </w:rPr>
              <w:t>Total reinsurance coverage per occurrence</w:t>
            </w:r>
          </w:p>
        </w:tc>
        <w:tc>
          <w:tcPr>
            <w:tcW w:w="340" w:type="dxa"/>
            <w:vAlign w:val="bottom"/>
          </w:tcPr>
          <w:p>
            <w:pPr>
              <w:jc w:val="right"/>
              <w:spacing w:after="0"/>
              <w:rPr>
                <w:sz w:val="20"/>
                <w:szCs w:val="20"/>
                <w:color w:val="auto"/>
              </w:rPr>
            </w:pPr>
            <w:r>
              <w:rPr>
                <w:rFonts w:ascii="Arial" w:cs="Arial" w:eastAsia="Arial" w:hAnsi="Arial"/>
                <w:sz w:val="17"/>
                <w:szCs w:val="17"/>
                <w:color w:val="auto"/>
              </w:rPr>
              <w:t>$</w:t>
            </w:r>
          </w:p>
        </w:tc>
        <w:tc>
          <w:tcPr>
            <w:tcW w:w="1440" w:type="dxa"/>
            <w:vAlign w:val="bottom"/>
          </w:tcPr>
          <w:p>
            <w:pPr>
              <w:jc w:val="right"/>
              <w:ind w:right="156"/>
              <w:spacing w:after="0"/>
              <w:rPr>
                <w:sz w:val="20"/>
                <w:szCs w:val="20"/>
                <w:color w:val="auto"/>
              </w:rPr>
            </w:pPr>
            <w:r>
              <w:rPr>
                <w:rFonts w:ascii="Arial" w:cs="Arial" w:eastAsia="Arial" w:hAnsi="Arial"/>
                <w:sz w:val="17"/>
                <w:szCs w:val="17"/>
                <w:color w:val="auto"/>
              </w:rPr>
              <w:t>4,900,000</w:t>
            </w:r>
          </w:p>
        </w:tc>
        <w:tc>
          <w:tcPr>
            <w:tcW w:w="28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440" w:type="dxa"/>
            <w:vAlign w:val="bottom"/>
          </w:tcPr>
          <w:p>
            <w:pPr>
              <w:jc w:val="right"/>
              <w:ind w:right="156"/>
              <w:spacing w:after="0"/>
              <w:rPr>
                <w:sz w:val="20"/>
                <w:szCs w:val="20"/>
                <w:color w:val="auto"/>
              </w:rPr>
            </w:pPr>
            <w:r>
              <w:rPr>
                <w:rFonts w:ascii="Arial" w:cs="Arial" w:eastAsia="Arial" w:hAnsi="Arial"/>
                <w:sz w:val="17"/>
                <w:szCs w:val="17"/>
                <w:color w:val="auto"/>
              </w:rPr>
              <w:t>4,900,000</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1360" w:type="dxa"/>
            <w:vAlign w:val="bottom"/>
          </w:tcPr>
          <w:p>
            <w:pPr>
              <w:jc w:val="right"/>
              <w:ind w:right="76"/>
              <w:spacing w:after="0"/>
              <w:rPr>
                <w:sz w:val="20"/>
                <w:szCs w:val="20"/>
                <w:color w:val="auto"/>
              </w:rPr>
            </w:pPr>
            <w:r>
              <w:rPr>
                <w:rFonts w:ascii="Arial" w:cs="Arial" w:eastAsia="Arial" w:hAnsi="Arial"/>
                <w:sz w:val="17"/>
                <w:szCs w:val="17"/>
                <w:color w:val="auto"/>
              </w:rPr>
              <w:t>4,900,000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80" w:type="dxa"/>
            <w:vAlign w:val="bottom"/>
            <w:gridSpan w:val="4"/>
            <w:shd w:val="clear" w:color="auto" w:fill="CCEEFF"/>
          </w:tcPr>
          <w:p>
            <w:pPr>
              <w:ind w:left="460"/>
              <w:spacing w:after="0"/>
              <w:rPr>
                <w:sz w:val="20"/>
                <w:szCs w:val="20"/>
                <w:color w:val="auto"/>
              </w:rPr>
            </w:pPr>
            <w:r>
              <w:rPr>
                <w:rFonts w:ascii="Arial" w:cs="Arial" w:eastAsia="Arial" w:hAnsi="Arial"/>
                <w:sz w:val="17"/>
                <w:szCs w:val="17"/>
                <w:color w:val="auto"/>
              </w:rPr>
              <w:t>Losses per occurrence subject to quota share reinsurance coverage</w:t>
            </w: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40" w:type="dxa"/>
            <w:vAlign w:val="bottom"/>
            <w:shd w:val="clear" w:color="auto" w:fill="CCEEFF"/>
          </w:tcPr>
          <w:p>
            <w:pPr>
              <w:jc w:val="right"/>
              <w:ind w:right="156"/>
              <w:spacing w:after="0"/>
              <w:rPr>
                <w:sz w:val="20"/>
                <w:szCs w:val="20"/>
                <w:color w:val="auto"/>
              </w:rPr>
            </w:pPr>
            <w:r>
              <w:rPr>
                <w:rFonts w:ascii="Arial" w:cs="Arial" w:eastAsia="Arial" w:hAnsi="Arial"/>
                <w:sz w:val="17"/>
                <w:szCs w:val="17"/>
                <w:color w:val="auto"/>
              </w:rPr>
              <w:t>5,000,000</w:t>
            </w:r>
          </w:p>
        </w:tc>
        <w:tc>
          <w:tcPr>
            <w:tcW w:w="28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440" w:type="dxa"/>
            <w:vAlign w:val="bottom"/>
            <w:shd w:val="clear" w:color="auto" w:fill="CCEEFF"/>
          </w:tcPr>
          <w:p>
            <w:pPr>
              <w:jc w:val="right"/>
              <w:ind w:right="156"/>
              <w:spacing w:after="0"/>
              <w:rPr>
                <w:sz w:val="20"/>
                <w:szCs w:val="20"/>
                <w:color w:val="auto"/>
              </w:rPr>
            </w:pPr>
            <w:r>
              <w:rPr>
                <w:rFonts w:ascii="Arial" w:cs="Arial" w:eastAsia="Arial" w:hAnsi="Arial"/>
                <w:sz w:val="17"/>
                <w:szCs w:val="17"/>
                <w:color w:val="auto"/>
              </w:rPr>
              <w:t>5,000,000</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5,000,000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80" w:type="dxa"/>
            <w:vAlign w:val="bottom"/>
            <w:gridSpan w:val="4"/>
          </w:tcPr>
          <w:p>
            <w:pPr>
              <w:ind w:left="140"/>
              <w:spacing w:after="0"/>
              <w:rPr>
                <w:sz w:val="20"/>
                <w:szCs w:val="20"/>
                <w:color w:val="auto"/>
              </w:rPr>
            </w:pPr>
            <w:r>
              <w:rPr>
                <w:rFonts w:ascii="Arial" w:cs="Arial" w:eastAsia="Arial" w:hAnsi="Arial"/>
                <w:sz w:val="17"/>
                <w:szCs w:val="17"/>
                <w:color w:val="auto"/>
              </w:rPr>
              <w:t>Expiration date</w:t>
            </w:r>
          </w:p>
        </w:tc>
        <w:tc>
          <w:tcPr>
            <w:tcW w:w="340" w:type="dxa"/>
            <w:vAlign w:val="bottom"/>
          </w:tcPr>
          <w:p>
            <w:pPr>
              <w:spacing w:after="0"/>
              <w:rPr>
                <w:sz w:val="18"/>
                <w:szCs w:val="18"/>
                <w:color w:val="auto"/>
              </w:rPr>
            </w:pPr>
          </w:p>
        </w:tc>
        <w:tc>
          <w:tcPr>
            <w:tcW w:w="1440" w:type="dxa"/>
            <w:vAlign w:val="bottom"/>
          </w:tcPr>
          <w:p>
            <w:pPr>
              <w:jc w:val="right"/>
              <w:ind w:right="156"/>
              <w:spacing w:after="0"/>
              <w:rPr>
                <w:sz w:val="20"/>
                <w:szCs w:val="20"/>
                <w:color w:val="auto"/>
              </w:rPr>
            </w:pPr>
            <w:r>
              <w:rPr>
                <w:rFonts w:ascii="Arial" w:cs="Arial" w:eastAsia="Arial" w:hAnsi="Arial"/>
                <w:sz w:val="17"/>
                <w:szCs w:val="17"/>
                <w:color w:val="auto"/>
              </w:rPr>
              <w:t>June 30, 2019</w:t>
            </w:r>
          </w:p>
        </w:tc>
        <w:tc>
          <w:tcPr>
            <w:tcW w:w="280" w:type="dxa"/>
            <w:vAlign w:val="bottom"/>
          </w:tcPr>
          <w:p>
            <w:pPr>
              <w:spacing w:after="0"/>
              <w:rPr>
                <w:sz w:val="18"/>
                <w:szCs w:val="18"/>
                <w:color w:val="auto"/>
              </w:rPr>
            </w:pPr>
          </w:p>
        </w:tc>
        <w:tc>
          <w:tcPr>
            <w:tcW w:w="1440" w:type="dxa"/>
            <w:vAlign w:val="bottom"/>
          </w:tcPr>
          <w:p>
            <w:pPr>
              <w:jc w:val="right"/>
              <w:ind w:right="156"/>
              <w:spacing w:after="0"/>
              <w:rPr>
                <w:sz w:val="20"/>
                <w:szCs w:val="20"/>
                <w:color w:val="auto"/>
              </w:rPr>
            </w:pPr>
            <w:r>
              <w:rPr>
                <w:rFonts w:ascii="Arial" w:cs="Arial" w:eastAsia="Arial" w:hAnsi="Arial"/>
                <w:sz w:val="17"/>
                <w:szCs w:val="17"/>
                <w:color w:val="auto"/>
              </w:rPr>
              <w:t>June 30, 2018</w:t>
            </w:r>
          </w:p>
        </w:tc>
        <w:tc>
          <w:tcPr>
            <w:tcW w:w="260" w:type="dxa"/>
            <w:vAlign w:val="bottom"/>
          </w:tcPr>
          <w:p>
            <w:pPr>
              <w:spacing w:after="0"/>
              <w:rPr>
                <w:sz w:val="18"/>
                <w:szCs w:val="18"/>
                <w:color w:val="auto"/>
              </w:rPr>
            </w:pPr>
          </w:p>
        </w:tc>
        <w:tc>
          <w:tcPr>
            <w:tcW w:w="1360" w:type="dxa"/>
            <w:vAlign w:val="bottom"/>
          </w:tcPr>
          <w:p>
            <w:pPr>
              <w:jc w:val="right"/>
              <w:ind w:right="76"/>
              <w:spacing w:after="0"/>
              <w:rPr>
                <w:sz w:val="20"/>
                <w:szCs w:val="20"/>
                <w:color w:val="auto"/>
              </w:rPr>
            </w:pPr>
            <w:r>
              <w:rPr>
                <w:rFonts w:ascii="Arial" w:cs="Arial" w:eastAsia="Arial" w:hAnsi="Arial"/>
                <w:sz w:val="17"/>
                <w:szCs w:val="17"/>
                <w:color w:val="auto"/>
              </w:rPr>
              <w:t>June 30, 2017</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6280" w:type="dxa"/>
            <w:vAlign w:val="bottom"/>
            <w:gridSpan w:val="4"/>
          </w:tcPr>
          <w:p>
            <w:pPr>
              <w:spacing w:after="0" w:line="170" w:lineRule="exact"/>
              <w:rPr>
                <w:sz w:val="20"/>
                <w:szCs w:val="20"/>
                <w:color w:val="auto"/>
              </w:rPr>
            </w:pPr>
            <w:r>
              <w:rPr>
                <w:rFonts w:ascii="Arial" w:cs="Arial" w:eastAsia="Arial" w:hAnsi="Arial"/>
                <w:sz w:val="17"/>
                <w:szCs w:val="17"/>
                <w:color w:val="auto"/>
              </w:rPr>
              <w:t>Commercial Lines:</w:t>
            </w:r>
          </w:p>
        </w:tc>
        <w:tc>
          <w:tcPr>
            <w:tcW w:w="3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628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General liability commercial policies</w:t>
            </w:r>
          </w:p>
        </w:tc>
        <w:tc>
          <w:tcPr>
            <w:tcW w:w="3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80" w:type="dxa"/>
            <w:vAlign w:val="bottom"/>
            <w:gridSpan w:val="4"/>
          </w:tcPr>
          <w:p>
            <w:pPr>
              <w:ind w:left="140"/>
              <w:spacing w:after="0"/>
              <w:rPr>
                <w:sz w:val="20"/>
                <w:szCs w:val="20"/>
                <w:color w:val="auto"/>
              </w:rPr>
            </w:pPr>
            <w:r>
              <w:rPr>
                <w:rFonts w:ascii="Arial" w:cs="Arial" w:eastAsia="Arial" w:hAnsi="Arial"/>
                <w:sz w:val="17"/>
                <w:szCs w:val="17"/>
                <w:color w:val="auto"/>
              </w:rPr>
              <w:t>Quota share treaty</w:t>
            </w:r>
          </w:p>
        </w:tc>
        <w:tc>
          <w:tcPr>
            <w:tcW w:w="340" w:type="dxa"/>
            <w:vAlign w:val="bottom"/>
          </w:tcPr>
          <w:p>
            <w:pPr>
              <w:spacing w:after="0"/>
              <w:rPr>
                <w:sz w:val="18"/>
                <w:szCs w:val="18"/>
                <w:color w:val="auto"/>
              </w:rPr>
            </w:pPr>
          </w:p>
        </w:tc>
        <w:tc>
          <w:tcPr>
            <w:tcW w:w="1440" w:type="dxa"/>
            <w:vAlign w:val="bottom"/>
          </w:tcPr>
          <w:p>
            <w:pPr>
              <w:jc w:val="right"/>
              <w:ind w:right="156"/>
              <w:spacing w:after="0"/>
              <w:rPr>
                <w:sz w:val="20"/>
                <w:szCs w:val="20"/>
                <w:color w:val="auto"/>
              </w:rPr>
            </w:pPr>
            <w:r>
              <w:rPr>
                <w:rFonts w:ascii="Arial" w:cs="Arial" w:eastAsia="Arial" w:hAnsi="Arial"/>
                <w:sz w:val="17"/>
                <w:szCs w:val="17"/>
                <w:color w:val="auto"/>
              </w:rPr>
              <w:t>None</w:t>
            </w:r>
          </w:p>
        </w:tc>
        <w:tc>
          <w:tcPr>
            <w:tcW w:w="280" w:type="dxa"/>
            <w:vAlign w:val="bottom"/>
          </w:tcPr>
          <w:p>
            <w:pPr>
              <w:spacing w:after="0"/>
              <w:rPr>
                <w:sz w:val="18"/>
                <w:szCs w:val="18"/>
                <w:color w:val="auto"/>
              </w:rPr>
            </w:pPr>
          </w:p>
        </w:tc>
        <w:tc>
          <w:tcPr>
            <w:tcW w:w="1440" w:type="dxa"/>
            <w:vAlign w:val="bottom"/>
          </w:tcPr>
          <w:p>
            <w:pPr>
              <w:jc w:val="right"/>
              <w:ind w:right="156"/>
              <w:spacing w:after="0"/>
              <w:rPr>
                <w:sz w:val="20"/>
                <w:szCs w:val="20"/>
                <w:color w:val="auto"/>
              </w:rPr>
            </w:pPr>
            <w:r>
              <w:rPr>
                <w:rFonts w:ascii="Arial" w:cs="Arial" w:eastAsia="Arial" w:hAnsi="Arial"/>
                <w:sz w:val="17"/>
                <w:szCs w:val="17"/>
                <w:color w:val="auto"/>
              </w:rPr>
              <w:t>None</w:t>
            </w:r>
          </w:p>
        </w:tc>
        <w:tc>
          <w:tcPr>
            <w:tcW w:w="260" w:type="dxa"/>
            <w:vAlign w:val="bottom"/>
          </w:tcPr>
          <w:p>
            <w:pPr>
              <w:spacing w:after="0"/>
              <w:rPr>
                <w:sz w:val="18"/>
                <w:szCs w:val="18"/>
                <w:color w:val="auto"/>
              </w:rPr>
            </w:pPr>
          </w:p>
        </w:tc>
        <w:tc>
          <w:tcPr>
            <w:tcW w:w="1360" w:type="dxa"/>
            <w:vAlign w:val="bottom"/>
          </w:tcPr>
          <w:p>
            <w:pPr>
              <w:jc w:val="right"/>
              <w:ind w:right="76"/>
              <w:spacing w:after="0"/>
              <w:rPr>
                <w:sz w:val="20"/>
                <w:szCs w:val="20"/>
                <w:color w:val="auto"/>
              </w:rPr>
            </w:pPr>
            <w:r>
              <w:rPr>
                <w:rFonts w:ascii="Arial" w:cs="Arial" w:eastAsia="Arial" w:hAnsi="Arial"/>
                <w:sz w:val="17"/>
                <w:szCs w:val="17"/>
                <w:color w:val="auto"/>
              </w:rPr>
              <w:t>None</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80" w:type="dxa"/>
            <w:vAlign w:val="bottom"/>
            <w:gridSpan w:val="4"/>
            <w:shd w:val="clear" w:color="auto" w:fill="CCEEFF"/>
          </w:tcPr>
          <w:p>
            <w:pPr>
              <w:ind w:left="140"/>
              <w:spacing w:after="0"/>
              <w:rPr>
                <w:sz w:val="20"/>
                <w:szCs w:val="20"/>
                <w:color w:val="auto"/>
              </w:rPr>
            </w:pPr>
            <w:r>
              <w:rPr>
                <w:rFonts w:ascii="Arial" w:cs="Arial" w:eastAsia="Arial" w:hAnsi="Arial"/>
                <w:sz w:val="17"/>
                <w:szCs w:val="17"/>
                <w:color w:val="auto"/>
              </w:rPr>
              <w:t>Risk retained</w:t>
            </w: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40" w:type="dxa"/>
            <w:vAlign w:val="bottom"/>
            <w:shd w:val="clear" w:color="auto" w:fill="CCEEFF"/>
          </w:tcPr>
          <w:p>
            <w:pPr>
              <w:jc w:val="right"/>
              <w:ind w:right="156"/>
              <w:spacing w:after="0"/>
              <w:rPr>
                <w:sz w:val="20"/>
                <w:szCs w:val="20"/>
                <w:color w:val="auto"/>
              </w:rPr>
            </w:pPr>
            <w:r>
              <w:rPr>
                <w:rFonts w:ascii="Arial" w:cs="Arial" w:eastAsia="Arial" w:hAnsi="Arial"/>
                <w:sz w:val="17"/>
                <w:szCs w:val="17"/>
                <w:color w:val="auto"/>
              </w:rPr>
              <w:t>750,000</w:t>
            </w:r>
          </w:p>
        </w:tc>
        <w:tc>
          <w:tcPr>
            <w:tcW w:w="28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440" w:type="dxa"/>
            <w:vAlign w:val="bottom"/>
            <w:shd w:val="clear" w:color="auto" w:fill="CCEEFF"/>
          </w:tcPr>
          <w:p>
            <w:pPr>
              <w:jc w:val="right"/>
              <w:ind w:right="156"/>
              <w:spacing w:after="0"/>
              <w:rPr>
                <w:sz w:val="20"/>
                <w:szCs w:val="20"/>
                <w:color w:val="auto"/>
              </w:rPr>
            </w:pPr>
            <w:r>
              <w:rPr>
                <w:rFonts w:ascii="Arial" w:cs="Arial" w:eastAsia="Arial" w:hAnsi="Arial"/>
                <w:sz w:val="17"/>
                <w:szCs w:val="17"/>
                <w:color w:val="auto"/>
              </w:rPr>
              <w:t>750,000</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500,000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80" w:type="dxa"/>
            <w:vAlign w:val="bottom"/>
            <w:gridSpan w:val="4"/>
          </w:tcPr>
          <w:p>
            <w:pPr>
              <w:ind w:left="140"/>
              <w:spacing w:after="0"/>
              <w:rPr>
                <w:sz w:val="20"/>
                <w:szCs w:val="20"/>
                <w:color w:val="auto"/>
              </w:rPr>
            </w:pPr>
            <w:r>
              <w:rPr>
                <w:rFonts w:ascii="Arial" w:cs="Arial" w:eastAsia="Arial" w:hAnsi="Arial"/>
                <w:sz w:val="17"/>
                <w:szCs w:val="17"/>
                <w:color w:val="auto"/>
              </w:rPr>
              <w:t>Excess of loss coverage above risk retained</w:t>
            </w:r>
          </w:p>
        </w:tc>
        <w:tc>
          <w:tcPr>
            <w:tcW w:w="340" w:type="dxa"/>
            <w:vAlign w:val="bottom"/>
          </w:tcPr>
          <w:p>
            <w:pPr>
              <w:jc w:val="right"/>
              <w:spacing w:after="0"/>
              <w:rPr>
                <w:sz w:val="20"/>
                <w:szCs w:val="20"/>
                <w:color w:val="auto"/>
              </w:rPr>
            </w:pPr>
            <w:r>
              <w:rPr>
                <w:rFonts w:ascii="Arial" w:cs="Arial" w:eastAsia="Arial" w:hAnsi="Arial"/>
                <w:sz w:val="17"/>
                <w:szCs w:val="17"/>
                <w:color w:val="auto"/>
              </w:rPr>
              <w:t>$</w:t>
            </w:r>
          </w:p>
        </w:tc>
        <w:tc>
          <w:tcPr>
            <w:tcW w:w="1440" w:type="dxa"/>
            <w:vAlign w:val="bottom"/>
          </w:tcPr>
          <w:p>
            <w:pPr>
              <w:jc w:val="right"/>
              <w:ind w:right="156"/>
              <w:spacing w:after="0"/>
              <w:rPr>
                <w:sz w:val="20"/>
                <w:szCs w:val="20"/>
                <w:color w:val="auto"/>
              </w:rPr>
            </w:pPr>
            <w:r>
              <w:rPr>
                <w:rFonts w:ascii="Arial" w:cs="Arial" w:eastAsia="Arial" w:hAnsi="Arial"/>
                <w:sz w:val="17"/>
                <w:szCs w:val="17"/>
                <w:color w:val="auto"/>
              </w:rPr>
              <w:t>3,750,000</w:t>
            </w:r>
          </w:p>
        </w:tc>
        <w:tc>
          <w:tcPr>
            <w:tcW w:w="28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440" w:type="dxa"/>
            <w:vAlign w:val="bottom"/>
          </w:tcPr>
          <w:p>
            <w:pPr>
              <w:jc w:val="right"/>
              <w:ind w:right="156"/>
              <w:spacing w:after="0"/>
              <w:rPr>
                <w:sz w:val="20"/>
                <w:szCs w:val="20"/>
                <w:color w:val="auto"/>
              </w:rPr>
            </w:pPr>
            <w:r>
              <w:rPr>
                <w:rFonts w:ascii="Arial" w:cs="Arial" w:eastAsia="Arial" w:hAnsi="Arial"/>
                <w:sz w:val="17"/>
                <w:szCs w:val="17"/>
                <w:color w:val="auto"/>
              </w:rPr>
              <w:t>3,750,000</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1360" w:type="dxa"/>
            <w:vAlign w:val="bottom"/>
          </w:tcPr>
          <w:p>
            <w:pPr>
              <w:jc w:val="right"/>
              <w:ind w:right="76"/>
              <w:spacing w:after="0"/>
              <w:rPr>
                <w:sz w:val="20"/>
                <w:szCs w:val="20"/>
                <w:color w:val="auto"/>
              </w:rPr>
            </w:pPr>
            <w:r>
              <w:rPr>
                <w:rFonts w:ascii="Arial" w:cs="Arial" w:eastAsia="Arial" w:hAnsi="Arial"/>
                <w:sz w:val="17"/>
                <w:szCs w:val="17"/>
                <w:color w:val="auto"/>
              </w:rPr>
              <w:t>4,000,000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56"/>
              <w:spacing w:after="0"/>
              <w:rPr>
                <w:sz w:val="20"/>
                <w:szCs w:val="20"/>
                <w:color w:val="auto"/>
              </w:rPr>
            </w:pPr>
            <w:r>
              <w:rPr>
                <w:rFonts w:ascii="Arial" w:cs="Arial" w:eastAsia="Arial" w:hAnsi="Arial"/>
                <w:sz w:val="17"/>
                <w:szCs w:val="17"/>
                <w:color w:val="auto"/>
              </w:rPr>
              <w:t>in excess of</w:t>
            </w:r>
          </w:p>
        </w:tc>
        <w:tc>
          <w:tcPr>
            <w:tcW w:w="28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56"/>
              <w:spacing w:after="0"/>
              <w:rPr>
                <w:sz w:val="20"/>
                <w:szCs w:val="20"/>
                <w:color w:val="auto"/>
              </w:rPr>
            </w:pPr>
            <w:r>
              <w:rPr>
                <w:rFonts w:ascii="Arial" w:cs="Arial" w:eastAsia="Arial" w:hAnsi="Arial"/>
                <w:sz w:val="17"/>
                <w:szCs w:val="17"/>
                <w:color w:val="auto"/>
              </w:rPr>
              <w:t>in excess of</w:t>
            </w: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in excess of</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7"/>
                <w:szCs w:val="17"/>
                <w:color w:val="auto"/>
              </w:rPr>
              <w:t>$</w:t>
            </w:r>
          </w:p>
        </w:tc>
        <w:tc>
          <w:tcPr>
            <w:tcW w:w="1440" w:type="dxa"/>
            <w:vAlign w:val="bottom"/>
          </w:tcPr>
          <w:p>
            <w:pPr>
              <w:jc w:val="right"/>
              <w:ind w:right="156"/>
              <w:spacing w:after="0"/>
              <w:rPr>
                <w:sz w:val="20"/>
                <w:szCs w:val="20"/>
                <w:color w:val="auto"/>
              </w:rPr>
            </w:pPr>
            <w:r>
              <w:rPr>
                <w:rFonts w:ascii="Arial" w:cs="Arial" w:eastAsia="Arial" w:hAnsi="Arial"/>
                <w:sz w:val="17"/>
                <w:szCs w:val="17"/>
                <w:color w:val="auto"/>
              </w:rPr>
              <w:t>750,000</w:t>
            </w:r>
          </w:p>
        </w:tc>
        <w:tc>
          <w:tcPr>
            <w:tcW w:w="28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440" w:type="dxa"/>
            <w:vAlign w:val="bottom"/>
          </w:tcPr>
          <w:p>
            <w:pPr>
              <w:jc w:val="right"/>
              <w:ind w:right="156"/>
              <w:spacing w:after="0"/>
              <w:rPr>
                <w:sz w:val="20"/>
                <w:szCs w:val="20"/>
                <w:color w:val="auto"/>
              </w:rPr>
            </w:pPr>
            <w:r>
              <w:rPr>
                <w:rFonts w:ascii="Arial" w:cs="Arial" w:eastAsia="Arial" w:hAnsi="Arial"/>
                <w:sz w:val="17"/>
                <w:szCs w:val="17"/>
                <w:color w:val="auto"/>
              </w:rPr>
              <w:t>750,000</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1360" w:type="dxa"/>
            <w:vAlign w:val="bottom"/>
          </w:tcPr>
          <w:p>
            <w:pPr>
              <w:jc w:val="right"/>
              <w:ind w:right="76"/>
              <w:spacing w:after="0"/>
              <w:rPr>
                <w:sz w:val="20"/>
                <w:szCs w:val="20"/>
                <w:color w:val="auto"/>
              </w:rPr>
            </w:pPr>
            <w:r>
              <w:rPr>
                <w:rFonts w:ascii="Arial" w:cs="Arial" w:eastAsia="Arial" w:hAnsi="Arial"/>
                <w:sz w:val="17"/>
                <w:szCs w:val="17"/>
                <w:color w:val="auto"/>
              </w:rPr>
              <w:t>500,000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80" w:type="dxa"/>
            <w:vAlign w:val="bottom"/>
            <w:gridSpan w:val="4"/>
            <w:shd w:val="clear" w:color="auto" w:fill="CCEEFF"/>
          </w:tcPr>
          <w:p>
            <w:pPr>
              <w:ind w:left="140"/>
              <w:spacing w:after="0"/>
              <w:rPr>
                <w:sz w:val="20"/>
                <w:szCs w:val="20"/>
                <w:color w:val="auto"/>
              </w:rPr>
            </w:pPr>
            <w:r>
              <w:rPr>
                <w:rFonts w:ascii="Arial" w:cs="Arial" w:eastAsia="Arial" w:hAnsi="Arial"/>
                <w:sz w:val="17"/>
                <w:szCs w:val="17"/>
                <w:color w:val="auto"/>
              </w:rPr>
              <w:t>Total reinsurance coverage per occurrence</w:t>
            </w: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40" w:type="dxa"/>
            <w:vAlign w:val="bottom"/>
            <w:shd w:val="clear" w:color="auto" w:fill="CCEEFF"/>
          </w:tcPr>
          <w:p>
            <w:pPr>
              <w:jc w:val="right"/>
              <w:ind w:right="156"/>
              <w:spacing w:after="0"/>
              <w:rPr>
                <w:sz w:val="20"/>
                <w:szCs w:val="20"/>
                <w:color w:val="auto"/>
              </w:rPr>
            </w:pPr>
            <w:r>
              <w:rPr>
                <w:rFonts w:ascii="Arial" w:cs="Arial" w:eastAsia="Arial" w:hAnsi="Arial"/>
                <w:sz w:val="17"/>
                <w:szCs w:val="17"/>
                <w:color w:val="auto"/>
              </w:rPr>
              <w:t>3,750,000</w:t>
            </w:r>
          </w:p>
        </w:tc>
        <w:tc>
          <w:tcPr>
            <w:tcW w:w="28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440" w:type="dxa"/>
            <w:vAlign w:val="bottom"/>
            <w:shd w:val="clear" w:color="auto" w:fill="CCEEFF"/>
          </w:tcPr>
          <w:p>
            <w:pPr>
              <w:jc w:val="right"/>
              <w:ind w:right="156"/>
              <w:spacing w:after="0"/>
              <w:rPr>
                <w:sz w:val="20"/>
                <w:szCs w:val="20"/>
                <w:color w:val="auto"/>
              </w:rPr>
            </w:pPr>
            <w:r>
              <w:rPr>
                <w:rFonts w:ascii="Arial" w:cs="Arial" w:eastAsia="Arial" w:hAnsi="Arial"/>
                <w:sz w:val="17"/>
                <w:szCs w:val="17"/>
                <w:color w:val="auto"/>
              </w:rPr>
              <w:t>3,750,000</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4,000,000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80" w:type="dxa"/>
            <w:vAlign w:val="bottom"/>
            <w:gridSpan w:val="4"/>
          </w:tcPr>
          <w:p>
            <w:pPr>
              <w:ind w:left="140"/>
              <w:spacing w:after="0"/>
              <w:rPr>
                <w:sz w:val="20"/>
                <w:szCs w:val="20"/>
                <w:color w:val="auto"/>
              </w:rPr>
            </w:pPr>
            <w:r>
              <w:rPr>
                <w:rFonts w:ascii="Arial" w:cs="Arial" w:eastAsia="Arial" w:hAnsi="Arial"/>
                <w:sz w:val="17"/>
                <w:szCs w:val="17"/>
                <w:color w:val="auto"/>
              </w:rPr>
              <w:t>Losses per occurrence subject to reinsurance coverage</w:t>
            </w:r>
          </w:p>
        </w:tc>
        <w:tc>
          <w:tcPr>
            <w:tcW w:w="340" w:type="dxa"/>
            <w:vAlign w:val="bottom"/>
          </w:tcPr>
          <w:p>
            <w:pPr>
              <w:jc w:val="right"/>
              <w:spacing w:after="0"/>
              <w:rPr>
                <w:sz w:val="20"/>
                <w:szCs w:val="20"/>
                <w:color w:val="auto"/>
              </w:rPr>
            </w:pPr>
            <w:r>
              <w:rPr>
                <w:rFonts w:ascii="Arial" w:cs="Arial" w:eastAsia="Arial" w:hAnsi="Arial"/>
                <w:sz w:val="17"/>
                <w:szCs w:val="17"/>
                <w:color w:val="auto"/>
              </w:rPr>
              <w:t>$</w:t>
            </w:r>
          </w:p>
        </w:tc>
        <w:tc>
          <w:tcPr>
            <w:tcW w:w="1440" w:type="dxa"/>
            <w:vAlign w:val="bottom"/>
          </w:tcPr>
          <w:p>
            <w:pPr>
              <w:jc w:val="right"/>
              <w:ind w:right="156"/>
              <w:spacing w:after="0"/>
              <w:rPr>
                <w:sz w:val="20"/>
                <w:szCs w:val="20"/>
                <w:color w:val="auto"/>
              </w:rPr>
            </w:pPr>
            <w:r>
              <w:rPr>
                <w:rFonts w:ascii="Arial" w:cs="Arial" w:eastAsia="Arial" w:hAnsi="Arial"/>
                <w:sz w:val="17"/>
                <w:szCs w:val="17"/>
                <w:color w:val="auto"/>
              </w:rPr>
              <w:t>4,500,000</w:t>
            </w:r>
          </w:p>
        </w:tc>
        <w:tc>
          <w:tcPr>
            <w:tcW w:w="28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440" w:type="dxa"/>
            <w:vAlign w:val="bottom"/>
          </w:tcPr>
          <w:p>
            <w:pPr>
              <w:jc w:val="right"/>
              <w:ind w:right="156"/>
              <w:spacing w:after="0"/>
              <w:rPr>
                <w:sz w:val="20"/>
                <w:szCs w:val="20"/>
                <w:color w:val="auto"/>
              </w:rPr>
            </w:pPr>
            <w:r>
              <w:rPr>
                <w:rFonts w:ascii="Arial" w:cs="Arial" w:eastAsia="Arial" w:hAnsi="Arial"/>
                <w:sz w:val="17"/>
                <w:szCs w:val="17"/>
                <w:color w:val="auto"/>
              </w:rPr>
              <w:t>4,500,000</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1360" w:type="dxa"/>
            <w:vAlign w:val="bottom"/>
          </w:tcPr>
          <w:p>
            <w:pPr>
              <w:jc w:val="right"/>
              <w:ind w:right="76"/>
              <w:spacing w:after="0"/>
              <w:rPr>
                <w:sz w:val="20"/>
                <w:szCs w:val="20"/>
                <w:color w:val="auto"/>
              </w:rPr>
            </w:pPr>
            <w:r>
              <w:rPr>
                <w:rFonts w:ascii="Arial" w:cs="Arial" w:eastAsia="Arial" w:hAnsi="Arial"/>
                <w:sz w:val="17"/>
                <w:szCs w:val="17"/>
                <w:color w:val="auto"/>
              </w:rPr>
              <w:t>4,500,000</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6280" w:type="dxa"/>
            <w:vAlign w:val="bottom"/>
            <w:gridSpan w:val="4"/>
          </w:tcPr>
          <w:p>
            <w:pPr>
              <w:spacing w:after="0"/>
              <w:rPr>
                <w:sz w:val="20"/>
                <w:szCs w:val="20"/>
                <w:color w:val="auto"/>
              </w:rPr>
            </w:pPr>
            <w:r>
              <w:rPr>
                <w:rFonts w:ascii="Arial" w:cs="Arial" w:eastAsia="Arial" w:hAnsi="Arial"/>
                <w:sz w:val="17"/>
                <w:szCs w:val="17"/>
                <w:color w:val="auto"/>
              </w:rPr>
              <w:t>Commercial Umbrella</w:t>
            </w:r>
          </w:p>
        </w:tc>
        <w:tc>
          <w:tcPr>
            <w:tcW w:w="3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80" w:type="dxa"/>
            <w:vAlign w:val="bottom"/>
            <w:gridSpan w:val="4"/>
            <w:shd w:val="clear" w:color="auto" w:fill="CCEEFF"/>
          </w:tcPr>
          <w:p>
            <w:pPr>
              <w:ind w:left="140"/>
              <w:spacing w:after="0"/>
              <w:rPr>
                <w:sz w:val="20"/>
                <w:szCs w:val="20"/>
                <w:color w:val="auto"/>
              </w:rPr>
            </w:pPr>
            <w:r>
              <w:rPr>
                <w:rFonts w:ascii="Arial" w:cs="Arial" w:eastAsia="Arial" w:hAnsi="Arial"/>
                <w:sz w:val="17"/>
                <w:szCs w:val="17"/>
                <w:color w:val="auto"/>
              </w:rPr>
              <w:t>Quota share treaty:</w:t>
            </w:r>
          </w:p>
        </w:tc>
        <w:tc>
          <w:tcPr>
            <w:tcW w:w="3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80" w:type="dxa"/>
            <w:vAlign w:val="bottom"/>
            <w:gridSpan w:val="4"/>
          </w:tcPr>
          <w:p>
            <w:pPr>
              <w:ind w:left="460"/>
              <w:spacing w:after="0"/>
              <w:rPr>
                <w:sz w:val="20"/>
                <w:szCs w:val="20"/>
                <w:color w:val="auto"/>
              </w:rPr>
            </w:pPr>
            <w:r>
              <w:rPr>
                <w:rFonts w:ascii="Arial" w:cs="Arial" w:eastAsia="Arial" w:hAnsi="Arial"/>
                <w:sz w:val="17"/>
                <w:szCs w:val="17"/>
                <w:color w:val="auto"/>
              </w:rPr>
              <w:t>Percent ceded - first $1,000,000 of coverage</w:t>
            </w:r>
          </w:p>
        </w:tc>
        <w:tc>
          <w:tcPr>
            <w:tcW w:w="340" w:type="dxa"/>
            <w:vAlign w:val="bottom"/>
          </w:tcPr>
          <w:p>
            <w:pPr>
              <w:spacing w:after="0"/>
              <w:rPr>
                <w:sz w:val="18"/>
                <w:szCs w:val="18"/>
                <w:color w:val="auto"/>
              </w:rPr>
            </w:pPr>
          </w:p>
        </w:tc>
        <w:tc>
          <w:tcPr>
            <w:tcW w:w="1440" w:type="dxa"/>
            <w:vAlign w:val="bottom"/>
          </w:tcPr>
          <w:p>
            <w:pPr>
              <w:jc w:val="right"/>
              <w:ind w:right="16"/>
              <w:spacing w:after="0"/>
              <w:rPr>
                <w:sz w:val="20"/>
                <w:szCs w:val="20"/>
                <w:color w:val="auto"/>
              </w:rPr>
            </w:pPr>
            <w:r>
              <w:rPr>
                <w:rFonts w:ascii="Arial" w:cs="Arial" w:eastAsia="Arial" w:hAnsi="Arial"/>
                <w:sz w:val="17"/>
                <w:szCs w:val="17"/>
                <w:color w:val="auto"/>
              </w:rPr>
              <w:t>90%</w:t>
            </w:r>
          </w:p>
        </w:tc>
        <w:tc>
          <w:tcPr>
            <w:tcW w:w="280" w:type="dxa"/>
            <w:vAlign w:val="bottom"/>
          </w:tcPr>
          <w:p>
            <w:pPr>
              <w:spacing w:after="0"/>
              <w:rPr>
                <w:sz w:val="18"/>
                <w:szCs w:val="18"/>
                <w:color w:val="auto"/>
              </w:rPr>
            </w:pPr>
          </w:p>
        </w:tc>
        <w:tc>
          <w:tcPr>
            <w:tcW w:w="1440" w:type="dxa"/>
            <w:vAlign w:val="bottom"/>
          </w:tcPr>
          <w:p>
            <w:pPr>
              <w:jc w:val="right"/>
              <w:ind w:right="16"/>
              <w:spacing w:after="0"/>
              <w:rPr>
                <w:sz w:val="20"/>
                <w:szCs w:val="20"/>
                <w:color w:val="auto"/>
              </w:rPr>
            </w:pPr>
            <w:r>
              <w:rPr>
                <w:rFonts w:ascii="Arial" w:cs="Arial" w:eastAsia="Arial" w:hAnsi="Arial"/>
                <w:sz w:val="17"/>
                <w:szCs w:val="17"/>
                <w:color w:val="auto"/>
              </w:rPr>
              <w:t>90%</w:t>
            </w: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90%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80" w:type="dxa"/>
            <w:vAlign w:val="bottom"/>
            <w:gridSpan w:val="4"/>
            <w:shd w:val="clear" w:color="auto" w:fill="CCEEFF"/>
          </w:tcPr>
          <w:p>
            <w:pPr>
              <w:ind w:left="460"/>
              <w:spacing w:after="0"/>
              <w:rPr>
                <w:sz w:val="20"/>
                <w:szCs w:val="20"/>
                <w:color w:val="auto"/>
              </w:rPr>
            </w:pPr>
            <w:r>
              <w:rPr>
                <w:rFonts w:ascii="Arial" w:cs="Arial" w:eastAsia="Arial" w:hAnsi="Arial"/>
                <w:sz w:val="17"/>
                <w:szCs w:val="17"/>
                <w:color w:val="auto"/>
              </w:rPr>
              <w:t>Percent ceded - excess of $1,000,000 of coverage</w:t>
            </w:r>
          </w:p>
        </w:tc>
        <w:tc>
          <w:tcPr>
            <w:tcW w:w="3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100%</w:t>
            </w:r>
          </w:p>
        </w:tc>
        <w:tc>
          <w:tcPr>
            <w:tcW w:w="28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100%</w:t>
            </w: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80" w:type="dxa"/>
            <w:vAlign w:val="bottom"/>
            <w:gridSpan w:val="4"/>
          </w:tcPr>
          <w:p>
            <w:pPr>
              <w:ind w:left="460"/>
              <w:spacing w:after="0"/>
              <w:rPr>
                <w:sz w:val="20"/>
                <w:szCs w:val="20"/>
                <w:color w:val="auto"/>
              </w:rPr>
            </w:pPr>
            <w:r>
              <w:rPr>
                <w:rFonts w:ascii="Arial" w:cs="Arial" w:eastAsia="Arial" w:hAnsi="Arial"/>
                <w:sz w:val="17"/>
                <w:szCs w:val="17"/>
                <w:color w:val="auto"/>
              </w:rPr>
              <w:t>Risk retained</w:t>
            </w:r>
          </w:p>
        </w:tc>
        <w:tc>
          <w:tcPr>
            <w:tcW w:w="340" w:type="dxa"/>
            <w:vAlign w:val="bottom"/>
          </w:tcPr>
          <w:p>
            <w:pPr>
              <w:jc w:val="right"/>
              <w:spacing w:after="0"/>
              <w:rPr>
                <w:sz w:val="20"/>
                <w:szCs w:val="20"/>
                <w:color w:val="auto"/>
              </w:rPr>
            </w:pPr>
            <w:r>
              <w:rPr>
                <w:rFonts w:ascii="Arial" w:cs="Arial" w:eastAsia="Arial" w:hAnsi="Arial"/>
                <w:sz w:val="17"/>
                <w:szCs w:val="17"/>
                <w:color w:val="auto"/>
              </w:rPr>
              <w:t>$</w:t>
            </w:r>
          </w:p>
        </w:tc>
        <w:tc>
          <w:tcPr>
            <w:tcW w:w="1440" w:type="dxa"/>
            <w:vAlign w:val="bottom"/>
          </w:tcPr>
          <w:p>
            <w:pPr>
              <w:jc w:val="right"/>
              <w:ind w:right="156"/>
              <w:spacing w:after="0"/>
              <w:rPr>
                <w:sz w:val="20"/>
                <w:szCs w:val="20"/>
                <w:color w:val="auto"/>
              </w:rPr>
            </w:pPr>
            <w:r>
              <w:rPr>
                <w:rFonts w:ascii="Arial" w:cs="Arial" w:eastAsia="Arial" w:hAnsi="Arial"/>
                <w:sz w:val="17"/>
                <w:szCs w:val="17"/>
                <w:color w:val="auto"/>
              </w:rPr>
              <w:t>100,000</w:t>
            </w:r>
          </w:p>
        </w:tc>
        <w:tc>
          <w:tcPr>
            <w:tcW w:w="28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440" w:type="dxa"/>
            <w:vAlign w:val="bottom"/>
          </w:tcPr>
          <w:p>
            <w:pPr>
              <w:jc w:val="right"/>
              <w:ind w:right="156"/>
              <w:spacing w:after="0"/>
              <w:rPr>
                <w:sz w:val="20"/>
                <w:szCs w:val="20"/>
                <w:color w:val="auto"/>
              </w:rPr>
            </w:pPr>
            <w:r>
              <w:rPr>
                <w:rFonts w:ascii="Arial" w:cs="Arial" w:eastAsia="Arial" w:hAnsi="Arial"/>
                <w:sz w:val="17"/>
                <w:szCs w:val="17"/>
                <w:color w:val="auto"/>
              </w:rPr>
              <w:t>100,000</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1360" w:type="dxa"/>
            <w:vAlign w:val="bottom"/>
          </w:tcPr>
          <w:p>
            <w:pPr>
              <w:jc w:val="right"/>
              <w:ind w:right="76"/>
              <w:spacing w:after="0"/>
              <w:rPr>
                <w:sz w:val="20"/>
                <w:szCs w:val="20"/>
                <w:color w:val="auto"/>
              </w:rPr>
            </w:pPr>
            <w:r>
              <w:rPr>
                <w:rFonts w:ascii="Arial" w:cs="Arial" w:eastAsia="Arial" w:hAnsi="Arial"/>
                <w:sz w:val="17"/>
                <w:szCs w:val="17"/>
                <w:color w:val="auto"/>
              </w:rPr>
              <w:t>100,000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80" w:type="dxa"/>
            <w:vAlign w:val="bottom"/>
            <w:gridSpan w:val="4"/>
            <w:shd w:val="clear" w:color="auto" w:fill="CCEEFF"/>
          </w:tcPr>
          <w:p>
            <w:pPr>
              <w:ind w:left="460"/>
              <w:spacing w:after="0"/>
              <w:rPr>
                <w:sz w:val="20"/>
                <w:szCs w:val="20"/>
                <w:color w:val="auto"/>
              </w:rPr>
            </w:pPr>
            <w:r>
              <w:rPr>
                <w:rFonts w:ascii="Arial" w:cs="Arial" w:eastAsia="Arial" w:hAnsi="Arial"/>
                <w:sz w:val="17"/>
                <w:szCs w:val="17"/>
                <w:color w:val="auto"/>
              </w:rPr>
              <w:t>Total reinsurance coverage per occurrence</w:t>
            </w: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40" w:type="dxa"/>
            <w:vAlign w:val="bottom"/>
            <w:shd w:val="clear" w:color="auto" w:fill="CCEEFF"/>
          </w:tcPr>
          <w:p>
            <w:pPr>
              <w:jc w:val="right"/>
              <w:ind w:right="156"/>
              <w:spacing w:after="0"/>
              <w:rPr>
                <w:sz w:val="20"/>
                <w:szCs w:val="20"/>
                <w:color w:val="auto"/>
              </w:rPr>
            </w:pPr>
            <w:r>
              <w:rPr>
                <w:rFonts w:ascii="Arial" w:cs="Arial" w:eastAsia="Arial" w:hAnsi="Arial"/>
                <w:sz w:val="17"/>
                <w:szCs w:val="17"/>
                <w:color w:val="auto"/>
              </w:rPr>
              <w:t>4,900,000</w:t>
            </w:r>
          </w:p>
        </w:tc>
        <w:tc>
          <w:tcPr>
            <w:tcW w:w="28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440" w:type="dxa"/>
            <w:vAlign w:val="bottom"/>
            <w:shd w:val="clear" w:color="auto" w:fill="CCEEFF"/>
          </w:tcPr>
          <w:p>
            <w:pPr>
              <w:jc w:val="right"/>
              <w:ind w:right="156"/>
              <w:spacing w:after="0"/>
              <w:rPr>
                <w:sz w:val="20"/>
                <w:szCs w:val="20"/>
                <w:color w:val="auto"/>
              </w:rPr>
            </w:pPr>
            <w:r>
              <w:rPr>
                <w:rFonts w:ascii="Arial" w:cs="Arial" w:eastAsia="Arial" w:hAnsi="Arial"/>
                <w:sz w:val="17"/>
                <w:szCs w:val="17"/>
                <w:color w:val="auto"/>
              </w:rPr>
              <w:t>4,900,000</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4,900,000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80" w:type="dxa"/>
            <w:vAlign w:val="bottom"/>
            <w:gridSpan w:val="4"/>
          </w:tcPr>
          <w:p>
            <w:pPr>
              <w:ind w:left="460"/>
              <w:spacing w:after="0"/>
              <w:rPr>
                <w:sz w:val="20"/>
                <w:szCs w:val="20"/>
                <w:color w:val="auto"/>
              </w:rPr>
            </w:pPr>
            <w:r>
              <w:rPr>
                <w:rFonts w:ascii="Arial" w:cs="Arial" w:eastAsia="Arial" w:hAnsi="Arial"/>
                <w:sz w:val="17"/>
                <w:szCs w:val="17"/>
                <w:color w:val="auto"/>
              </w:rPr>
              <w:t>Losses per occurrence subject to quota share reinsurance coverage</w:t>
            </w:r>
          </w:p>
        </w:tc>
        <w:tc>
          <w:tcPr>
            <w:tcW w:w="340" w:type="dxa"/>
            <w:vAlign w:val="bottom"/>
          </w:tcPr>
          <w:p>
            <w:pPr>
              <w:jc w:val="right"/>
              <w:spacing w:after="0"/>
              <w:rPr>
                <w:sz w:val="20"/>
                <w:szCs w:val="20"/>
                <w:color w:val="auto"/>
              </w:rPr>
            </w:pPr>
            <w:r>
              <w:rPr>
                <w:rFonts w:ascii="Arial" w:cs="Arial" w:eastAsia="Arial" w:hAnsi="Arial"/>
                <w:sz w:val="17"/>
                <w:szCs w:val="17"/>
                <w:color w:val="auto"/>
              </w:rPr>
              <w:t>$</w:t>
            </w:r>
          </w:p>
        </w:tc>
        <w:tc>
          <w:tcPr>
            <w:tcW w:w="1440" w:type="dxa"/>
            <w:vAlign w:val="bottom"/>
          </w:tcPr>
          <w:p>
            <w:pPr>
              <w:jc w:val="right"/>
              <w:ind w:right="156"/>
              <w:spacing w:after="0"/>
              <w:rPr>
                <w:sz w:val="20"/>
                <w:szCs w:val="20"/>
                <w:color w:val="auto"/>
              </w:rPr>
            </w:pPr>
            <w:r>
              <w:rPr>
                <w:rFonts w:ascii="Arial" w:cs="Arial" w:eastAsia="Arial" w:hAnsi="Arial"/>
                <w:sz w:val="17"/>
                <w:szCs w:val="17"/>
                <w:color w:val="auto"/>
              </w:rPr>
              <w:t>5,000,000</w:t>
            </w:r>
          </w:p>
        </w:tc>
        <w:tc>
          <w:tcPr>
            <w:tcW w:w="28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440" w:type="dxa"/>
            <w:vAlign w:val="bottom"/>
          </w:tcPr>
          <w:p>
            <w:pPr>
              <w:jc w:val="right"/>
              <w:ind w:right="156"/>
              <w:spacing w:after="0"/>
              <w:rPr>
                <w:sz w:val="20"/>
                <w:szCs w:val="20"/>
                <w:color w:val="auto"/>
              </w:rPr>
            </w:pPr>
            <w:r>
              <w:rPr>
                <w:rFonts w:ascii="Arial" w:cs="Arial" w:eastAsia="Arial" w:hAnsi="Arial"/>
                <w:sz w:val="17"/>
                <w:szCs w:val="17"/>
                <w:color w:val="auto"/>
              </w:rPr>
              <w:t>5,000,000</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1360" w:type="dxa"/>
            <w:vAlign w:val="bottom"/>
          </w:tcPr>
          <w:p>
            <w:pPr>
              <w:jc w:val="right"/>
              <w:ind w:right="76"/>
              <w:spacing w:after="0"/>
              <w:rPr>
                <w:sz w:val="20"/>
                <w:szCs w:val="20"/>
                <w:color w:val="auto"/>
              </w:rPr>
            </w:pPr>
            <w:r>
              <w:rPr>
                <w:rFonts w:ascii="Arial" w:cs="Arial" w:eastAsia="Arial" w:hAnsi="Arial"/>
                <w:sz w:val="17"/>
                <w:szCs w:val="17"/>
                <w:color w:val="auto"/>
              </w:rPr>
              <w:t>5,000,000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80" w:type="dxa"/>
            <w:vAlign w:val="bottom"/>
            <w:gridSpan w:val="4"/>
            <w:shd w:val="clear" w:color="auto" w:fill="CCEEFF"/>
          </w:tcPr>
          <w:p>
            <w:pPr>
              <w:ind w:left="140"/>
              <w:spacing w:after="0"/>
              <w:rPr>
                <w:sz w:val="20"/>
                <w:szCs w:val="20"/>
                <w:color w:val="auto"/>
              </w:rPr>
            </w:pPr>
            <w:r>
              <w:rPr>
                <w:rFonts w:ascii="Arial" w:cs="Arial" w:eastAsia="Arial" w:hAnsi="Arial"/>
                <w:sz w:val="17"/>
                <w:szCs w:val="17"/>
                <w:color w:val="auto"/>
              </w:rPr>
              <w:t>Expiration date</w:t>
            </w:r>
          </w:p>
        </w:tc>
        <w:tc>
          <w:tcPr>
            <w:tcW w:w="3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56"/>
              <w:spacing w:after="0"/>
              <w:rPr>
                <w:sz w:val="20"/>
                <w:szCs w:val="20"/>
                <w:color w:val="auto"/>
              </w:rPr>
            </w:pPr>
            <w:r>
              <w:rPr>
                <w:rFonts w:ascii="Arial" w:cs="Arial" w:eastAsia="Arial" w:hAnsi="Arial"/>
                <w:sz w:val="17"/>
                <w:szCs w:val="17"/>
                <w:color w:val="auto"/>
              </w:rPr>
              <w:t>June 30, 2019</w:t>
            </w:r>
          </w:p>
        </w:tc>
        <w:tc>
          <w:tcPr>
            <w:tcW w:w="28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56"/>
              <w:spacing w:after="0"/>
              <w:rPr>
                <w:sz w:val="20"/>
                <w:szCs w:val="20"/>
                <w:color w:val="auto"/>
              </w:rPr>
            </w:pPr>
            <w:r>
              <w:rPr>
                <w:rFonts w:ascii="Arial" w:cs="Arial" w:eastAsia="Arial" w:hAnsi="Arial"/>
                <w:sz w:val="17"/>
                <w:szCs w:val="17"/>
                <w:color w:val="auto"/>
              </w:rPr>
              <w:t>June 30, 2018</w:t>
            </w: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June 30, 2017</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6280" w:type="dxa"/>
            <w:vAlign w:val="bottom"/>
            <w:gridSpan w:val="4"/>
            <w:shd w:val="clear" w:color="auto" w:fill="CCEEFF"/>
          </w:tcPr>
          <w:p>
            <w:pPr>
              <w:spacing w:after="0" w:line="170" w:lineRule="exact"/>
              <w:rPr>
                <w:sz w:val="20"/>
                <w:szCs w:val="20"/>
                <w:color w:val="auto"/>
              </w:rPr>
            </w:pPr>
            <w:r>
              <w:rPr>
                <w:rFonts w:ascii="Arial" w:cs="Arial" w:eastAsia="Arial" w:hAnsi="Arial"/>
                <w:sz w:val="17"/>
                <w:szCs w:val="17"/>
                <w:color w:val="auto"/>
              </w:rPr>
              <w:t>Catastrophe Reinsurance:</w:t>
            </w:r>
          </w:p>
        </w:tc>
        <w:tc>
          <w:tcPr>
            <w:tcW w:w="34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0" w:type="dxa"/>
            <w:vAlign w:val="bottom"/>
            <w:shd w:val="clear" w:color="auto" w:fill="000000"/>
          </w:tcPr>
          <w:p>
            <w:pPr>
              <w:spacing w:after="0"/>
              <w:rPr>
                <w:sz w:val="3"/>
                <w:szCs w:val="3"/>
                <w:color w:val="auto"/>
              </w:rPr>
            </w:pPr>
          </w:p>
        </w:tc>
        <w:tc>
          <w:tcPr>
            <w:tcW w:w="240" w:type="dxa"/>
            <w:vAlign w:val="bottom"/>
            <w:shd w:val="clear" w:color="auto" w:fill="000000"/>
          </w:tcPr>
          <w:p>
            <w:pPr>
              <w:spacing w:after="0"/>
              <w:rPr>
                <w:sz w:val="3"/>
                <w:szCs w:val="3"/>
                <w:color w:val="auto"/>
              </w:rPr>
            </w:pPr>
          </w:p>
        </w:tc>
        <w:tc>
          <w:tcPr>
            <w:tcW w:w="440" w:type="dxa"/>
            <w:vAlign w:val="bottom"/>
            <w:shd w:val="clear" w:color="auto" w:fill="000000"/>
          </w:tcPr>
          <w:p>
            <w:pPr>
              <w:spacing w:after="0"/>
              <w:rPr>
                <w:sz w:val="3"/>
                <w:szCs w:val="3"/>
                <w:color w:val="auto"/>
              </w:rPr>
            </w:pPr>
          </w:p>
        </w:tc>
        <w:tc>
          <w:tcPr>
            <w:tcW w:w="460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44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44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36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280" w:type="dxa"/>
            <w:vAlign w:val="bottom"/>
            <w:gridSpan w:val="4"/>
          </w:tcPr>
          <w:p>
            <w:pPr>
              <w:ind w:left="140"/>
              <w:spacing w:after="0"/>
              <w:rPr>
                <w:sz w:val="20"/>
                <w:szCs w:val="20"/>
                <w:color w:val="auto"/>
              </w:rPr>
            </w:pPr>
            <w:r>
              <w:rPr>
                <w:rFonts w:ascii="Arial" w:cs="Arial" w:eastAsia="Arial" w:hAnsi="Arial"/>
                <w:sz w:val="17"/>
                <w:szCs w:val="17"/>
                <w:color w:val="auto"/>
              </w:rPr>
              <w:t>Initial loss subject to personal lines quota share treaty</w:t>
            </w:r>
          </w:p>
        </w:tc>
        <w:tc>
          <w:tcPr>
            <w:tcW w:w="340" w:type="dxa"/>
            <w:vAlign w:val="bottom"/>
          </w:tcPr>
          <w:p>
            <w:pPr>
              <w:jc w:val="right"/>
              <w:spacing w:after="0"/>
              <w:rPr>
                <w:sz w:val="20"/>
                <w:szCs w:val="20"/>
                <w:color w:val="auto"/>
              </w:rPr>
            </w:pPr>
            <w:r>
              <w:rPr>
                <w:rFonts w:ascii="Arial" w:cs="Arial" w:eastAsia="Arial" w:hAnsi="Arial"/>
                <w:sz w:val="17"/>
                <w:szCs w:val="17"/>
                <w:color w:val="auto"/>
              </w:rPr>
              <w:t>$</w:t>
            </w:r>
          </w:p>
        </w:tc>
        <w:tc>
          <w:tcPr>
            <w:tcW w:w="1440" w:type="dxa"/>
            <w:vAlign w:val="bottom"/>
          </w:tcPr>
          <w:p>
            <w:pPr>
              <w:jc w:val="right"/>
              <w:ind w:right="156"/>
              <w:spacing w:after="0"/>
              <w:rPr>
                <w:sz w:val="20"/>
                <w:szCs w:val="20"/>
                <w:color w:val="auto"/>
              </w:rPr>
            </w:pPr>
            <w:r>
              <w:rPr>
                <w:rFonts w:ascii="Arial" w:cs="Arial" w:eastAsia="Arial" w:hAnsi="Arial"/>
                <w:sz w:val="17"/>
                <w:szCs w:val="17"/>
                <w:color w:val="auto"/>
              </w:rPr>
              <w:t>5,000,000</w:t>
            </w:r>
          </w:p>
        </w:tc>
        <w:tc>
          <w:tcPr>
            <w:tcW w:w="28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440" w:type="dxa"/>
            <w:vAlign w:val="bottom"/>
          </w:tcPr>
          <w:p>
            <w:pPr>
              <w:jc w:val="right"/>
              <w:ind w:right="156"/>
              <w:spacing w:after="0"/>
              <w:rPr>
                <w:sz w:val="20"/>
                <w:szCs w:val="20"/>
                <w:color w:val="auto"/>
              </w:rPr>
            </w:pPr>
            <w:r>
              <w:rPr>
                <w:rFonts w:ascii="Arial" w:cs="Arial" w:eastAsia="Arial" w:hAnsi="Arial"/>
                <w:sz w:val="17"/>
                <w:szCs w:val="17"/>
                <w:color w:val="auto"/>
              </w:rPr>
              <w:t>5,000,000</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1360" w:type="dxa"/>
            <w:vAlign w:val="bottom"/>
          </w:tcPr>
          <w:p>
            <w:pPr>
              <w:jc w:val="right"/>
              <w:ind w:right="76"/>
              <w:spacing w:after="0"/>
              <w:rPr>
                <w:sz w:val="20"/>
                <w:szCs w:val="20"/>
                <w:color w:val="auto"/>
              </w:rPr>
            </w:pPr>
            <w:r>
              <w:rPr>
                <w:rFonts w:ascii="Arial" w:cs="Arial" w:eastAsia="Arial" w:hAnsi="Arial"/>
                <w:sz w:val="17"/>
                <w:szCs w:val="17"/>
                <w:color w:val="auto"/>
              </w:rPr>
              <w:t>5,000,000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80" w:type="dxa"/>
            <w:vAlign w:val="bottom"/>
            <w:gridSpan w:val="4"/>
            <w:shd w:val="clear" w:color="auto" w:fill="CCEEFF"/>
          </w:tcPr>
          <w:p>
            <w:pPr>
              <w:ind w:left="140"/>
              <w:spacing w:after="0"/>
              <w:rPr>
                <w:sz w:val="20"/>
                <w:szCs w:val="20"/>
                <w:color w:val="auto"/>
              </w:rPr>
            </w:pPr>
            <w:r>
              <w:rPr>
                <w:rFonts w:ascii="Arial" w:cs="Arial" w:eastAsia="Arial" w:hAnsi="Arial"/>
                <w:sz w:val="17"/>
                <w:szCs w:val="17"/>
                <w:color w:val="auto"/>
              </w:rPr>
              <w:t>Risk retained per catastrophe occurrence (2)</w:t>
            </w: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40" w:type="dxa"/>
            <w:vAlign w:val="bottom"/>
            <w:shd w:val="clear" w:color="auto" w:fill="CCEEFF"/>
          </w:tcPr>
          <w:p>
            <w:pPr>
              <w:jc w:val="right"/>
              <w:ind w:right="156"/>
              <w:spacing w:after="0"/>
              <w:rPr>
                <w:sz w:val="20"/>
                <w:szCs w:val="20"/>
                <w:color w:val="auto"/>
              </w:rPr>
            </w:pPr>
            <w:r>
              <w:rPr>
                <w:rFonts w:ascii="Arial" w:cs="Arial" w:eastAsia="Arial" w:hAnsi="Arial"/>
                <w:sz w:val="17"/>
                <w:szCs w:val="17"/>
                <w:color w:val="auto"/>
              </w:rPr>
              <w:t>4,500,000</w:t>
            </w:r>
          </w:p>
        </w:tc>
        <w:tc>
          <w:tcPr>
            <w:tcW w:w="28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440" w:type="dxa"/>
            <w:vAlign w:val="bottom"/>
            <w:shd w:val="clear" w:color="auto" w:fill="CCEEFF"/>
          </w:tcPr>
          <w:p>
            <w:pPr>
              <w:jc w:val="right"/>
              <w:ind w:right="156"/>
              <w:spacing w:after="0"/>
              <w:rPr>
                <w:sz w:val="20"/>
                <w:szCs w:val="20"/>
                <w:color w:val="auto"/>
              </w:rPr>
            </w:pPr>
            <w:r>
              <w:rPr>
                <w:rFonts w:ascii="Arial" w:cs="Arial" w:eastAsia="Arial" w:hAnsi="Arial"/>
                <w:sz w:val="17"/>
                <w:szCs w:val="17"/>
                <w:color w:val="auto"/>
              </w:rPr>
              <w:t>4,000,000</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3,000,000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80" w:type="dxa"/>
            <w:vAlign w:val="bottom"/>
            <w:gridSpan w:val="4"/>
          </w:tcPr>
          <w:p>
            <w:pPr>
              <w:ind w:left="140"/>
              <w:spacing w:after="0"/>
              <w:rPr>
                <w:sz w:val="20"/>
                <w:szCs w:val="20"/>
                <w:color w:val="auto"/>
              </w:rPr>
            </w:pPr>
            <w:r>
              <w:rPr>
                <w:rFonts w:ascii="Arial" w:cs="Arial" w:eastAsia="Arial" w:hAnsi="Arial"/>
                <w:sz w:val="17"/>
                <w:szCs w:val="17"/>
                <w:color w:val="auto"/>
              </w:rPr>
              <w:t>Catastrophe loss coverage in excess of quota share coverage (3) (4)</w:t>
            </w:r>
          </w:p>
        </w:tc>
        <w:tc>
          <w:tcPr>
            <w:tcW w:w="340" w:type="dxa"/>
            <w:vAlign w:val="bottom"/>
          </w:tcPr>
          <w:p>
            <w:pPr>
              <w:jc w:val="right"/>
              <w:spacing w:after="0"/>
              <w:rPr>
                <w:sz w:val="20"/>
                <w:szCs w:val="20"/>
                <w:color w:val="auto"/>
              </w:rPr>
            </w:pPr>
            <w:r>
              <w:rPr>
                <w:rFonts w:ascii="Arial" w:cs="Arial" w:eastAsia="Arial" w:hAnsi="Arial"/>
                <w:sz w:val="17"/>
                <w:szCs w:val="17"/>
                <w:color w:val="auto"/>
              </w:rPr>
              <w:t>$</w:t>
            </w:r>
          </w:p>
        </w:tc>
        <w:tc>
          <w:tcPr>
            <w:tcW w:w="1440" w:type="dxa"/>
            <w:vAlign w:val="bottom"/>
          </w:tcPr>
          <w:p>
            <w:pPr>
              <w:jc w:val="right"/>
              <w:ind w:right="156"/>
              <w:spacing w:after="0"/>
              <w:rPr>
                <w:sz w:val="20"/>
                <w:szCs w:val="20"/>
                <w:color w:val="auto"/>
              </w:rPr>
            </w:pPr>
            <w:r>
              <w:rPr>
                <w:rFonts w:ascii="Arial" w:cs="Arial" w:eastAsia="Arial" w:hAnsi="Arial"/>
                <w:sz w:val="17"/>
                <w:szCs w:val="17"/>
                <w:color w:val="auto"/>
              </w:rPr>
              <w:t>445,000,000</w:t>
            </w:r>
          </w:p>
        </w:tc>
        <w:tc>
          <w:tcPr>
            <w:tcW w:w="28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440" w:type="dxa"/>
            <w:vAlign w:val="bottom"/>
          </w:tcPr>
          <w:p>
            <w:pPr>
              <w:jc w:val="right"/>
              <w:ind w:right="156"/>
              <w:spacing w:after="0"/>
              <w:rPr>
                <w:sz w:val="20"/>
                <w:szCs w:val="20"/>
                <w:color w:val="auto"/>
              </w:rPr>
            </w:pPr>
            <w:r>
              <w:rPr>
                <w:rFonts w:ascii="Arial" w:cs="Arial" w:eastAsia="Arial" w:hAnsi="Arial"/>
                <w:sz w:val="17"/>
                <w:szCs w:val="17"/>
                <w:color w:val="auto"/>
              </w:rPr>
              <w:t>315,000,000</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1360" w:type="dxa"/>
            <w:vAlign w:val="bottom"/>
          </w:tcPr>
          <w:p>
            <w:pPr>
              <w:jc w:val="right"/>
              <w:ind w:right="76"/>
              <w:spacing w:after="0"/>
              <w:rPr>
                <w:sz w:val="20"/>
                <w:szCs w:val="20"/>
                <w:color w:val="auto"/>
              </w:rPr>
            </w:pPr>
            <w:r>
              <w:rPr>
                <w:rFonts w:ascii="Arial" w:cs="Arial" w:eastAsia="Arial" w:hAnsi="Arial"/>
                <w:sz w:val="17"/>
                <w:szCs w:val="17"/>
                <w:color w:val="auto"/>
              </w:rPr>
              <w:t>247,000,000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80" w:type="dxa"/>
            <w:vAlign w:val="bottom"/>
            <w:gridSpan w:val="4"/>
            <w:shd w:val="clear" w:color="auto" w:fill="CCEEFF"/>
          </w:tcPr>
          <w:p>
            <w:pPr>
              <w:ind w:left="140"/>
              <w:spacing w:after="0"/>
              <w:rPr>
                <w:sz w:val="20"/>
                <w:szCs w:val="20"/>
                <w:color w:val="auto"/>
              </w:rPr>
            </w:pPr>
            <w:r>
              <w:rPr>
                <w:rFonts w:ascii="Arial" w:cs="Arial" w:eastAsia="Arial" w:hAnsi="Arial"/>
                <w:sz w:val="17"/>
                <w:szCs w:val="17"/>
                <w:color w:val="auto"/>
              </w:rPr>
              <w:t>Reinstatement premium protection (5)</w:t>
            </w:r>
          </w:p>
        </w:tc>
        <w:tc>
          <w:tcPr>
            <w:tcW w:w="3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56"/>
              <w:spacing w:after="0"/>
              <w:rPr>
                <w:sz w:val="20"/>
                <w:szCs w:val="20"/>
                <w:color w:val="auto"/>
              </w:rPr>
            </w:pPr>
            <w:r>
              <w:rPr>
                <w:rFonts w:ascii="Arial" w:cs="Arial" w:eastAsia="Arial" w:hAnsi="Arial"/>
                <w:sz w:val="17"/>
                <w:szCs w:val="17"/>
                <w:color w:val="auto"/>
              </w:rPr>
              <w:t>Yes</w:t>
            </w:r>
          </w:p>
        </w:tc>
        <w:tc>
          <w:tcPr>
            <w:tcW w:w="28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56"/>
              <w:spacing w:after="0"/>
              <w:rPr>
                <w:sz w:val="20"/>
                <w:szCs w:val="20"/>
                <w:color w:val="auto"/>
              </w:rPr>
            </w:pPr>
            <w:r>
              <w:rPr>
                <w:rFonts w:ascii="Arial" w:cs="Arial" w:eastAsia="Arial" w:hAnsi="Arial"/>
                <w:sz w:val="17"/>
                <w:szCs w:val="17"/>
                <w:color w:val="auto"/>
              </w:rPr>
              <w:t>Yes</w:t>
            </w: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Yes</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320" w:hanging="315"/>
        <w:spacing w:after="0" w:line="260" w:lineRule="auto"/>
        <w:tabs>
          <w:tab w:leader="none" w:pos="3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For personal lines, the 2017/2019 Treaty includes the addition of an automatic facultative facility allowing KICO to obtain homeowners single risk coverage up to $10,000,000 in total insured value, which covers direct losses from $3,500,000 to $10,000,000.</w:t>
      </w:r>
    </w:p>
    <w:p>
      <w:pPr>
        <w:spacing w:after="0" w:line="1" w:lineRule="exact"/>
        <w:rPr>
          <w:rFonts w:ascii="Arial" w:cs="Arial" w:eastAsia="Arial" w:hAnsi="Arial"/>
          <w:sz w:val="17"/>
          <w:szCs w:val="17"/>
          <w:color w:val="auto"/>
        </w:rPr>
      </w:pPr>
    </w:p>
    <w:p>
      <w:pPr>
        <w:ind w:left="320" w:hanging="315"/>
        <w:spacing w:after="0"/>
        <w:tabs>
          <w:tab w:leader="none" w:pos="3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Plus losses in excess of catastrophe coverage.</w:t>
      </w:r>
    </w:p>
    <w:p>
      <w:pPr>
        <w:spacing w:after="0" w:line="13" w:lineRule="exact"/>
        <w:rPr>
          <w:rFonts w:ascii="Arial" w:cs="Arial" w:eastAsia="Arial" w:hAnsi="Arial"/>
          <w:sz w:val="17"/>
          <w:szCs w:val="17"/>
          <w:color w:val="auto"/>
        </w:rPr>
      </w:pPr>
    </w:p>
    <w:p>
      <w:pPr>
        <w:ind w:left="320" w:hanging="315"/>
        <w:spacing w:after="0" w:line="256" w:lineRule="auto"/>
        <w:tabs>
          <w:tab w:leader="none" w:pos="3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Catastrophe coverage is limited on an annual basis to two times the per occurrence amounts. Effective July 1, 2016, the duration of a catastrophe occurrence from windstorm, hail, tornado, hurricane and cyclone was extended to 168 consecutive hours from 120 consecutive hours.</w:t>
      </w:r>
    </w:p>
    <w:p>
      <w:pPr>
        <w:spacing w:after="0" w:line="1" w:lineRule="exact"/>
        <w:rPr>
          <w:rFonts w:ascii="Arial" w:cs="Arial" w:eastAsia="Arial" w:hAnsi="Arial"/>
          <w:sz w:val="17"/>
          <w:szCs w:val="17"/>
          <w:color w:val="auto"/>
        </w:rPr>
      </w:pPr>
    </w:p>
    <w:p>
      <w:pPr>
        <w:ind w:left="320" w:hanging="315"/>
        <w:spacing w:after="0"/>
        <w:tabs>
          <w:tab w:leader="none" w:pos="3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Effective July 1, 2018, the top $50,000,000 layer of catastrophe reinsurance coverage has a two-year term expiring on June 30, 2020.</w:t>
      </w:r>
    </w:p>
    <w:p>
      <w:pPr>
        <w:spacing w:after="0" w:line="13" w:lineRule="exact"/>
        <w:rPr>
          <w:rFonts w:ascii="Arial" w:cs="Arial" w:eastAsia="Arial" w:hAnsi="Arial"/>
          <w:sz w:val="17"/>
          <w:szCs w:val="17"/>
          <w:color w:val="auto"/>
        </w:rPr>
      </w:pPr>
    </w:p>
    <w:p>
      <w:pPr>
        <w:ind w:left="320" w:right="2640" w:hanging="315"/>
        <w:spacing w:after="0" w:line="316" w:lineRule="auto"/>
        <w:tabs>
          <w:tab w:leader="none" w:pos="320" w:val="left"/>
        </w:tabs>
        <w:numPr>
          <w:ilvl w:val="0"/>
          <w:numId w:val="21"/>
        </w:numPr>
        <w:rPr>
          <w:rFonts w:ascii="Arial" w:cs="Arial" w:eastAsia="Arial" w:hAnsi="Arial"/>
          <w:sz w:val="15"/>
          <w:szCs w:val="15"/>
          <w:color w:val="auto"/>
        </w:rPr>
      </w:pPr>
      <w:r>
        <w:rPr>
          <w:rFonts w:ascii="Arial" w:cs="Arial" w:eastAsia="Arial" w:hAnsi="Arial"/>
          <w:sz w:val="15"/>
          <w:szCs w:val="15"/>
          <w:color w:val="auto"/>
        </w:rPr>
        <w:t>Effective July 1, 2016, reinstatement premium protection for $20,000,000 of catastrophe coverage in excess of $5,000,000. Effective July 1, 2017, reinstatement premium protection for $145,000,000 of catastrophe coverage in excess of $5,000,000. Effective July 1, 2018, reinstatement premium protection for $210,000,000 of catastrophe coverage in excess of $5,000,000.</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25106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ectPr>
          <w:pgSz w:w="11900" w:h="16838" w:orient="portrait"/>
          <w:cols w:equalWidth="0" w:num="1">
            <w:col w:w="11420"/>
          </w:cols>
          <w:pgMar w:left="240" w:top="497" w:right="239" w:bottom="1440" w:gutter="0" w:footer="0" w:header="0"/>
        </w:sectPr>
      </w:pPr>
    </w:p>
    <w:bookmarkStart w:id="64" w:name="page65"/>
    <w:bookmarkEnd w:id="64"/>
    <w:p>
      <w:pPr>
        <w:ind w:left="320"/>
        <w:spacing w:after="0"/>
        <w:rPr>
          <w:sz w:val="20"/>
          <w:szCs w:val="20"/>
          <w:color w:val="auto"/>
        </w:rPr>
      </w:pPr>
      <w:r>
        <w:rPr>
          <w:rFonts w:ascii="Arial" w:cs="Arial" w:eastAsia="Arial" w:hAnsi="Arial"/>
          <w:sz w:val="17"/>
          <w:szCs w:val="17"/>
          <w:color w:val="auto"/>
        </w:rPr>
        <w:t>The single maximum risks per occurrence to which the Company is subject under the treaties effective July 1, 2018 are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45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Treaty</w:t>
            </w:r>
          </w:p>
        </w:tc>
        <w:tc>
          <w:tcPr>
            <w:tcW w:w="120" w:type="dxa"/>
            <w:vAlign w:val="bottom"/>
            <w:vMerge w:val="restart"/>
          </w:tcPr>
          <w:p>
            <w:pPr>
              <w:spacing w:after="0"/>
              <w:rPr>
                <w:sz w:val="15"/>
                <w:szCs w:val="15"/>
                <w:color w:val="auto"/>
              </w:rPr>
            </w:pPr>
          </w:p>
        </w:tc>
        <w:tc>
          <w:tcPr>
            <w:tcW w:w="4340" w:type="dxa"/>
            <w:vAlign w:val="bottom"/>
            <w:tcBorders>
              <w:bottom w:val="single" w:sz="8" w:color="auto"/>
            </w:tcBorders>
          </w:tcPr>
          <w:p>
            <w:pPr>
              <w:ind w:left="2520"/>
              <w:spacing w:after="0"/>
              <w:rPr>
                <w:sz w:val="20"/>
                <w:szCs w:val="20"/>
                <w:color w:val="auto"/>
              </w:rPr>
            </w:pPr>
            <w:r>
              <w:rPr>
                <w:rFonts w:ascii="Arial" w:cs="Arial" w:eastAsia="Arial" w:hAnsi="Arial"/>
                <w:sz w:val="14"/>
                <w:szCs w:val="14"/>
                <w:b w:val="1"/>
                <w:bCs w:val="1"/>
                <w:color w:val="auto"/>
                <w:w w:val="98"/>
              </w:rPr>
              <w:t>July 1, 2018 - June 30, 2019</w:t>
            </w:r>
          </w:p>
        </w:tc>
        <w:tc>
          <w:tcPr>
            <w:tcW w:w="10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458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4340" w:type="dxa"/>
            <w:vAlign w:val="bottom"/>
            <w:tcBorders>
              <w:bottom w:val="single" w:sz="8" w:color="auto"/>
            </w:tcBorders>
          </w:tcPr>
          <w:p>
            <w:pPr>
              <w:jc w:val="center"/>
              <w:spacing w:after="0" w:line="157" w:lineRule="exact"/>
              <w:rPr>
                <w:sz w:val="20"/>
                <w:szCs w:val="20"/>
                <w:color w:val="auto"/>
              </w:rPr>
            </w:pPr>
            <w:r>
              <w:rPr>
                <w:rFonts w:ascii="Arial" w:cs="Arial" w:eastAsia="Arial" w:hAnsi="Arial"/>
                <w:sz w:val="14"/>
                <w:szCs w:val="14"/>
                <w:b w:val="1"/>
                <w:bCs w:val="1"/>
                <w:color w:val="auto"/>
                <w:w w:val="89"/>
              </w:rPr>
              <w:t>Extent of Loss</w:t>
            </w:r>
          </w:p>
        </w:tc>
        <w:tc>
          <w:tcPr>
            <w:tcW w:w="100" w:type="dxa"/>
            <w:vAlign w:val="bottom"/>
          </w:tcPr>
          <w:p>
            <w:pPr>
              <w:spacing w:after="0"/>
              <w:rPr>
                <w:sz w:val="14"/>
                <w:szCs w:val="14"/>
                <w:color w:val="auto"/>
              </w:rPr>
            </w:pPr>
          </w:p>
        </w:tc>
        <w:tc>
          <w:tcPr>
            <w:tcW w:w="2280" w:type="dxa"/>
            <w:vAlign w:val="bottom"/>
            <w:tcBorders>
              <w:bottom w:val="single" w:sz="8" w:color="auto"/>
            </w:tcBorders>
          </w:tcPr>
          <w:p>
            <w:pPr>
              <w:jc w:val="center"/>
              <w:spacing w:after="0" w:line="157" w:lineRule="exact"/>
              <w:rPr>
                <w:sz w:val="20"/>
                <w:szCs w:val="20"/>
                <w:color w:val="auto"/>
              </w:rPr>
            </w:pPr>
            <w:r>
              <w:rPr>
                <w:rFonts w:ascii="Arial" w:cs="Arial" w:eastAsia="Arial" w:hAnsi="Arial"/>
                <w:sz w:val="14"/>
                <w:szCs w:val="14"/>
                <w:b w:val="1"/>
                <w:bCs w:val="1"/>
                <w:color w:val="auto"/>
                <w:w w:val="94"/>
              </w:rPr>
              <w:t>Risk Retained</w:t>
            </w:r>
          </w:p>
        </w:tc>
        <w:tc>
          <w:tcPr>
            <w:tcW w:w="0" w:type="dxa"/>
            <w:vAlign w:val="bottom"/>
          </w:tcPr>
          <w:p>
            <w:pPr>
              <w:spacing w:after="0"/>
              <w:rPr>
                <w:sz w:val="1"/>
                <w:szCs w:val="1"/>
                <w:color w:val="auto"/>
              </w:rPr>
            </w:pPr>
          </w:p>
        </w:tc>
      </w:tr>
      <w:tr>
        <w:trPr>
          <w:trHeight w:val="209"/>
        </w:trPr>
        <w:tc>
          <w:tcPr>
            <w:tcW w:w="4700" w:type="dxa"/>
            <w:vAlign w:val="bottom"/>
            <w:gridSpan w:val="2"/>
            <w:shd w:val="clear" w:color="auto" w:fill="CCEEFF"/>
          </w:tcPr>
          <w:p>
            <w:pPr>
              <w:jc w:val="center"/>
              <w:ind w:right="100"/>
              <w:spacing w:after="0"/>
              <w:rPr>
                <w:sz w:val="20"/>
                <w:szCs w:val="20"/>
                <w:color w:val="auto"/>
              </w:rPr>
            </w:pPr>
            <w:r>
              <w:rPr>
                <w:rFonts w:ascii="Arial" w:cs="Arial" w:eastAsia="Arial" w:hAnsi="Arial"/>
                <w:sz w:val="17"/>
                <w:szCs w:val="17"/>
                <w:color w:val="auto"/>
                <w:w w:val="89"/>
              </w:rPr>
              <w:t>Personal Lines (1)</w:t>
            </w:r>
          </w:p>
        </w:tc>
        <w:tc>
          <w:tcPr>
            <w:tcW w:w="43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Initial $1,000,000</w:t>
            </w:r>
          </w:p>
        </w:tc>
        <w:tc>
          <w:tcPr>
            <w:tcW w:w="2380" w:type="dxa"/>
            <w:vAlign w:val="bottom"/>
            <w:gridSpan w:val="2"/>
            <w:shd w:val="clear" w:color="auto" w:fill="CCEEFF"/>
          </w:tcPr>
          <w:p>
            <w:pPr>
              <w:jc w:val="center"/>
              <w:ind w:left="15"/>
              <w:spacing w:after="0"/>
              <w:rPr>
                <w:sz w:val="20"/>
                <w:szCs w:val="20"/>
                <w:color w:val="auto"/>
              </w:rPr>
            </w:pPr>
            <w:r>
              <w:rPr>
                <w:rFonts w:ascii="Arial" w:cs="Arial" w:eastAsia="Arial" w:hAnsi="Arial"/>
                <w:sz w:val="17"/>
                <w:szCs w:val="17"/>
                <w:color w:val="auto"/>
                <w:w w:val="90"/>
              </w:rPr>
              <w:t>$900,000</w:t>
            </w:r>
          </w:p>
        </w:tc>
        <w:tc>
          <w:tcPr>
            <w:tcW w:w="0" w:type="dxa"/>
            <w:vAlign w:val="bottom"/>
          </w:tcPr>
          <w:p>
            <w:pPr>
              <w:spacing w:after="0"/>
              <w:rPr>
                <w:sz w:val="1"/>
                <w:szCs w:val="1"/>
                <w:color w:val="auto"/>
              </w:rPr>
            </w:pPr>
          </w:p>
        </w:tc>
      </w:tr>
      <w:tr>
        <w:trPr>
          <w:trHeight w:val="209"/>
        </w:trPr>
        <w:tc>
          <w:tcPr>
            <w:tcW w:w="4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340" w:type="dxa"/>
            <w:vAlign w:val="bottom"/>
          </w:tcPr>
          <w:p>
            <w:pPr>
              <w:jc w:val="center"/>
              <w:spacing w:after="0"/>
              <w:rPr>
                <w:sz w:val="20"/>
                <w:szCs w:val="20"/>
                <w:color w:val="auto"/>
              </w:rPr>
            </w:pPr>
            <w:r>
              <w:rPr>
                <w:rFonts w:ascii="Arial" w:cs="Arial" w:eastAsia="Arial" w:hAnsi="Arial"/>
                <w:sz w:val="17"/>
                <w:szCs w:val="17"/>
                <w:color w:val="auto"/>
                <w:w w:val="90"/>
              </w:rPr>
              <w:t>$1,000,000 - $10,000,000</w:t>
            </w:r>
          </w:p>
        </w:tc>
        <w:tc>
          <w:tcPr>
            <w:tcW w:w="100" w:type="dxa"/>
            <w:vAlign w:val="bottom"/>
          </w:tcPr>
          <w:p>
            <w:pPr>
              <w:spacing w:after="0"/>
              <w:rPr>
                <w:sz w:val="18"/>
                <w:szCs w:val="18"/>
                <w:color w:val="auto"/>
              </w:rPr>
            </w:pPr>
          </w:p>
        </w:tc>
        <w:tc>
          <w:tcPr>
            <w:tcW w:w="2280" w:type="dxa"/>
            <w:vAlign w:val="bottom"/>
          </w:tcPr>
          <w:p>
            <w:pPr>
              <w:jc w:val="center"/>
              <w:spacing w:after="0"/>
              <w:rPr>
                <w:sz w:val="20"/>
                <w:szCs w:val="20"/>
                <w:color w:val="auto"/>
              </w:rPr>
            </w:pPr>
            <w:r>
              <w:rPr>
                <w:rFonts w:ascii="Arial" w:cs="Arial" w:eastAsia="Arial" w:hAnsi="Arial"/>
                <w:sz w:val="17"/>
                <w:szCs w:val="17"/>
                <w:color w:val="auto"/>
                <w:w w:val="94"/>
              </w:rPr>
              <w:t>None(2)</w:t>
            </w:r>
          </w:p>
        </w:tc>
        <w:tc>
          <w:tcPr>
            <w:tcW w:w="0" w:type="dxa"/>
            <w:vAlign w:val="bottom"/>
          </w:tcPr>
          <w:p>
            <w:pPr>
              <w:spacing w:after="0"/>
              <w:rPr>
                <w:sz w:val="1"/>
                <w:szCs w:val="1"/>
                <w:color w:val="auto"/>
              </w:rPr>
            </w:pPr>
          </w:p>
        </w:tc>
      </w:tr>
      <w:tr>
        <w:trPr>
          <w:trHeight w:val="209"/>
        </w:trPr>
        <w:tc>
          <w:tcPr>
            <w:tcW w:w="4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3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Over $10,000,000</w:t>
            </w:r>
          </w:p>
        </w:tc>
        <w:tc>
          <w:tcPr>
            <w:tcW w:w="2380" w:type="dxa"/>
            <w:vAlign w:val="bottom"/>
            <w:gridSpan w:val="2"/>
            <w:shd w:val="clear" w:color="auto" w:fill="CCEEFF"/>
          </w:tcPr>
          <w:p>
            <w:pPr>
              <w:jc w:val="center"/>
              <w:ind w:left="15"/>
              <w:spacing w:after="0"/>
              <w:rPr>
                <w:sz w:val="20"/>
                <w:szCs w:val="20"/>
                <w:color w:val="auto"/>
              </w:rPr>
            </w:pPr>
            <w:r>
              <w:rPr>
                <w:rFonts w:ascii="Arial" w:cs="Arial" w:eastAsia="Arial" w:hAnsi="Arial"/>
                <w:sz w:val="17"/>
                <w:szCs w:val="17"/>
                <w:color w:val="auto"/>
                <w:w w:val="91"/>
              </w:rPr>
              <w:t>100%</w:t>
            </w:r>
          </w:p>
        </w:tc>
        <w:tc>
          <w:tcPr>
            <w:tcW w:w="0" w:type="dxa"/>
            <w:vAlign w:val="bottom"/>
          </w:tcPr>
          <w:p>
            <w:pPr>
              <w:spacing w:after="0"/>
              <w:rPr>
                <w:sz w:val="1"/>
                <w:szCs w:val="1"/>
                <w:color w:val="auto"/>
              </w:rPr>
            </w:pPr>
          </w:p>
        </w:tc>
      </w:tr>
      <w:tr>
        <w:trPr>
          <w:trHeight w:val="209"/>
        </w:trPr>
        <w:tc>
          <w:tcPr>
            <w:tcW w:w="4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00" w:type="dxa"/>
            <w:vAlign w:val="bottom"/>
            <w:gridSpan w:val="2"/>
            <w:shd w:val="clear" w:color="auto" w:fill="CCEEFF"/>
          </w:tcPr>
          <w:p>
            <w:pPr>
              <w:jc w:val="center"/>
              <w:ind w:right="120"/>
              <w:spacing w:after="0"/>
              <w:rPr>
                <w:sz w:val="20"/>
                <w:szCs w:val="20"/>
                <w:color w:val="auto"/>
              </w:rPr>
            </w:pPr>
            <w:r>
              <w:rPr>
                <w:rFonts w:ascii="Arial" w:cs="Arial" w:eastAsia="Arial" w:hAnsi="Arial"/>
                <w:sz w:val="17"/>
                <w:szCs w:val="17"/>
                <w:color w:val="auto"/>
                <w:w w:val="90"/>
              </w:rPr>
              <w:t>Personal Umbrella</w:t>
            </w:r>
          </w:p>
        </w:tc>
        <w:tc>
          <w:tcPr>
            <w:tcW w:w="43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Initial $1,000,000</w:t>
            </w:r>
          </w:p>
        </w:tc>
        <w:tc>
          <w:tcPr>
            <w:tcW w:w="2380" w:type="dxa"/>
            <w:vAlign w:val="bottom"/>
            <w:gridSpan w:val="2"/>
            <w:shd w:val="clear" w:color="auto" w:fill="CCEEFF"/>
          </w:tcPr>
          <w:p>
            <w:pPr>
              <w:jc w:val="center"/>
              <w:ind w:left="15"/>
              <w:spacing w:after="0"/>
              <w:rPr>
                <w:sz w:val="20"/>
                <w:szCs w:val="20"/>
                <w:color w:val="auto"/>
              </w:rPr>
            </w:pPr>
            <w:r>
              <w:rPr>
                <w:rFonts w:ascii="Arial" w:cs="Arial" w:eastAsia="Arial" w:hAnsi="Arial"/>
                <w:sz w:val="17"/>
                <w:szCs w:val="17"/>
                <w:color w:val="auto"/>
                <w:w w:val="90"/>
              </w:rPr>
              <w:t>$100,000</w:t>
            </w:r>
          </w:p>
        </w:tc>
        <w:tc>
          <w:tcPr>
            <w:tcW w:w="0" w:type="dxa"/>
            <w:vAlign w:val="bottom"/>
          </w:tcPr>
          <w:p>
            <w:pPr>
              <w:spacing w:after="0"/>
              <w:rPr>
                <w:sz w:val="1"/>
                <w:szCs w:val="1"/>
                <w:color w:val="auto"/>
              </w:rPr>
            </w:pPr>
          </w:p>
        </w:tc>
      </w:tr>
      <w:tr>
        <w:trPr>
          <w:trHeight w:val="209"/>
        </w:trPr>
        <w:tc>
          <w:tcPr>
            <w:tcW w:w="4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340" w:type="dxa"/>
            <w:vAlign w:val="bottom"/>
          </w:tcPr>
          <w:p>
            <w:pPr>
              <w:jc w:val="center"/>
              <w:spacing w:after="0"/>
              <w:rPr>
                <w:sz w:val="20"/>
                <w:szCs w:val="20"/>
                <w:color w:val="auto"/>
              </w:rPr>
            </w:pPr>
            <w:r>
              <w:rPr>
                <w:rFonts w:ascii="Arial" w:cs="Arial" w:eastAsia="Arial" w:hAnsi="Arial"/>
                <w:sz w:val="17"/>
                <w:szCs w:val="17"/>
                <w:color w:val="auto"/>
                <w:w w:val="89"/>
              </w:rPr>
              <w:t>$1,000,000 - $5,000,000</w:t>
            </w:r>
          </w:p>
        </w:tc>
        <w:tc>
          <w:tcPr>
            <w:tcW w:w="100" w:type="dxa"/>
            <w:vAlign w:val="bottom"/>
          </w:tcPr>
          <w:p>
            <w:pPr>
              <w:spacing w:after="0"/>
              <w:rPr>
                <w:sz w:val="18"/>
                <w:szCs w:val="18"/>
                <w:color w:val="auto"/>
              </w:rPr>
            </w:pPr>
          </w:p>
        </w:tc>
        <w:tc>
          <w:tcPr>
            <w:tcW w:w="2280" w:type="dxa"/>
            <w:vAlign w:val="bottom"/>
          </w:tcPr>
          <w:p>
            <w:pPr>
              <w:jc w:val="center"/>
              <w:spacing w:after="0"/>
              <w:rPr>
                <w:sz w:val="20"/>
                <w:szCs w:val="20"/>
                <w:color w:val="auto"/>
              </w:rPr>
            </w:pPr>
            <w:r>
              <w:rPr>
                <w:rFonts w:ascii="Arial" w:cs="Arial" w:eastAsia="Arial" w:hAnsi="Arial"/>
                <w:sz w:val="17"/>
                <w:szCs w:val="17"/>
                <w:color w:val="auto"/>
                <w:w w:val="93"/>
              </w:rPr>
              <w:t>None</w:t>
            </w:r>
          </w:p>
        </w:tc>
        <w:tc>
          <w:tcPr>
            <w:tcW w:w="0" w:type="dxa"/>
            <w:vAlign w:val="bottom"/>
          </w:tcPr>
          <w:p>
            <w:pPr>
              <w:spacing w:after="0"/>
              <w:rPr>
                <w:sz w:val="1"/>
                <w:szCs w:val="1"/>
                <w:color w:val="auto"/>
              </w:rPr>
            </w:pPr>
          </w:p>
        </w:tc>
      </w:tr>
      <w:tr>
        <w:trPr>
          <w:trHeight w:val="209"/>
        </w:trPr>
        <w:tc>
          <w:tcPr>
            <w:tcW w:w="4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3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Over $5,000,000</w:t>
            </w:r>
          </w:p>
        </w:tc>
        <w:tc>
          <w:tcPr>
            <w:tcW w:w="2380" w:type="dxa"/>
            <w:vAlign w:val="bottom"/>
            <w:gridSpan w:val="2"/>
            <w:shd w:val="clear" w:color="auto" w:fill="CCEEFF"/>
          </w:tcPr>
          <w:p>
            <w:pPr>
              <w:jc w:val="center"/>
              <w:ind w:left="15"/>
              <w:spacing w:after="0"/>
              <w:rPr>
                <w:sz w:val="20"/>
                <w:szCs w:val="20"/>
                <w:color w:val="auto"/>
              </w:rPr>
            </w:pPr>
            <w:r>
              <w:rPr>
                <w:rFonts w:ascii="Arial" w:cs="Arial" w:eastAsia="Arial" w:hAnsi="Arial"/>
                <w:sz w:val="17"/>
                <w:szCs w:val="17"/>
                <w:color w:val="auto"/>
                <w:w w:val="91"/>
              </w:rPr>
              <w:t>100%</w:t>
            </w:r>
          </w:p>
        </w:tc>
        <w:tc>
          <w:tcPr>
            <w:tcW w:w="0" w:type="dxa"/>
            <w:vAlign w:val="bottom"/>
          </w:tcPr>
          <w:p>
            <w:pPr>
              <w:spacing w:after="0"/>
              <w:rPr>
                <w:sz w:val="1"/>
                <w:szCs w:val="1"/>
                <w:color w:val="auto"/>
              </w:rPr>
            </w:pPr>
          </w:p>
        </w:tc>
      </w:tr>
      <w:tr>
        <w:trPr>
          <w:trHeight w:val="209"/>
        </w:trPr>
        <w:tc>
          <w:tcPr>
            <w:tcW w:w="4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00" w:type="dxa"/>
            <w:vAlign w:val="bottom"/>
            <w:gridSpan w:val="2"/>
            <w:shd w:val="clear" w:color="auto" w:fill="CCEEFF"/>
          </w:tcPr>
          <w:p>
            <w:pPr>
              <w:jc w:val="center"/>
              <w:ind w:right="120"/>
              <w:spacing w:after="0"/>
              <w:rPr>
                <w:sz w:val="20"/>
                <w:szCs w:val="20"/>
                <w:color w:val="auto"/>
              </w:rPr>
            </w:pPr>
            <w:r>
              <w:rPr>
                <w:rFonts w:ascii="Arial" w:cs="Arial" w:eastAsia="Arial" w:hAnsi="Arial"/>
                <w:sz w:val="17"/>
                <w:szCs w:val="17"/>
                <w:color w:val="auto"/>
                <w:w w:val="92"/>
              </w:rPr>
              <w:t>Commercial Lines</w:t>
            </w:r>
          </w:p>
        </w:tc>
        <w:tc>
          <w:tcPr>
            <w:tcW w:w="43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5"/>
              </w:rPr>
              <w:t>Initial $750,000</w:t>
            </w:r>
          </w:p>
        </w:tc>
        <w:tc>
          <w:tcPr>
            <w:tcW w:w="2380" w:type="dxa"/>
            <w:vAlign w:val="bottom"/>
            <w:gridSpan w:val="2"/>
            <w:shd w:val="clear" w:color="auto" w:fill="CCEEFF"/>
          </w:tcPr>
          <w:p>
            <w:pPr>
              <w:jc w:val="center"/>
              <w:ind w:left="15"/>
              <w:spacing w:after="0"/>
              <w:rPr>
                <w:sz w:val="20"/>
                <w:szCs w:val="20"/>
                <w:color w:val="auto"/>
              </w:rPr>
            </w:pPr>
            <w:r>
              <w:rPr>
                <w:rFonts w:ascii="Arial" w:cs="Arial" w:eastAsia="Arial" w:hAnsi="Arial"/>
                <w:sz w:val="17"/>
                <w:szCs w:val="17"/>
                <w:color w:val="auto"/>
                <w:w w:val="90"/>
              </w:rPr>
              <w:t>$750,000</w:t>
            </w:r>
          </w:p>
        </w:tc>
        <w:tc>
          <w:tcPr>
            <w:tcW w:w="0" w:type="dxa"/>
            <w:vAlign w:val="bottom"/>
          </w:tcPr>
          <w:p>
            <w:pPr>
              <w:spacing w:after="0"/>
              <w:rPr>
                <w:sz w:val="1"/>
                <w:szCs w:val="1"/>
                <w:color w:val="auto"/>
              </w:rPr>
            </w:pPr>
          </w:p>
        </w:tc>
      </w:tr>
      <w:tr>
        <w:trPr>
          <w:trHeight w:val="209"/>
        </w:trPr>
        <w:tc>
          <w:tcPr>
            <w:tcW w:w="4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340" w:type="dxa"/>
            <w:vAlign w:val="bottom"/>
          </w:tcPr>
          <w:p>
            <w:pPr>
              <w:jc w:val="center"/>
              <w:spacing w:after="0"/>
              <w:rPr>
                <w:sz w:val="20"/>
                <w:szCs w:val="20"/>
                <w:color w:val="auto"/>
              </w:rPr>
            </w:pPr>
            <w:r>
              <w:rPr>
                <w:rFonts w:ascii="Arial" w:cs="Arial" w:eastAsia="Arial" w:hAnsi="Arial"/>
                <w:sz w:val="17"/>
                <w:szCs w:val="17"/>
                <w:color w:val="auto"/>
                <w:w w:val="89"/>
              </w:rPr>
              <w:t>$750,000 - $4,500,000</w:t>
            </w:r>
          </w:p>
        </w:tc>
        <w:tc>
          <w:tcPr>
            <w:tcW w:w="100" w:type="dxa"/>
            <w:vAlign w:val="bottom"/>
          </w:tcPr>
          <w:p>
            <w:pPr>
              <w:spacing w:after="0"/>
              <w:rPr>
                <w:sz w:val="18"/>
                <w:szCs w:val="18"/>
                <w:color w:val="auto"/>
              </w:rPr>
            </w:pPr>
          </w:p>
        </w:tc>
        <w:tc>
          <w:tcPr>
            <w:tcW w:w="2280" w:type="dxa"/>
            <w:vAlign w:val="bottom"/>
          </w:tcPr>
          <w:p>
            <w:pPr>
              <w:jc w:val="center"/>
              <w:spacing w:after="0"/>
              <w:rPr>
                <w:sz w:val="20"/>
                <w:szCs w:val="20"/>
                <w:color w:val="auto"/>
              </w:rPr>
            </w:pPr>
            <w:r>
              <w:rPr>
                <w:rFonts w:ascii="Arial" w:cs="Arial" w:eastAsia="Arial" w:hAnsi="Arial"/>
                <w:sz w:val="17"/>
                <w:szCs w:val="17"/>
                <w:color w:val="auto"/>
                <w:w w:val="94"/>
              </w:rPr>
              <w:t>None(3)</w:t>
            </w:r>
          </w:p>
        </w:tc>
        <w:tc>
          <w:tcPr>
            <w:tcW w:w="0" w:type="dxa"/>
            <w:vAlign w:val="bottom"/>
          </w:tcPr>
          <w:p>
            <w:pPr>
              <w:spacing w:after="0"/>
              <w:rPr>
                <w:sz w:val="1"/>
                <w:szCs w:val="1"/>
                <w:color w:val="auto"/>
              </w:rPr>
            </w:pPr>
          </w:p>
        </w:tc>
      </w:tr>
      <w:tr>
        <w:trPr>
          <w:trHeight w:val="209"/>
        </w:trPr>
        <w:tc>
          <w:tcPr>
            <w:tcW w:w="4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3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Over $4,500,000</w:t>
            </w:r>
          </w:p>
        </w:tc>
        <w:tc>
          <w:tcPr>
            <w:tcW w:w="2380" w:type="dxa"/>
            <w:vAlign w:val="bottom"/>
            <w:gridSpan w:val="2"/>
            <w:shd w:val="clear" w:color="auto" w:fill="CCEEFF"/>
          </w:tcPr>
          <w:p>
            <w:pPr>
              <w:jc w:val="center"/>
              <w:ind w:left="15"/>
              <w:spacing w:after="0"/>
              <w:rPr>
                <w:sz w:val="20"/>
                <w:szCs w:val="20"/>
                <w:color w:val="auto"/>
              </w:rPr>
            </w:pPr>
            <w:r>
              <w:rPr>
                <w:rFonts w:ascii="Arial" w:cs="Arial" w:eastAsia="Arial" w:hAnsi="Arial"/>
                <w:sz w:val="17"/>
                <w:szCs w:val="17"/>
                <w:color w:val="auto"/>
                <w:w w:val="91"/>
              </w:rPr>
              <w:t>100%</w:t>
            </w:r>
          </w:p>
        </w:tc>
        <w:tc>
          <w:tcPr>
            <w:tcW w:w="0" w:type="dxa"/>
            <w:vAlign w:val="bottom"/>
          </w:tcPr>
          <w:p>
            <w:pPr>
              <w:spacing w:after="0"/>
              <w:rPr>
                <w:sz w:val="1"/>
                <w:szCs w:val="1"/>
                <w:color w:val="auto"/>
              </w:rPr>
            </w:pPr>
          </w:p>
        </w:tc>
      </w:tr>
      <w:tr>
        <w:trPr>
          <w:trHeight w:val="209"/>
        </w:trPr>
        <w:tc>
          <w:tcPr>
            <w:tcW w:w="4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00" w:type="dxa"/>
            <w:vAlign w:val="bottom"/>
            <w:gridSpan w:val="2"/>
            <w:shd w:val="clear" w:color="auto" w:fill="CCEEFF"/>
          </w:tcPr>
          <w:p>
            <w:pPr>
              <w:jc w:val="center"/>
              <w:ind w:right="100"/>
              <w:spacing w:after="0"/>
              <w:rPr>
                <w:sz w:val="20"/>
                <w:szCs w:val="20"/>
                <w:color w:val="auto"/>
              </w:rPr>
            </w:pPr>
            <w:r>
              <w:rPr>
                <w:rFonts w:ascii="Arial" w:cs="Arial" w:eastAsia="Arial" w:hAnsi="Arial"/>
                <w:sz w:val="17"/>
                <w:szCs w:val="17"/>
                <w:color w:val="auto"/>
                <w:w w:val="93"/>
              </w:rPr>
              <w:t>Commercial Umbrella</w:t>
            </w:r>
          </w:p>
        </w:tc>
        <w:tc>
          <w:tcPr>
            <w:tcW w:w="43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Initial $1,000,000</w:t>
            </w:r>
          </w:p>
        </w:tc>
        <w:tc>
          <w:tcPr>
            <w:tcW w:w="2380" w:type="dxa"/>
            <w:vAlign w:val="bottom"/>
            <w:gridSpan w:val="2"/>
            <w:shd w:val="clear" w:color="auto" w:fill="CCEEFF"/>
          </w:tcPr>
          <w:p>
            <w:pPr>
              <w:jc w:val="center"/>
              <w:ind w:left="15"/>
              <w:spacing w:after="0"/>
              <w:rPr>
                <w:sz w:val="20"/>
                <w:szCs w:val="20"/>
                <w:color w:val="auto"/>
              </w:rPr>
            </w:pPr>
            <w:r>
              <w:rPr>
                <w:rFonts w:ascii="Arial" w:cs="Arial" w:eastAsia="Arial" w:hAnsi="Arial"/>
                <w:sz w:val="17"/>
                <w:szCs w:val="17"/>
                <w:color w:val="auto"/>
                <w:w w:val="90"/>
              </w:rPr>
              <w:t>$100,000</w:t>
            </w:r>
          </w:p>
        </w:tc>
        <w:tc>
          <w:tcPr>
            <w:tcW w:w="0" w:type="dxa"/>
            <w:vAlign w:val="bottom"/>
          </w:tcPr>
          <w:p>
            <w:pPr>
              <w:spacing w:after="0"/>
              <w:rPr>
                <w:sz w:val="1"/>
                <w:szCs w:val="1"/>
                <w:color w:val="auto"/>
              </w:rPr>
            </w:pPr>
          </w:p>
        </w:tc>
      </w:tr>
      <w:tr>
        <w:trPr>
          <w:trHeight w:val="209"/>
        </w:trPr>
        <w:tc>
          <w:tcPr>
            <w:tcW w:w="4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340" w:type="dxa"/>
            <w:vAlign w:val="bottom"/>
          </w:tcPr>
          <w:p>
            <w:pPr>
              <w:jc w:val="center"/>
              <w:spacing w:after="0"/>
              <w:rPr>
                <w:sz w:val="20"/>
                <w:szCs w:val="20"/>
                <w:color w:val="auto"/>
              </w:rPr>
            </w:pPr>
            <w:r>
              <w:rPr>
                <w:rFonts w:ascii="Arial" w:cs="Arial" w:eastAsia="Arial" w:hAnsi="Arial"/>
                <w:sz w:val="17"/>
                <w:szCs w:val="17"/>
                <w:color w:val="auto"/>
                <w:w w:val="89"/>
              </w:rPr>
              <w:t>$1,000,000 - $5,000,000</w:t>
            </w:r>
          </w:p>
        </w:tc>
        <w:tc>
          <w:tcPr>
            <w:tcW w:w="100" w:type="dxa"/>
            <w:vAlign w:val="bottom"/>
          </w:tcPr>
          <w:p>
            <w:pPr>
              <w:spacing w:after="0"/>
              <w:rPr>
                <w:sz w:val="18"/>
                <w:szCs w:val="18"/>
                <w:color w:val="auto"/>
              </w:rPr>
            </w:pPr>
          </w:p>
        </w:tc>
        <w:tc>
          <w:tcPr>
            <w:tcW w:w="2280" w:type="dxa"/>
            <w:vAlign w:val="bottom"/>
          </w:tcPr>
          <w:p>
            <w:pPr>
              <w:jc w:val="center"/>
              <w:spacing w:after="0"/>
              <w:rPr>
                <w:sz w:val="20"/>
                <w:szCs w:val="20"/>
                <w:color w:val="auto"/>
              </w:rPr>
            </w:pPr>
            <w:r>
              <w:rPr>
                <w:rFonts w:ascii="Arial" w:cs="Arial" w:eastAsia="Arial" w:hAnsi="Arial"/>
                <w:sz w:val="17"/>
                <w:szCs w:val="17"/>
                <w:color w:val="auto"/>
                <w:w w:val="93"/>
              </w:rPr>
              <w:t>None</w:t>
            </w:r>
          </w:p>
        </w:tc>
        <w:tc>
          <w:tcPr>
            <w:tcW w:w="0" w:type="dxa"/>
            <w:vAlign w:val="bottom"/>
          </w:tcPr>
          <w:p>
            <w:pPr>
              <w:spacing w:after="0"/>
              <w:rPr>
                <w:sz w:val="1"/>
                <w:szCs w:val="1"/>
                <w:color w:val="auto"/>
              </w:rPr>
            </w:pPr>
          </w:p>
        </w:tc>
      </w:tr>
      <w:tr>
        <w:trPr>
          <w:trHeight w:val="209"/>
        </w:trPr>
        <w:tc>
          <w:tcPr>
            <w:tcW w:w="4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3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Over $5,000,000</w:t>
            </w:r>
          </w:p>
        </w:tc>
        <w:tc>
          <w:tcPr>
            <w:tcW w:w="2380" w:type="dxa"/>
            <w:vAlign w:val="bottom"/>
            <w:gridSpan w:val="2"/>
            <w:shd w:val="clear" w:color="auto" w:fill="CCEEFF"/>
          </w:tcPr>
          <w:p>
            <w:pPr>
              <w:jc w:val="center"/>
              <w:ind w:left="15"/>
              <w:spacing w:after="0"/>
              <w:rPr>
                <w:sz w:val="20"/>
                <w:szCs w:val="20"/>
                <w:color w:val="auto"/>
              </w:rPr>
            </w:pPr>
            <w:r>
              <w:rPr>
                <w:rFonts w:ascii="Arial" w:cs="Arial" w:eastAsia="Arial" w:hAnsi="Arial"/>
                <w:sz w:val="17"/>
                <w:szCs w:val="17"/>
                <w:color w:val="auto"/>
                <w:w w:val="91"/>
              </w:rPr>
              <w:t>100%</w:t>
            </w:r>
          </w:p>
        </w:tc>
        <w:tc>
          <w:tcPr>
            <w:tcW w:w="0" w:type="dxa"/>
            <w:vAlign w:val="bottom"/>
          </w:tcPr>
          <w:p>
            <w:pPr>
              <w:spacing w:after="0"/>
              <w:rPr>
                <w:sz w:val="1"/>
                <w:szCs w:val="1"/>
                <w:color w:val="auto"/>
              </w:rPr>
            </w:pPr>
          </w:p>
        </w:tc>
      </w:tr>
      <w:tr>
        <w:trPr>
          <w:trHeight w:val="209"/>
        </w:trPr>
        <w:tc>
          <w:tcPr>
            <w:tcW w:w="4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00" w:type="dxa"/>
            <w:vAlign w:val="bottom"/>
            <w:gridSpan w:val="2"/>
            <w:shd w:val="clear" w:color="auto" w:fill="CCEEFF"/>
          </w:tcPr>
          <w:p>
            <w:pPr>
              <w:jc w:val="center"/>
              <w:ind w:right="120"/>
              <w:spacing w:after="0"/>
              <w:rPr>
                <w:sz w:val="20"/>
                <w:szCs w:val="20"/>
                <w:color w:val="auto"/>
              </w:rPr>
            </w:pPr>
            <w:r>
              <w:rPr>
                <w:rFonts w:ascii="Arial" w:cs="Arial" w:eastAsia="Arial" w:hAnsi="Arial"/>
                <w:sz w:val="17"/>
                <w:szCs w:val="17"/>
                <w:color w:val="auto"/>
                <w:w w:val="89"/>
              </w:rPr>
              <w:t>Catastrophe (4)</w:t>
            </w:r>
          </w:p>
        </w:tc>
        <w:tc>
          <w:tcPr>
            <w:tcW w:w="43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Initial $5,000,000</w:t>
            </w:r>
          </w:p>
        </w:tc>
        <w:tc>
          <w:tcPr>
            <w:tcW w:w="2380" w:type="dxa"/>
            <w:vAlign w:val="bottom"/>
            <w:gridSpan w:val="2"/>
            <w:shd w:val="clear" w:color="auto" w:fill="CCEEFF"/>
          </w:tcPr>
          <w:p>
            <w:pPr>
              <w:jc w:val="center"/>
              <w:ind w:left="15"/>
              <w:spacing w:after="0"/>
              <w:rPr>
                <w:sz w:val="20"/>
                <w:szCs w:val="20"/>
                <w:color w:val="auto"/>
              </w:rPr>
            </w:pPr>
            <w:r>
              <w:rPr>
                <w:rFonts w:ascii="Arial" w:cs="Arial" w:eastAsia="Arial" w:hAnsi="Arial"/>
                <w:sz w:val="17"/>
                <w:szCs w:val="17"/>
                <w:color w:val="auto"/>
                <w:w w:val="89"/>
              </w:rPr>
              <w:t>$4,500,000</w:t>
            </w:r>
          </w:p>
        </w:tc>
        <w:tc>
          <w:tcPr>
            <w:tcW w:w="0" w:type="dxa"/>
            <w:vAlign w:val="bottom"/>
          </w:tcPr>
          <w:p>
            <w:pPr>
              <w:spacing w:after="0"/>
              <w:rPr>
                <w:sz w:val="1"/>
                <w:szCs w:val="1"/>
                <w:color w:val="auto"/>
              </w:rPr>
            </w:pPr>
          </w:p>
        </w:tc>
      </w:tr>
      <w:tr>
        <w:trPr>
          <w:trHeight w:val="209"/>
        </w:trPr>
        <w:tc>
          <w:tcPr>
            <w:tcW w:w="4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340" w:type="dxa"/>
            <w:vAlign w:val="bottom"/>
          </w:tcPr>
          <w:p>
            <w:pPr>
              <w:jc w:val="center"/>
              <w:spacing w:after="0"/>
              <w:rPr>
                <w:sz w:val="20"/>
                <w:szCs w:val="20"/>
                <w:color w:val="auto"/>
              </w:rPr>
            </w:pPr>
            <w:r>
              <w:rPr>
                <w:rFonts w:ascii="Arial" w:cs="Arial" w:eastAsia="Arial" w:hAnsi="Arial"/>
                <w:sz w:val="17"/>
                <w:szCs w:val="17"/>
                <w:color w:val="auto"/>
                <w:w w:val="90"/>
              </w:rPr>
              <w:t>$5,000,000 - $450,000,000</w:t>
            </w:r>
          </w:p>
        </w:tc>
        <w:tc>
          <w:tcPr>
            <w:tcW w:w="100" w:type="dxa"/>
            <w:vAlign w:val="bottom"/>
          </w:tcPr>
          <w:p>
            <w:pPr>
              <w:spacing w:after="0"/>
              <w:rPr>
                <w:sz w:val="18"/>
                <w:szCs w:val="18"/>
                <w:color w:val="auto"/>
              </w:rPr>
            </w:pPr>
          </w:p>
        </w:tc>
        <w:tc>
          <w:tcPr>
            <w:tcW w:w="2280" w:type="dxa"/>
            <w:vAlign w:val="bottom"/>
          </w:tcPr>
          <w:p>
            <w:pPr>
              <w:jc w:val="center"/>
              <w:spacing w:after="0"/>
              <w:rPr>
                <w:sz w:val="20"/>
                <w:szCs w:val="20"/>
                <w:color w:val="auto"/>
              </w:rPr>
            </w:pPr>
            <w:r>
              <w:rPr>
                <w:rFonts w:ascii="Arial" w:cs="Arial" w:eastAsia="Arial" w:hAnsi="Arial"/>
                <w:sz w:val="17"/>
                <w:szCs w:val="17"/>
                <w:color w:val="auto"/>
                <w:w w:val="93"/>
              </w:rPr>
              <w:t>None</w:t>
            </w:r>
          </w:p>
        </w:tc>
        <w:tc>
          <w:tcPr>
            <w:tcW w:w="0" w:type="dxa"/>
            <w:vAlign w:val="bottom"/>
          </w:tcPr>
          <w:p>
            <w:pPr>
              <w:spacing w:after="0"/>
              <w:rPr>
                <w:sz w:val="1"/>
                <w:szCs w:val="1"/>
                <w:color w:val="auto"/>
              </w:rPr>
            </w:pPr>
          </w:p>
        </w:tc>
      </w:tr>
      <w:tr>
        <w:trPr>
          <w:trHeight w:val="209"/>
        </w:trPr>
        <w:tc>
          <w:tcPr>
            <w:tcW w:w="4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3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0"/>
              </w:rPr>
              <w:t>Over $450,000,000</w:t>
            </w:r>
          </w:p>
        </w:tc>
        <w:tc>
          <w:tcPr>
            <w:tcW w:w="2380" w:type="dxa"/>
            <w:vAlign w:val="bottom"/>
            <w:gridSpan w:val="2"/>
            <w:shd w:val="clear" w:color="auto" w:fill="CCEEFF"/>
          </w:tcPr>
          <w:p>
            <w:pPr>
              <w:jc w:val="center"/>
              <w:ind w:left="15"/>
              <w:spacing w:after="0"/>
              <w:rPr>
                <w:sz w:val="20"/>
                <w:szCs w:val="20"/>
                <w:color w:val="auto"/>
              </w:rPr>
            </w:pPr>
            <w:r>
              <w:rPr>
                <w:rFonts w:ascii="Arial" w:cs="Arial" w:eastAsia="Arial" w:hAnsi="Arial"/>
                <w:sz w:val="17"/>
                <w:szCs w:val="17"/>
                <w:color w:val="auto"/>
                <w:w w:val="91"/>
              </w:rPr>
              <w:t>100%</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320" w:hanging="315"/>
        <w:spacing w:after="0"/>
        <w:tabs>
          <w:tab w:leader="none" w:pos="3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Treaty for July 1, 2018 – June 30, 2019 is a two-year treaty with expiration date of June 30, 2019.</w:t>
      </w:r>
    </w:p>
    <w:p>
      <w:pPr>
        <w:spacing w:after="0" w:line="20" w:lineRule="exact"/>
        <w:rPr>
          <w:rFonts w:ascii="Arial" w:cs="Arial" w:eastAsia="Arial" w:hAnsi="Arial"/>
          <w:sz w:val="17"/>
          <w:szCs w:val="17"/>
          <w:color w:val="auto"/>
        </w:rPr>
      </w:pPr>
    </w:p>
    <w:p>
      <w:pPr>
        <w:ind w:left="320" w:hanging="315"/>
        <w:spacing w:after="0"/>
        <w:tabs>
          <w:tab w:leader="none" w:pos="3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Covered by excess of loss treaties up to $3,500,000 and by facultative facility from $3,500,000 to $10,000,000.</w:t>
      </w:r>
    </w:p>
    <w:p>
      <w:pPr>
        <w:spacing w:after="0" w:line="13" w:lineRule="exact"/>
        <w:rPr>
          <w:rFonts w:ascii="Arial" w:cs="Arial" w:eastAsia="Arial" w:hAnsi="Arial"/>
          <w:sz w:val="17"/>
          <w:szCs w:val="17"/>
          <w:color w:val="auto"/>
        </w:rPr>
      </w:pPr>
    </w:p>
    <w:p>
      <w:pPr>
        <w:ind w:left="320" w:hanging="315"/>
        <w:spacing w:after="0"/>
        <w:tabs>
          <w:tab w:leader="none" w:pos="3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Covered by excess of loss treaties.</w:t>
      </w:r>
    </w:p>
    <w:p>
      <w:pPr>
        <w:spacing w:after="0" w:line="13" w:lineRule="exact"/>
        <w:rPr>
          <w:rFonts w:ascii="Arial" w:cs="Arial" w:eastAsia="Arial" w:hAnsi="Arial"/>
          <w:sz w:val="17"/>
          <w:szCs w:val="17"/>
          <w:color w:val="auto"/>
        </w:rPr>
      </w:pPr>
    </w:p>
    <w:p>
      <w:pPr>
        <w:ind w:left="320" w:hanging="315"/>
        <w:spacing w:after="0"/>
        <w:tabs>
          <w:tab w:leader="none" w:pos="3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Catastrophe coverage is limited on an annual basis to two times the per occurrence amounts.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25106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ectPr>
          <w:pgSz w:w="11900" w:h="16838" w:orient="portrait"/>
          <w:cols w:equalWidth="0" w:num="1">
            <w:col w:w="11420"/>
          </w:cols>
          <w:pgMar w:left="240" w:top="432" w:right="239" w:bottom="1440" w:gutter="0" w:footer="0" w:header="0"/>
        </w:sectPr>
      </w:pPr>
    </w:p>
    <w:bookmarkStart w:id="65" w:name="page66"/>
    <w:bookmarkEnd w:id="65"/>
    <w:p>
      <w:pPr>
        <w:ind w:left="640"/>
        <w:spacing w:after="0"/>
        <w:rPr>
          <w:sz w:val="20"/>
          <w:szCs w:val="20"/>
          <w:color w:val="auto"/>
        </w:rPr>
      </w:pPr>
      <w:r>
        <w:rPr>
          <w:rFonts w:ascii="Arial" w:cs="Arial" w:eastAsia="Arial" w:hAnsi="Arial"/>
          <w:sz w:val="17"/>
          <w:szCs w:val="17"/>
          <w:color w:val="auto"/>
        </w:rPr>
        <w:t>The single maximum risks per occurrence to which the Company is subject under the treaty years shown below are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20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Treaty</w:t>
            </w:r>
          </w:p>
        </w:tc>
        <w:tc>
          <w:tcPr>
            <w:tcW w:w="100" w:type="dxa"/>
            <w:vAlign w:val="bottom"/>
            <w:vMerge w:val="restart"/>
          </w:tcPr>
          <w:p>
            <w:pPr>
              <w:spacing w:after="0"/>
              <w:rPr>
                <w:sz w:val="15"/>
                <w:szCs w:val="15"/>
                <w:color w:val="auto"/>
              </w:rPr>
            </w:pPr>
          </w:p>
        </w:tc>
        <w:tc>
          <w:tcPr>
            <w:tcW w:w="3220" w:type="dxa"/>
            <w:vAlign w:val="bottom"/>
            <w:tcBorders>
              <w:bottom w:val="single" w:sz="8" w:color="auto"/>
            </w:tcBorders>
            <w:gridSpan w:val="3"/>
          </w:tcPr>
          <w:p>
            <w:pPr>
              <w:ind w:left="1460"/>
              <w:spacing w:after="0"/>
              <w:rPr>
                <w:sz w:val="20"/>
                <w:szCs w:val="20"/>
                <w:color w:val="auto"/>
              </w:rPr>
            </w:pPr>
            <w:r>
              <w:rPr>
                <w:rFonts w:ascii="Arial" w:cs="Arial" w:eastAsia="Arial" w:hAnsi="Arial"/>
                <w:sz w:val="14"/>
                <w:szCs w:val="14"/>
                <w:b w:val="1"/>
                <w:bCs w:val="1"/>
                <w:color w:val="auto"/>
                <w:w w:val="95"/>
              </w:rPr>
              <w:t>July 1, 2017 - June 30, 2018</w:t>
            </w:r>
          </w:p>
        </w:tc>
        <w:tc>
          <w:tcPr>
            <w:tcW w:w="13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200" w:type="dxa"/>
            <w:vAlign w:val="bottom"/>
            <w:tcBorders>
              <w:bottom w:val="single" w:sz="8" w:color="auto"/>
            </w:tcBorders>
            <w:gridSpan w:val="3"/>
          </w:tcPr>
          <w:p>
            <w:pPr>
              <w:ind w:left="1440"/>
              <w:spacing w:after="0"/>
              <w:rPr>
                <w:sz w:val="20"/>
                <w:szCs w:val="20"/>
                <w:color w:val="auto"/>
              </w:rPr>
            </w:pPr>
            <w:r>
              <w:rPr>
                <w:rFonts w:ascii="Arial" w:cs="Arial" w:eastAsia="Arial" w:hAnsi="Arial"/>
                <w:sz w:val="14"/>
                <w:szCs w:val="14"/>
                <w:b w:val="1"/>
                <w:bCs w:val="1"/>
                <w:color w:val="auto"/>
                <w:w w:val="95"/>
              </w:rPr>
              <w:t>July 1, 2016 - June 30, 2017</w:t>
            </w:r>
          </w:p>
        </w:tc>
        <w:tc>
          <w:tcPr>
            <w:tcW w:w="13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Range of Loss</w:t>
            </w: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216"/>
              <w:spacing w:after="0"/>
              <w:rPr>
                <w:sz w:val="20"/>
                <w:szCs w:val="20"/>
                <w:color w:val="auto"/>
              </w:rPr>
            </w:pPr>
            <w:r>
              <w:rPr>
                <w:rFonts w:ascii="Arial" w:cs="Arial" w:eastAsia="Arial" w:hAnsi="Arial"/>
                <w:sz w:val="14"/>
                <w:szCs w:val="14"/>
                <w:b w:val="1"/>
                <w:bCs w:val="1"/>
                <w:color w:val="auto"/>
                <w:w w:val="92"/>
              </w:rPr>
              <w:t>Risk Retained</w:t>
            </w:r>
          </w:p>
        </w:tc>
        <w:tc>
          <w:tcPr>
            <w:tcW w:w="120" w:type="dxa"/>
            <w:vAlign w:val="bottom"/>
          </w:tcPr>
          <w:p>
            <w:pPr>
              <w:spacing w:after="0"/>
              <w:rPr>
                <w:sz w:val="16"/>
                <w:szCs w:val="16"/>
                <w:color w:val="auto"/>
              </w:rPr>
            </w:pPr>
          </w:p>
        </w:tc>
        <w:tc>
          <w:tcPr>
            <w:tcW w:w="2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Range of Loss</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236"/>
              <w:spacing w:after="0"/>
              <w:rPr>
                <w:sz w:val="20"/>
                <w:szCs w:val="20"/>
                <w:color w:val="auto"/>
              </w:rPr>
            </w:pPr>
            <w:r>
              <w:rPr>
                <w:rFonts w:ascii="Arial" w:cs="Arial" w:eastAsia="Arial" w:hAnsi="Arial"/>
                <w:sz w:val="14"/>
                <w:szCs w:val="14"/>
                <w:b w:val="1"/>
                <w:bCs w:val="1"/>
                <w:color w:val="auto"/>
                <w:w w:val="92"/>
              </w:rPr>
              <w:t>Risk Retained</w:t>
            </w:r>
          </w:p>
        </w:tc>
        <w:tc>
          <w:tcPr>
            <w:tcW w:w="0" w:type="dxa"/>
            <w:vAlign w:val="bottom"/>
          </w:tcPr>
          <w:p>
            <w:pPr>
              <w:spacing w:after="0"/>
              <w:rPr>
                <w:sz w:val="1"/>
                <w:szCs w:val="1"/>
                <w:color w:val="auto"/>
              </w:rPr>
            </w:pPr>
          </w:p>
        </w:tc>
      </w:tr>
      <w:tr>
        <w:trPr>
          <w:trHeight w:val="209"/>
        </w:trPr>
        <w:tc>
          <w:tcPr>
            <w:tcW w:w="2180" w:type="dxa"/>
            <w:vAlign w:val="bottom"/>
            <w:gridSpan w:val="2"/>
            <w:shd w:val="clear" w:color="auto" w:fill="CCEEFF"/>
          </w:tcPr>
          <w:p>
            <w:pPr>
              <w:jc w:val="center"/>
              <w:ind w:right="100"/>
              <w:spacing w:after="0"/>
              <w:rPr>
                <w:sz w:val="20"/>
                <w:szCs w:val="20"/>
                <w:color w:val="auto"/>
              </w:rPr>
            </w:pPr>
            <w:r>
              <w:rPr>
                <w:rFonts w:ascii="Arial" w:cs="Arial" w:eastAsia="Arial" w:hAnsi="Arial"/>
                <w:sz w:val="17"/>
                <w:szCs w:val="17"/>
                <w:color w:val="auto"/>
                <w:w w:val="89"/>
              </w:rPr>
              <w:t>Personal Lines (1)</w:t>
            </w:r>
          </w:p>
        </w:tc>
        <w:tc>
          <w:tcPr>
            <w:tcW w:w="3220" w:type="dxa"/>
            <w:vAlign w:val="bottom"/>
            <w:gridSpan w:val="3"/>
            <w:shd w:val="clear" w:color="auto" w:fill="CCEEFF"/>
          </w:tcPr>
          <w:p>
            <w:pPr>
              <w:jc w:val="center"/>
              <w:ind w:right="400"/>
              <w:spacing w:after="0"/>
              <w:rPr>
                <w:sz w:val="20"/>
                <w:szCs w:val="20"/>
                <w:color w:val="auto"/>
              </w:rPr>
            </w:pPr>
            <w:r>
              <w:rPr>
                <w:rFonts w:ascii="Arial" w:cs="Arial" w:eastAsia="Arial" w:hAnsi="Arial"/>
                <w:sz w:val="17"/>
                <w:szCs w:val="17"/>
                <w:color w:val="auto"/>
                <w:w w:val="94"/>
              </w:rPr>
              <w:t>Initial $1,000,000</w:t>
            </w:r>
          </w:p>
        </w:tc>
        <w:tc>
          <w:tcPr>
            <w:tcW w:w="1360" w:type="dxa"/>
            <w:vAlign w:val="bottom"/>
            <w:shd w:val="clear" w:color="auto" w:fill="CCEEFF"/>
          </w:tcPr>
          <w:p>
            <w:pPr>
              <w:jc w:val="center"/>
              <w:ind w:right="256"/>
              <w:spacing w:after="0"/>
              <w:rPr>
                <w:sz w:val="20"/>
                <w:szCs w:val="20"/>
                <w:color w:val="auto"/>
              </w:rPr>
            </w:pPr>
            <w:r>
              <w:rPr>
                <w:rFonts w:ascii="Arial" w:cs="Arial" w:eastAsia="Arial" w:hAnsi="Arial"/>
                <w:sz w:val="17"/>
                <w:szCs w:val="17"/>
                <w:color w:val="auto"/>
                <w:w w:val="87"/>
              </w:rPr>
              <w:t>$800,000</w:t>
            </w:r>
          </w:p>
        </w:tc>
        <w:tc>
          <w:tcPr>
            <w:tcW w:w="120" w:type="dxa"/>
            <w:vAlign w:val="bottom"/>
            <w:shd w:val="clear" w:color="auto" w:fill="CCEEFF"/>
          </w:tcPr>
          <w:p>
            <w:pPr>
              <w:spacing w:after="0"/>
              <w:rPr>
                <w:sz w:val="18"/>
                <w:szCs w:val="18"/>
                <w:color w:val="auto"/>
              </w:rPr>
            </w:pPr>
          </w:p>
        </w:tc>
        <w:tc>
          <w:tcPr>
            <w:tcW w:w="3200" w:type="dxa"/>
            <w:vAlign w:val="bottom"/>
            <w:gridSpan w:val="3"/>
            <w:shd w:val="clear" w:color="auto" w:fill="CCEEFF"/>
          </w:tcPr>
          <w:p>
            <w:pPr>
              <w:jc w:val="center"/>
              <w:ind w:right="420"/>
              <w:spacing w:after="0"/>
              <w:rPr>
                <w:sz w:val="20"/>
                <w:szCs w:val="20"/>
                <w:color w:val="auto"/>
              </w:rPr>
            </w:pPr>
            <w:r>
              <w:rPr>
                <w:rFonts w:ascii="Arial" w:cs="Arial" w:eastAsia="Arial" w:hAnsi="Arial"/>
                <w:sz w:val="17"/>
                <w:szCs w:val="17"/>
                <w:color w:val="auto"/>
                <w:w w:val="95"/>
              </w:rPr>
              <w:t>Initial $833,333</w:t>
            </w:r>
          </w:p>
        </w:tc>
        <w:tc>
          <w:tcPr>
            <w:tcW w:w="1340" w:type="dxa"/>
            <w:vAlign w:val="bottom"/>
            <w:shd w:val="clear" w:color="auto" w:fill="CCEEFF"/>
          </w:tcPr>
          <w:p>
            <w:pPr>
              <w:jc w:val="center"/>
              <w:ind w:right="256"/>
              <w:spacing w:after="0"/>
              <w:rPr>
                <w:sz w:val="20"/>
                <w:szCs w:val="20"/>
                <w:color w:val="auto"/>
              </w:rPr>
            </w:pPr>
            <w:r>
              <w:rPr>
                <w:rFonts w:ascii="Arial" w:cs="Arial" w:eastAsia="Arial" w:hAnsi="Arial"/>
                <w:sz w:val="17"/>
                <w:szCs w:val="17"/>
                <w:color w:val="auto"/>
                <w:w w:val="90"/>
              </w:rPr>
              <w:t>$500,000</w:t>
            </w:r>
          </w:p>
        </w:tc>
        <w:tc>
          <w:tcPr>
            <w:tcW w:w="0" w:type="dxa"/>
            <w:vAlign w:val="bottom"/>
          </w:tcPr>
          <w:p>
            <w:pPr>
              <w:spacing w:after="0"/>
              <w:rPr>
                <w:sz w:val="1"/>
                <w:szCs w:val="1"/>
                <w:color w:val="auto"/>
              </w:rPr>
            </w:pPr>
          </w:p>
        </w:tc>
      </w:tr>
      <w:tr>
        <w:trPr>
          <w:trHeight w:val="209"/>
        </w:trPr>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jc w:val="center"/>
              <w:spacing w:after="0"/>
              <w:rPr>
                <w:sz w:val="20"/>
                <w:szCs w:val="20"/>
                <w:color w:val="auto"/>
              </w:rPr>
            </w:pPr>
            <w:r>
              <w:rPr>
                <w:rFonts w:ascii="Arial" w:cs="Arial" w:eastAsia="Arial" w:hAnsi="Arial"/>
                <w:sz w:val="17"/>
                <w:szCs w:val="17"/>
                <w:color w:val="auto"/>
                <w:w w:val="90"/>
              </w:rPr>
              <w:t>$1,000,000 - $10,000,000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jc w:val="center"/>
              <w:ind w:right="216"/>
              <w:spacing w:after="0"/>
              <w:rPr>
                <w:sz w:val="20"/>
                <w:szCs w:val="20"/>
                <w:color w:val="auto"/>
              </w:rPr>
            </w:pPr>
            <w:r>
              <w:rPr>
                <w:rFonts w:ascii="Arial" w:cs="Arial" w:eastAsia="Arial" w:hAnsi="Arial"/>
                <w:sz w:val="17"/>
                <w:szCs w:val="17"/>
                <w:color w:val="auto"/>
                <w:w w:val="94"/>
              </w:rPr>
              <w:t>None(2)</w:t>
            </w:r>
          </w:p>
        </w:tc>
        <w:tc>
          <w:tcPr>
            <w:tcW w:w="2860" w:type="dxa"/>
            <w:vAlign w:val="bottom"/>
            <w:gridSpan w:val="2"/>
          </w:tcPr>
          <w:p>
            <w:pPr>
              <w:jc w:val="center"/>
              <w:ind w:left="75"/>
              <w:spacing w:after="0"/>
              <w:rPr>
                <w:sz w:val="20"/>
                <w:szCs w:val="20"/>
                <w:color w:val="auto"/>
              </w:rPr>
            </w:pPr>
            <w:r>
              <w:rPr>
                <w:rFonts w:ascii="Arial" w:cs="Arial" w:eastAsia="Arial" w:hAnsi="Arial"/>
                <w:sz w:val="17"/>
                <w:szCs w:val="17"/>
                <w:color w:val="auto"/>
                <w:w w:val="89"/>
              </w:rPr>
              <w:t>$833,333 - $4,500,000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jc w:val="center"/>
              <w:ind w:right="216"/>
              <w:spacing w:after="0"/>
              <w:rPr>
                <w:sz w:val="20"/>
                <w:szCs w:val="20"/>
                <w:color w:val="auto"/>
              </w:rPr>
            </w:pPr>
            <w:r>
              <w:rPr>
                <w:rFonts w:ascii="Arial" w:cs="Arial" w:eastAsia="Arial" w:hAnsi="Arial"/>
                <w:sz w:val="17"/>
                <w:szCs w:val="17"/>
                <w:color w:val="auto"/>
                <w:w w:val="91"/>
              </w:rPr>
              <w:t>None(3)</w:t>
            </w:r>
          </w:p>
        </w:tc>
        <w:tc>
          <w:tcPr>
            <w:tcW w:w="0" w:type="dxa"/>
            <w:vAlign w:val="bottom"/>
          </w:tcPr>
          <w:p>
            <w:pPr>
              <w:spacing w:after="0"/>
              <w:rPr>
                <w:sz w:val="1"/>
                <w:szCs w:val="1"/>
                <w:color w:val="auto"/>
              </w:rPr>
            </w:pPr>
          </w:p>
        </w:tc>
      </w:tr>
      <w:tr>
        <w:trPr>
          <w:trHeight w:val="209"/>
        </w:trPr>
        <w:tc>
          <w:tcPr>
            <w:tcW w:w="2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20" w:type="dxa"/>
            <w:vAlign w:val="bottom"/>
            <w:gridSpan w:val="3"/>
            <w:shd w:val="clear" w:color="auto" w:fill="CCEEFF"/>
          </w:tcPr>
          <w:p>
            <w:pPr>
              <w:jc w:val="center"/>
              <w:ind w:right="420"/>
              <w:spacing w:after="0"/>
              <w:rPr>
                <w:sz w:val="20"/>
                <w:szCs w:val="20"/>
                <w:color w:val="auto"/>
              </w:rPr>
            </w:pPr>
            <w:r>
              <w:rPr>
                <w:rFonts w:ascii="Arial" w:cs="Arial" w:eastAsia="Arial" w:hAnsi="Arial"/>
                <w:sz w:val="17"/>
                <w:szCs w:val="17"/>
                <w:color w:val="auto"/>
                <w:w w:val="91"/>
              </w:rPr>
              <w:t>Over $10,000,000</w:t>
            </w:r>
          </w:p>
        </w:tc>
        <w:tc>
          <w:tcPr>
            <w:tcW w:w="1360" w:type="dxa"/>
            <w:vAlign w:val="bottom"/>
            <w:shd w:val="clear" w:color="auto" w:fill="CCEEFF"/>
          </w:tcPr>
          <w:p>
            <w:pPr>
              <w:jc w:val="center"/>
              <w:ind w:right="256"/>
              <w:spacing w:after="0"/>
              <w:rPr>
                <w:sz w:val="20"/>
                <w:szCs w:val="20"/>
                <w:color w:val="auto"/>
              </w:rPr>
            </w:pPr>
            <w:r>
              <w:rPr>
                <w:rFonts w:ascii="Arial" w:cs="Arial" w:eastAsia="Arial" w:hAnsi="Arial"/>
                <w:sz w:val="17"/>
                <w:szCs w:val="17"/>
                <w:color w:val="auto"/>
                <w:w w:val="87"/>
              </w:rPr>
              <w:t>100%</w:t>
            </w:r>
          </w:p>
        </w:tc>
        <w:tc>
          <w:tcPr>
            <w:tcW w:w="120" w:type="dxa"/>
            <w:vAlign w:val="bottom"/>
            <w:shd w:val="clear" w:color="auto" w:fill="CCEEFF"/>
          </w:tcPr>
          <w:p>
            <w:pPr>
              <w:spacing w:after="0"/>
              <w:rPr>
                <w:sz w:val="18"/>
                <w:szCs w:val="18"/>
                <w:color w:val="auto"/>
              </w:rPr>
            </w:pPr>
          </w:p>
        </w:tc>
        <w:tc>
          <w:tcPr>
            <w:tcW w:w="3200" w:type="dxa"/>
            <w:vAlign w:val="bottom"/>
            <w:gridSpan w:val="3"/>
            <w:shd w:val="clear" w:color="auto" w:fill="CCEEFF"/>
          </w:tcPr>
          <w:p>
            <w:pPr>
              <w:jc w:val="center"/>
              <w:ind w:right="420"/>
              <w:spacing w:after="0"/>
              <w:rPr>
                <w:sz w:val="20"/>
                <w:szCs w:val="20"/>
                <w:color w:val="auto"/>
              </w:rPr>
            </w:pPr>
            <w:r>
              <w:rPr>
                <w:rFonts w:ascii="Arial" w:cs="Arial" w:eastAsia="Arial" w:hAnsi="Arial"/>
                <w:sz w:val="17"/>
                <w:szCs w:val="17"/>
                <w:color w:val="auto"/>
                <w:w w:val="89"/>
              </w:rPr>
              <w:t>Over $4,500,000</w:t>
            </w:r>
          </w:p>
        </w:tc>
        <w:tc>
          <w:tcPr>
            <w:tcW w:w="1340" w:type="dxa"/>
            <w:vAlign w:val="bottom"/>
            <w:shd w:val="clear" w:color="auto" w:fill="CCEEFF"/>
          </w:tcPr>
          <w:p>
            <w:pPr>
              <w:jc w:val="center"/>
              <w:ind w:right="256"/>
              <w:spacing w:after="0"/>
              <w:rPr>
                <w:sz w:val="20"/>
                <w:szCs w:val="20"/>
                <w:color w:val="auto"/>
              </w:rPr>
            </w:pPr>
            <w:r>
              <w:rPr>
                <w:rFonts w:ascii="Arial" w:cs="Arial" w:eastAsia="Arial" w:hAnsi="Arial"/>
                <w:sz w:val="17"/>
                <w:szCs w:val="17"/>
                <w:color w:val="auto"/>
                <w:w w:val="91"/>
              </w:rPr>
              <w:t>100%</w:t>
            </w:r>
          </w:p>
        </w:tc>
        <w:tc>
          <w:tcPr>
            <w:tcW w:w="0" w:type="dxa"/>
            <w:vAlign w:val="bottom"/>
          </w:tcPr>
          <w:p>
            <w:pPr>
              <w:spacing w:after="0"/>
              <w:rPr>
                <w:sz w:val="1"/>
                <w:szCs w:val="1"/>
                <w:color w:val="auto"/>
              </w:rPr>
            </w:pPr>
          </w:p>
        </w:tc>
      </w:tr>
      <w:tr>
        <w:trPr>
          <w:trHeight w:val="209"/>
        </w:trPr>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180" w:type="dxa"/>
            <w:vAlign w:val="bottom"/>
            <w:gridSpan w:val="2"/>
            <w:shd w:val="clear" w:color="auto" w:fill="CCEEFF"/>
          </w:tcPr>
          <w:p>
            <w:pPr>
              <w:jc w:val="center"/>
              <w:ind w:right="100"/>
              <w:spacing w:after="0"/>
              <w:rPr>
                <w:sz w:val="20"/>
                <w:szCs w:val="20"/>
                <w:color w:val="auto"/>
              </w:rPr>
            </w:pPr>
            <w:r>
              <w:rPr>
                <w:rFonts w:ascii="Arial" w:cs="Arial" w:eastAsia="Arial" w:hAnsi="Arial"/>
                <w:sz w:val="17"/>
                <w:szCs w:val="17"/>
                <w:color w:val="auto"/>
                <w:w w:val="91"/>
              </w:rPr>
              <w:t>Personal Umbrella</w:t>
            </w:r>
          </w:p>
        </w:tc>
        <w:tc>
          <w:tcPr>
            <w:tcW w:w="3220" w:type="dxa"/>
            <w:vAlign w:val="bottom"/>
            <w:gridSpan w:val="3"/>
            <w:shd w:val="clear" w:color="auto" w:fill="CCEEFF"/>
          </w:tcPr>
          <w:p>
            <w:pPr>
              <w:jc w:val="center"/>
              <w:ind w:right="400"/>
              <w:spacing w:after="0"/>
              <w:rPr>
                <w:sz w:val="20"/>
                <w:szCs w:val="20"/>
                <w:color w:val="auto"/>
              </w:rPr>
            </w:pPr>
            <w:r>
              <w:rPr>
                <w:rFonts w:ascii="Arial" w:cs="Arial" w:eastAsia="Arial" w:hAnsi="Arial"/>
                <w:sz w:val="17"/>
                <w:szCs w:val="17"/>
                <w:color w:val="auto"/>
                <w:w w:val="94"/>
              </w:rPr>
              <w:t>Initial $1,000,000</w:t>
            </w:r>
          </w:p>
        </w:tc>
        <w:tc>
          <w:tcPr>
            <w:tcW w:w="1360" w:type="dxa"/>
            <w:vAlign w:val="bottom"/>
            <w:shd w:val="clear" w:color="auto" w:fill="CCEEFF"/>
          </w:tcPr>
          <w:p>
            <w:pPr>
              <w:jc w:val="center"/>
              <w:ind w:right="256"/>
              <w:spacing w:after="0"/>
              <w:rPr>
                <w:sz w:val="20"/>
                <w:szCs w:val="20"/>
                <w:color w:val="auto"/>
              </w:rPr>
            </w:pPr>
            <w:r>
              <w:rPr>
                <w:rFonts w:ascii="Arial" w:cs="Arial" w:eastAsia="Arial" w:hAnsi="Arial"/>
                <w:sz w:val="17"/>
                <w:szCs w:val="17"/>
                <w:color w:val="auto"/>
                <w:w w:val="87"/>
              </w:rPr>
              <w:t>$100,000</w:t>
            </w:r>
          </w:p>
        </w:tc>
        <w:tc>
          <w:tcPr>
            <w:tcW w:w="120" w:type="dxa"/>
            <w:vAlign w:val="bottom"/>
            <w:shd w:val="clear" w:color="auto" w:fill="CCEEFF"/>
          </w:tcPr>
          <w:p>
            <w:pPr>
              <w:spacing w:after="0"/>
              <w:rPr>
                <w:sz w:val="18"/>
                <w:szCs w:val="18"/>
                <w:color w:val="auto"/>
              </w:rPr>
            </w:pPr>
          </w:p>
        </w:tc>
        <w:tc>
          <w:tcPr>
            <w:tcW w:w="3200" w:type="dxa"/>
            <w:vAlign w:val="bottom"/>
            <w:gridSpan w:val="3"/>
            <w:shd w:val="clear" w:color="auto" w:fill="CCEEFF"/>
          </w:tcPr>
          <w:p>
            <w:pPr>
              <w:jc w:val="center"/>
              <w:ind w:right="420"/>
              <w:spacing w:after="0"/>
              <w:rPr>
                <w:sz w:val="20"/>
                <w:szCs w:val="20"/>
                <w:color w:val="auto"/>
              </w:rPr>
            </w:pPr>
            <w:r>
              <w:rPr>
                <w:rFonts w:ascii="Arial" w:cs="Arial" w:eastAsia="Arial" w:hAnsi="Arial"/>
                <w:sz w:val="17"/>
                <w:szCs w:val="17"/>
                <w:color w:val="auto"/>
                <w:w w:val="94"/>
              </w:rPr>
              <w:t>Initial $1,000,000</w:t>
            </w:r>
          </w:p>
        </w:tc>
        <w:tc>
          <w:tcPr>
            <w:tcW w:w="1340" w:type="dxa"/>
            <w:vAlign w:val="bottom"/>
            <w:shd w:val="clear" w:color="auto" w:fill="CCEEFF"/>
          </w:tcPr>
          <w:p>
            <w:pPr>
              <w:jc w:val="center"/>
              <w:ind w:right="256"/>
              <w:spacing w:after="0"/>
              <w:rPr>
                <w:sz w:val="20"/>
                <w:szCs w:val="20"/>
                <w:color w:val="auto"/>
              </w:rPr>
            </w:pPr>
            <w:r>
              <w:rPr>
                <w:rFonts w:ascii="Arial" w:cs="Arial" w:eastAsia="Arial" w:hAnsi="Arial"/>
                <w:sz w:val="17"/>
                <w:szCs w:val="17"/>
                <w:color w:val="auto"/>
                <w:w w:val="90"/>
              </w:rPr>
              <w:t>$100,000</w:t>
            </w:r>
          </w:p>
        </w:tc>
        <w:tc>
          <w:tcPr>
            <w:tcW w:w="0" w:type="dxa"/>
            <w:vAlign w:val="bottom"/>
          </w:tcPr>
          <w:p>
            <w:pPr>
              <w:spacing w:after="0"/>
              <w:rPr>
                <w:sz w:val="1"/>
                <w:szCs w:val="1"/>
                <w:color w:val="auto"/>
              </w:rPr>
            </w:pPr>
          </w:p>
        </w:tc>
      </w:tr>
      <w:tr>
        <w:trPr>
          <w:trHeight w:val="209"/>
        </w:trPr>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jc w:val="center"/>
              <w:spacing w:after="0"/>
              <w:rPr>
                <w:sz w:val="20"/>
                <w:szCs w:val="20"/>
                <w:color w:val="auto"/>
              </w:rPr>
            </w:pPr>
            <w:r>
              <w:rPr>
                <w:rFonts w:ascii="Arial" w:cs="Arial" w:eastAsia="Arial" w:hAnsi="Arial"/>
                <w:sz w:val="17"/>
                <w:szCs w:val="17"/>
                <w:color w:val="auto"/>
                <w:w w:val="90"/>
              </w:rPr>
              <w:t>$1,000,000 - $5,000,000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jc w:val="center"/>
              <w:ind w:right="216"/>
              <w:spacing w:after="0"/>
              <w:rPr>
                <w:sz w:val="20"/>
                <w:szCs w:val="20"/>
                <w:color w:val="auto"/>
              </w:rPr>
            </w:pPr>
            <w:r>
              <w:rPr>
                <w:rFonts w:ascii="Arial" w:cs="Arial" w:eastAsia="Arial" w:hAnsi="Arial"/>
                <w:sz w:val="17"/>
                <w:szCs w:val="17"/>
                <w:color w:val="auto"/>
                <w:w w:val="93"/>
              </w:rPr>
              <w:t>None</w:t>
            </w:r>
          </w:p>
        </w:tc>
        <w:tc>
          <w:tcPr>
            <w:tcW w:w="2860" w:type="dxa"/>
            <w:vAlign w:val="bottom"/>
            <w:gridSpan w:val="2"/>
          </w:tcPr>
          <w:p>
            <w:pPr>
              <w:jc w:val="center"/>
              <w:ind w:left="75"/>
              <w:spacing w:after="0"/>
              <w:rPr>
                <w:sz w:val="20"/>
                <w:szCs w:val="20"/>
                <w:color w:val="auto"/>
              </w:rPr>
            </w:pPr>
            <w:r>
              <w:rPr>
                <w:rFonts w:ascii="Arial" w:cs="Arial" w:eastAsia="Arial" w:hAnsi="Arial"/>
                <w:sz w:val="17"/>
                <w:szCs w:val="17"/>
                <w:color w:val="auto"/>
                <w:w w:val="89"/>
              </w:rPr>
              <w:t>$1,000,000 - $5,000,000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jc w:val="center"/>
              <w:ind w:right="216"/>
              <w:spacing w:after="0"/>
              <w:rPr>
                <w:sz w:val="20"/>
                <w:szCs w:val="20"/>
                <w:color w:val="auto"/>
              </w:rPr>
            </w:pPr>
            <w:r>
              <w:rPr>
                <w:rFonts w:ascii="Arial" w:cs="Arial" w:eastAsia="Arial" w:hAnsi="Arial"/>
                <w:sz w:val="17"/>
                <w:szCs w:val="17"/>
                <w:color w:val="auto"/>
                <w:w w:val="88"/>
              </w:rPr>
              <w:t>None</w:t>
            </w:r>
          </w:p>
        </w:tc>
        <w:tc>
          <w:tcPr>
            <w:tcW w:w="0" w:type="dxa"/>
            <w:vAlign w:val="bottom"/>
          </w:tcPr>
          <w:p>
            <w:pPr>
              <w:spacing w:after="0"/>
              <w:rPr>
                <w:sz w:val="1"/>
                <w:szCs w:val="1"/>
                <w:color w:val="auto"/>
              </w:rPr>
            </w:pPr>
          </w:p>
        </w:tc>
      </w:tr>
      <w:tr>
        <w:trPr>
          <w:trHeight w:val="209"/>
        </w:trPr>
        <w:tc>
          <w:tcPr>
            <w:tcW w:w="2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20" w:type="dxa"/>
            <w:vAlign w:val="bottom"/>
            <w:gridSpan w:val="3"/>
            <w:shd w:val="clear" w:color="auto" w:fill="CCEEFF"/>
          </w:tcPr>
          <w:p>
            <w:pPr>
              <w:jc w:val="center"/>
              <w:ind w:right="420"/>
              <w:spacing w:after="0"/>
              <w:rPr>
                <w:sz w:val="20"/>
                <w:szCs w:val="20"/>
                <w:color w:val="auto"/>
              </w:rPr>
            </w:pPr>
            <w:r>
              <w:rPr>
                <w:rFonts w:ascii="Arial" w:cs="Arial" w:eastAsia="Arial" w:hAnsi="Arial"/>
                <w:sz w:val="17"/>
                <w:szCs w:val="17"/>
                <w:color w:val="auto"/>
                <w:w w:val="91"/>
              </w:rPr>
              <w:t>Over $5,000,000</w:t>
            </w:r>
          </w:p>
        </w:tc>
        <w:tc>
          <w:tcPr>
            <w:tcW w:w="1360" w:type="dxa"/>
            <w:vAlign w:val="bottom"/>
            <w:shd w:val="clear" w:color="auto" w:fill="CCEEFF"/>
          </w:tcPr>
          <w:p>
            <w:pPr>
              <w:jc w:val="center"/>
              <w:ind w:right="256"/>
              <w:spacing w:after="0"/>
              <w:rPr>
                <w:sz w:val="20"/>
                <w:szCs w:val="20"/>
                <w:color w:val="auto"/>
              </w:rPr>
            </w:pPr>
            <w:r>
              <w:rPr>
                <w:rFonts w:ascii="Arial" w:cs="Arial" w:eastAsia="Arial" w:hAnsi="Arial"/>
                <w:sz w:val="17"/>
                <w:szCs w:val="17"/>
                <w:color w:val="auto"/>
                <w:w w:val="87"/>
              </w:rPr>
              <w:t>100%</w:t>
            </w:r>
          </w:p>
        </w:tc>
        <w:tc>
          <w:tcPr>
            <w:tcW w:w="120" w:type="dxa"/>
            <w:vAlign w:val="bottom"/>
            <w:shd w:val="clear" w:color="auto" w:fill="CCEEFF"/>
          </w:tcPr>
          <w:p>
            <w:pPr>
              <w:spacing w:after="0"/>
              <w:rPr>
                <w:sz w:val="18"/>
                <w:szCs w:val="18"/>
                <w:color w:val="auto"/>
              </w:rPr>
            </w:pPr>
          </w:p>
        </w:tc>
        <w:tc>
          <w:tcPr>
            <w:tcW w:w="3200" w:type="dxa"/>
            <w:vAlign w:val="bottom"/>
            <w:gridSpan w:val="3"/>
            <w:shd w:val="clear" w:color="auto" w:fill="CCEEFF"/>
          </w:tcPr>
          <w:p>
            <w:pPr>
              <w:jc w:val="center"/>
              <w:ind w:right="420"/>
              <w:spacing w:after="0"/>
              <w:rPr>
                <w:sz w:val="20"/>
                <w:szCs w:val="20"/>
                <w:color w:val="auto"/>
              </w:rPr>
            </w:pPr>
            <w:r>
              <w:rPr>
                <w:rFonts w:ascii="Arial" w:cs="Arial" w:eastAsia="Arial" w:hAnsi="Arial"/>
                <w:sz w:val="17"/>
                <w:szCs w:val="17"/>
                <w:color w:val="auto"/>
                <w:w w:val="89"/>
              </w:rPr>
              <w:t>Over $5,000,000</w:t>
            </w:r>
          </w:p>
        </w:tc>
        <w:tc>
          <w:tcPr>
            <w:tcW w:w="1340" w:type="dxa"/>
            <w:vAlign w:val="bottom"/>
            <w:shd w:val="clear" w:color="auto" w:fill="CCEEFF"/>
          </w:tcPr>
          <w:p>
            <w:pPr>
              <w:jc w:val="center"/>
              <w:ind w:right="256"/>
              <w:spacing w:after="0"/>
              <w:rPr>
                <w:sz w:val="20"/>
                <w:szCs w:val="20"/>
                <w:color w:val="auto"/>
              </w:rPr>
            </w:pPr>
            <w:r>
              <w:rPr>
                <w:rFonts w:ascii="Arial" w:cs="Arial" w:eastAsia="Arial" w:hAnsi="Arial"/>
                <w:sz w:val="17"/>
                <w:szCs w:val="17"/>
                <w:color w:val="auto"/>
                <w:w w:val="91"/>
              </w:rPr>
              <w:t>100%</w:t>
            </w:r>
          </w:p>
        </w:tc>
        <w:tc>
          <w:tcPr>
            <w:tcW w:w="0" w:type="dxa"/>
            <w:vAlign w:val="bottom"/>
          </w:tcPr>
          <w:p>
            <w:pPr>
              <w:spacing w:after="0"/>
              <w:rPr>
                <w:sz w:val="1"/>
                <w:szCs w:val="1"/>
                <w:color w:val="auto"/>
              </w:rPr>
            </w:pPr>
          </w:p>
        </w:tc>
      </w:tr>
      <w:tr>
        <w:trPr>
          <w:trHeight w:val="209"/>
        </w:trPr>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180" w:type="dxa"/>
            <w:vAlign w:val="bottom"/>
            <w:gridSpan w:val="2"/>
            <w:shd w:val="clear" w:color="auto" w:fill="CCEEFF"/>
          </w:tcPr>
          <w:p>
            <w:pPr>
              <w:jc w:val="center"/>
              <w:ind w:right="120"/>
              <w:spacing w:after="0"/>
              <w:rPr>
                <w:sz w:val="20"/>
                <w:szCs w:val="20"/>
                <w:color w:val="auto"/>
              </w:rPr>
            </w:pPr>
            <w:r>
              <w:rPr>
                <w:rFonts w:ascii="Arial" w:cs="Arial" w:eastAsia="Arial" w:hAnsi="Arial"/>
                <w:sz w:val="17"/>
                <w:szCs w:val="17"/>
                <w:color w:val="auto"/>
                <w:w w:val="92"/>
              </w:rPr>
              <w:t>Commercial Lines</w:t>
            </w:r>
          </w:p>
        </w:tc>
        <w:tc>
          <w:tcPr>
            <w:tcW w:w="3220" w:type="dxa"/>
            <w:vAlign w:val="bottom"/>
            <w:gridSpan w:val="3"/>
            <w:shd w:val="clear" w:color="auto" w:fill="CCEEFF"/>
          </w:tcPr>
          <w:p>
            <w:pPr>
              <w:jc w:val="center"/>
              <w:ind w:right="420"/>
              <w:spacing w:after="0"/>
              <w:rPr>
                <w:sz w:val="20"/>
                <w:szCs w:val="20"/>
                <w:color w:val="auto"/>
              </w:rPr>
            </w:pPr>
            <w:r>
              <w:rPr>
                <w:rFonts w:ascii="Arial" w:cs="Arial" w:eastAsia="Arial" w:hAnsi="Arial"/>
                <w:sz w:val="17"/>
                <w:szCs w:val="17"/>
                <w:color w:val="auto"/>
                <w:w w:val="93"/>
              </w:rPr>
              <w:t>Initial $750,000</w:t>
            </w:r>
          </w:p>
        </w:tc>
        <w:tc>
          <w:tcPr>
            <w:tcW w:w="1360" w:type="dxa"/>
            <w:vAlign w:val="bottom"/>
            <w:shd w:val="clear" w:color="auto" w:fill="CCEEFF"/>
          </w:tcPr>
          <w:p>
            <w:pPr>
              <w:jc w:val="center"/>
              <w:ind w:right="256"/>
              <w:spacing w:after="0"/>
              <w:rPr>
                <w:sz w:val="20"/>
                <w:szCs w:val="20"/>
                <w:color w:val="auto"/>
              </w:rPr>
            </w:pPr>
            <w:r>
              <w:rPr>
                <w:rFonts w:ascii="Arial" w:cs="Arial" w:eastAsia="Arial" w:hAnsi="Arial"/>
                <w:sz w:val="17"/>
                <w:szCs w:val="17"/>
                <w:color w:val="auto"/>
                <w:w w:val="87"/>
              </w:rPr>
              <w:t>$750,000</w:t>
            </w:r>
          </w:p>
        </w:tc>
        <w:tc>
          <w:tcPr>
            <w:tcW w:w="120" w:type="dxa"/>
            <w:vAlign w:val="bottom"/>
            <w:shd w:val="clear" w:color="auto" w:fill="CCEEFF"/>
          </w:tcPr>
          <w:p>
            <w:pPr>
              <w:spacing w:after="0"/>
              <w:rPr>
                <w:sz w:val="18"/>
                <w:szCs w:val="18"/>
                <w:color w:val="auto"/>
              </w:rPr>
            </w:pPr>
          </w:p>
        </w:tc>
        <w:tc>
          <w:tcPr>
            <w:tcW w:w="3200" w:type="dxa"/>
            <w:vAlign w:val="bottom"/>
            <w:gridSpan w:val="3"/>
            <w:shd w:val="clear" w:color="auto" w:fill="CCEEFF"/>
          </w:tcPr>
          <w:p>
            <w:pPr>
              <w:jc w:val="center"/>
              <w:ind w:right="420"/>
              <w:spacing w:after="0"/>
              <w:rPr>
                <w:sz w:val="20"/>
                <w:szCs w:val="20"/>
                <w:color w:val="auto"/>
              </w:rPr>
            </w:pPr>
            <w:r>
              <w:rPr>
                <w:rFonts w:ascii="Arial" w:cs="Arial" w:eastAsia="Arial" w:hAnsi="Arial"/>
                <w:sz w:val="17"/>
                <w:szCs w:val="17"/>
                <w:color w:val="auto"/>
                <w:w w:val="95"/>
              </w:rPr>
              <w:t>Initial $500,000</w:t>
            </w:r>
          </w:p>
        </w:tc>
        <w:tc>
          <w:tcPr>
            <w:tcW w:w="1340" w:type="dxa"/>
            <w:vAlign w:val="bottom"/>
            <w:shd w:val="clear" w:color="auto" w:fill="CCEEFF"/>
          </w:tcPr>
          <w:p>
            <w:pPr>
              <w:jc w:val="center"/>
              <w:ind w:right="256"/>
              <w:spacing w:after="0"/>
              <w:rPr>
                <w:sz w:val="20"/>
                <w:szCs w:val="20"/>
                <w:color w:val="auto"/>
              </w:rPr>
            </w:pPr>
            <w:r>
              <w:rPr>
                <w:rFonts w:ascii="Arial" w:cs="Arial" w:eastAsia="Arial" w:hAnsi="Arial"/>
                <w:sz w:val="17"/>
                <w:szCs w:val="17"/>
                <w:color w:val="auto"/>
                <w:w w:val="90"/>
              </w:rPr>
              <w:t>$500,000</w:t>
            </w:r>
          </w:p>
        </w:tc>
        <w:tc>
          <w:tcPr>
            <w:tcW w:w="0" w:type="dxa"/>
            <w:vAlign w:val="bottom"/>
          </w:tcPr>
          <w:p>
            <w:pPr>
              <w:spacing w:after="0"/>
              <w:rPr>
                <w:sz w:val="1"/>
                <w:szCs w:val="1"/>
                <w:color w:val="auto"/>
              </w:rPr>
            </w:pPr>
          </w:p>
        </w:tc>
      </w:tr>
      <w:tr>
        <w:trPr>
          <w:trHeight w:val="209"/>
        </w:trPr>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jc w:val="center"/>
              <w:spacing w:after="0"/>
              <w:rPr>
                <w:sz w:val="20"/>
                <w:szCs w:val="20"/>
                <w:color w:val="auto"/>
              </w:rPr>
            </w:pPr>
            <w:r>
              <w:rPr>
                <w:rFonts w:ascii="Arial" w:cs="Arial" w:eastAsia="Arial" w:hAnsi="Arial"/>
                <w:sz w:val="17"/>
                <w:szCs w:val="17"/>
                <w:color w:val="auto"/>
                <w:w w:val="89"/>
              </w:rPr>
              <w:t>$750,000 - $4,500,000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jc w:val="center"/>
              <w:ind w:right="216"/>
              <w:spacing w:after="0"/>
              <w:rPr>
                <w:sz w:val="20"/>
                <w:szCs w:val="20"/>
                <w:color w:val="auto"/>
              </w:rPr>
            </w:pPr>
            <w:r>
              <w:rPr>
                <w:rFonts w:ascii="Arial" w:cs="Arial" w:eastAsia="Arial" w:hAnsi="Arial"/>
                <w:sz w:val="17"/>
                <w:szCs w:val="17"/>
                <w:color w:val="auto"/>
                <w:w w:val="94"/>
              </w:rPr>
              <w:t>None(3)</w:t>
            </w:r>
          </w:p>
        </w:tc>
        <w:tc>
          <w:tcPr>
            <w:tcW w:w="2860" w:type="dxa"/>
            <w:vAlign w:val="bottom"/>
            <w:gridSpan w:val="2"/>
          </w:tcPr>
          <w:p>
            <w:pPr>
              <w:jc w:val="center"/>
              <w:ind w:left="75"/>
              <w:spacing w:after="0"/>
              <w:rPr>
                <w:sz w:val="20"/>
                <w:szCs w:val="20"/>
                <w:color w:val="auto"/>
              </w:rPr>
            </w:pPr>
            <w:r>
              <w:rPr>
                <w:rFonts w:ascii="Arial" w:cs="Arial" w:eastAsia="Arial" w:hAnsi="Arial"/>
                <w:sz w:val="17"/>
                <w:szCs w:val="17"/>
                <w:color w:val="auto"/>
                <w:w w:val="89"/>
              </w:rPr>
              <w:t>$500,000 - $4,500,000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jc w:val="center"/>
              <w:ind w:right="256"/>
              <w:spacing w:after="0"/>
              <w:rPr>
                <w:sz w:val="20"/>
                <w:szCs w:val="20"/>
                <w:color w:val="auto"/>
              </w:rPr>
            </w:pPr>
            <w:r>
              <w:rPr>
                <w:rFonts w:ascii="Arial" w:cs="Arial" w:eastAsia="Arial" w:hAnsi="Arial"/>
                <w:sz w:val="17"/>
                <w:szCs w:val="17"/>
                <w:color w:val="auto"/>
                <w:w w:val="91"/>
              </w:rPr>
              <w:t>None(3)</w:t>
            </w:r>
          </w:p>
        </w:tc>
        <w:tc>
          <w:tcPr>
            <w:tcW w:w="0" w:type="dxa"/>
            <w:vAlign w:val="bottom"/>
          </w:tcPr>
          <w:p>
            <w:pPr>
              <w:spacing w:after="0"/>
              <w:rPr>
                <w:sz w:val="1"/>
                <w:szCs w:val="1"/>
                <w:color w:val="auto"/>
              </w:rPr>
            </w:pPr>
          </w:p>
        </w:tc>
      </w:tr>
      <w:tr>
        <w:trPr>
          <w:trHeight w:val="209"/>
        </w:trPr>
        <w:tc>
          <w:tcPr>
            <w:tcW w:w="2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20" w:type="dxa"/>
            <w:vAlign w:val="bottom"/>
            <w:gridSpan w:val="3"/>
            <w:shd w:val="clear" w:color="auto" w:fill="CCEEFF"/>
          </w:tcPr>
          <w:p>
            <w:pPr>
              <w:jc w:val="center"/>
              <w:ind w:right="420"/>
              <w:spacing w:after="0"/>
              <w:rPr>
                <w:sz w:val="20"/>
                <w:szCs w:val="20"/>
                <w:color w:val="auto"/>
              </w:rPr>
            </w:pPr>
            <w:r>
              <w:rPr>
                <w:rFonts w:ascii="Arial" w:cs="Arial" w:eastAsia="Arial" w:hAnsi="Arial"/>
                <w:sz w:val="17"/>
                <w:szCs w:val="17"/>
                <w:color w:val="auto"/>
                <w:w w:val="91"/>
              </w:rPr>
              <w:t>Over $4,500,000</w:t>
            </w:r>
          </w:p>
        </w:tc>
        <w:tc>
          <w:tcPr>
            <w:tcW w:w="1360" w:type="dxa"/>
            <w:vAlign w:val="bottom"/>
            <w:shd w:val="clear" w:color="auto" w:fill="CCEEFF"/>
          </w:tcPr>
          <w:p>
            <w:pPr>
              <w:jc w:val="center"/>
              <w:ind w:right="256"/>
              <w:spacing w:after="0"/>
              <w:rPr>
                <w:sz w:val="20"/>
                <w:szCs w:val="20"/>
                <w:color w:val="auto"/>
              </w:rPr>
            </w:pPr>
            <w:r>
              <w:rPr>
                <w:rFonts w:ascii="Arial" w:cs="Arial" w:eastAsia="Arial" w:hAnsi="Arial"/>
                <w:sz w:val="17"/>
                <w:szCs w:val="17"/>
                <w:color w:val="auto"/>
                <w:w w:val="87"/>
              </w:rPr>
              <w:t>100%</w:t>
            </w:r>
          </w:p>
        </w:tc>
        <w:tc>
          <w:tcPr>
            <w:tcW w:w="120" w:type="dxa"/>
            <w:vAlign w:val="bottom"/>
            <w:shd w:val="clear" w:color="auto" w:fill="CCEEFF"/>
          </w:tcPr>
          <w:p>
            <w:pPr>
              <w:spacing w:after="0"/>
              <w:rPr>
                <w:sz w:val="18"/>
                <w:szCs w:val="18"/>
                <w:color w:val="auto"/>
              </w:rPr>
            </w:pPr>
          </w:p>
        </w:tc>
        <w:tc>
          <w:tcPr>
            <w:tcW w:w="3200" w:type="dxa"/>
            <w:vAlign w:val="bottom"/>
            <w:gridSpan w:val="3"/>
            <w:shd w:val="clear" w:color="auto" w:fill="CCEEFF"/>
          </w:tcPr>
          <w:p>
            <w:pPr>
              <w:jc w:val="center"/>
              <w:ind w:right="420"/>
              <w:spacing w:after="0"/>
              <w:rPr>
                <w:sz w:val="20"/>
                <w:szCs w:val="20"/>
                <w:color w:val="auto"/>
              </w:rPr>
            </w:pPr>
            <w:r>
              <w:rPr>
                <w:rFonts w:ascii="Arial" w:cs="Arial" w:eastAsia="Arial" w:hAnsi="Arial"/>
                <w:sz w:val="17"/>
                <w:szCs w:val="17"/>
                <w:color w:val="auto"/>
                <w:w w:val="89"/>
              </w:rPr>
              <w:t>Over $4,500,000</w:t>
            </w:r>
          </w:p>
        </w:tc>
        <w:tc>
          <w:tcPr>
            <w:tcW w:w="1340" w:type="dxa"/>
            <w:vAlign w:val="bottom"/>
            <w:shd w:val="clear" w:color="auto" w:fill="CCEEFF"/>
          </w:tcPr>
          <w:p>
            <w:pPr>
              <w:jc w:val="center"/>
              <w:ind w:right="256"/>
              <w:spacing w:after="0"/>
              <w:rPr>
                <w:sz w:val="20"/>
                <w:szCs w:val="20"/>
                <w:color w:val="auto"/>
              </w:rPr>
            </w:pPr>
            <w:r>
              <w:rPr>
                <w:rFonts w:ascii="Arial" w:cs="Arial" w:eastAsia="Arial" w:hAnsi="Arial"/>
                <w:sz w:val="17"/>
                <w:szCs w:val="17"/>
                <w:color w:val="auto"/>
                <w:w w:val="91"/>
              </w:rPr>
              <w:t>100%</w:t>
            </w:r>
          </w:p>
        </w:tc>
        <w:tc>
          <w:tcPr>
            <w:tcW w:w="0" w:type="dxa"/>
            <w:vAlign w:val="bottom"/>
          </w:tcPr>
          <w:p>
            <w:pPr>
              <w:spacing w:after="0"/>
              <w:rPr>
                <w:sz w:val="1"/>
                <w:szCs w:val="1"/>
                <w:color w:val="auto"/>
              </w:rPr>
            </w:pPr>
          </w:p>
        </w:tc>
      </w:tr>
      <w:tr>
        <w:trPr>
          <w:trHeight w:val="209"/>
        </w:trPr>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180" w:type="dxa"/>
            <w:vAlign w:val="bottom"/>
            <w:gridSpan w:val="2"/>
            <w:shd w:val="clear" w:color="auto" w:fill="CCEEFF"/>
          </w:tcPr>
          <w:p>
            <w:pPr>
              <w:jc w:val="center"/>
              <w:ind w:right="100"/>
              <w:spacing w:after="0"/>
              <w:rPr>
                <w:sz w:val="20"/>
                <w:szCs w:val="20"/>
                <w:color w:val="auto"/>
              </w:rPr>
            </w:pPr>
            <w:r>
              <w:rPr>
                <w:rFonts w:ascii="Arial" w:cs="Arial" w:eastAsia="Arial" w:hAnsi="Arial"/>
                <w:sz w:val="17"/>
                <w:szCs w:val="17"/>
                <w:color w:val="auto"/>
                <w:w w:val="93"/>
              </w:rPr>
              <w:t>Commercial Umbrella</w:t>
            </w:r>
          </w:p>
        </w:tc>
        <w:tc>
          <w:tcPr>
            <w:tcW w:w="3220" w:type="dxa"/>
            <w:vAlign w:val="bottom"/>
            <w:gridSpan w:val="3"/>
            <w:shd w:val="clear" w:color="auto" w:fill="CCEEFF"/>
          </w:tcPr>
          <w:p>
            <w:pPr>
              <w:jc w:val="center"/>
              <w:ind w:right="400"/>
              <w:spacing w:after="0"/>
              <w:rPr>
                <w:sz w:val="20"/>
                <w:szCs w:val="20"/>
                <w:color w:val="auto"/>
              </w:rPr>
            </w:pPr>
            <w:r>
              <w:rPr>
                <w:rFonts w:ascii="Arial" w:cs="Arial" w:eastAsia="Arial" w:hAnsi="Arial"/>
                <w:sz w:val="17"/>
                <w:szCs w:val="17"/>
                <w:color w:val="auto"/>
                <w:w w:val="94"/>
              </w:rPr>
              <w:t>Initial $1,000,000</w:t>
            </w:r>
          </w:p>
        </w:tc>
        <w:tc>
          <w:tcPr>
            <w:tcW w:w="1360" w:type="dxa"/>
            <w:vAlign w:val="bottom"/>
            <w:shd w:val="clear" w:color="auto" w:fill="CCEEFF"/>
          </w:tcPr>
          <w:p>
            <w:pPr>
              <w:jc w:val="center"/>
              <w:ind w:right="256"/>
              <w:spacing w:after="0"/>
              <w:rPr>
                <w:sz w:val="20"/>
                <w:szCs w:val="20"/>
                <w:color w:val="auto"/>
              </w:rPr>
            </w:pPr>
            <w:r>
              <w:rPr>
                <w:rFonts w:ascii="Arial" w:cs="Arial" w:eastAsia="Arial" w:hAnsi="Arial"/>
                <w:sz w:val="17"/>
                <w:szCs w:val="17"/>
                <w:color w:val="auto"/>
                <w:w w:val="87"/>
              </w:rPr>
              <w:t>$100,000</w:t>
            </w:r>
          </w:p>
        </w:tc>
        <w:tc>
          <w:tcPr>
            <w:tcW w:w="120" w:type="dxa"/>
            <w:vAlign w:val="bottom"/>
            <w:shd w:val="clear" w:color="auto" w:fill="CCEEFF"/>
          </w:tcPr>
          <w:p>
            <w:pPr>
              <w:spacing w:after="0"/>
              <w:rPr>
                <w:sz w:val="18"/>
                <w:szCs w:val="18"/>
                <w:color w:val="auto"/>
              </w:rPr>
            </w:pPr>
          </w:p>
        </w:tc>
        <w:tc>
          <w:tcPr>
            <w:tcW w:w="3200" w:type="dxa"/>
            <w:vAlign w:val="bottom"/>
            <w:gridSpan w:val="3"/>
            <w:shd w:val="clear" w:color="auto" w:fill="CCEEFF"/>
          </w:tcPr>
          <w:p>
            <w:pPr>
              <w:jc w:val="center"/>
              <w:ind w:right="420"/>
              <w:spacing w:after="0"/>
              <w:rPr>
                <w:sz w:val="20"/>
                <w:szCs w:val="20"/>
                <w:color w:val="auto"/>
              </w:rPr>
            </w:pPr>
            <w:r>
              <w:rPr>
                <w:rFonts w:ascii="Arial" w:cs="Arial" w:eastAsia="Arial" w:hAnsi="Arial"/>
                <w:sz w:val="17"/>
                <w:szCs w:val="17"/>
                <w:color w:val="auto"/>
                <w:w w:val="94"/>
              </w:rPr>
              <w:t>Initial $1,000,000</w:t>
            </w:r>
          </w:p>
        </w:tc>
        <w:tc>
          <w:tcPr>
            <w:tcW w:w="1340" w:type="dxa"/>
            <w:vAlign w:val="bottom"/>
            <w:shd w:val="clear" w:color="auto" w:fill="CCEEFF"/>
          </w:tcPr>
          <w:p>
            <w:pPr>
              <w:jc w:val="center"/>
              <w:ind w:right="256"/>
              <w:spacing w:after="0"/>
              <w:rPr>
                <w:sz w:val="20"/>
                <w:szCs w:val="20"/>
                <w:color w:val="auto"/>
              </w:rPr>
            </w:pPr>
            <w:r>
              <w:rPr>
                <w:rFonts w:ascii="Arial" w:cs="Arial" w:eastAsia="Arial" w:hAnsi="Arial"/>
                <w:sz w:val="17"/>
                <w:szCs w:val="17"/>
                <w:color w:val="auto"/>
                <w:w w:val="90"/>
              </w:rPr>
              <w:t>$100,000</w:t>
            </w:r>
          </w:p>
        </w:tc>
        <w:tc>
          <w:tcPr>
            <w:tcW w:w="0" w:type="dxa"/>
            <w:vAlign w:val="bottom"/>
          </w:tcPr>
          <w:p>
            <w:pPr>
              <w:spacing w:after="0"/>
              <w:rPr>
                <w:sz w:val="1"/>
                <w:szCs w:val="1"/>
                <w:color w:val="auto"/>
              </w:rPr>
            </w:pPr>
          </w:p>
        </w:tc>
      </w:tr>
      <w:tr>
        <w:trPr>
          <w:trHeight w:val="209"/>
        </w:trPr>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jc w:val="center"/>
              <w:spacing w:after="0"/>
              <w:rPr>
                <w:sz w:val="20"/>
                <w:szCs w:val="20"/>
                <w:color w:val="auto"/>
              </w:rPr>
            </w:pPr>
            <w:r>
              <w:rPr>
                <w:rFonts w:ascii="Arial" w:cs="Arial" w:eastAsia="Arial" w:hAnsi="Arial"/>
                <w:sz w:val="17"/>
                <w:szCs w:val="17"/>
                <w:color w:val="auto"/>
                <w:w w:val="90"/>
              </w:rPr>
              <w:t>$1,000,000 - $5,000,000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jc w:val="center"/>
              <w:ind w:right="216"/>
              <w:spacing w:after="0"/>
              <w:rPr>
                <w:sz w:val="20"/>
                <w:szCs w:val="20"/>
                <w:color w:val="auto"/>
              </w:rPr>
            </w:pPr>
            <w:r>
              <w:rPr>
                <w:rFonts w:ascii="Arial" w:cs="Arial" w:eastAsia="Arial" w:hAnsi="Arial"/>
                <w:sz w:val="17"/>
                <w:szCs w:val="17"/>
                <w:color w:val="auto"/>
                <w:w w:val="93"/>
              </w:rPr>
              <w:t>None</w:t>
            </w:r>
          </w:p>
        </w:tc>
        <w:tc>
          <w:tcPr>
            <w:tcW w:w="2860" w:type="dxa"/>
            <w:vAlign w:val="bottom"/>
            <w:gridSpan w:val="2"/>
          </w:tcPr>
          <w:p>
            <w:pPr>
              <w:jc w:val="center"/>
              <w:ind w:left="75"/>
              <w:spacing w:after="0"/>
              <w:rPr>
                <w:sz w:val="20"/>
                <w:szCs w:val="20"/>
                <w:color w:val="auto"/>
              </w:rPr>
            </w:pPr>
            <w:r>
              <w:rPr>
                <w:rFonts w:ascii="Arial" w:cs="Arial" w:eastAsia="Arial" w:hAnsi="Arial"/>
                <w:sz w:val="17"/>
                <w:szCs w:val="17"/>
                <w:color w:val="auto"/>
                <w:w w:val="89"/>
              </w:rPr>
              <w:t>$1,000,000 - $5,000,000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jc w:val="center"/>
              <w:ind w:right="216"/>
              <w:spacing w:after="0"/>
              <w:rPr>
                <w:sz w:val="20"/>
                <w:szCs w:val="20"/>
                <w:color w:val="auto"/>
              </w:rPr>
            </w:pPr>
            <w:r>
              <w:rPr>
                <w:rFonts w:ascii="Arial" w:cs="Arial" w:eastAsia="Arial" w:hAnsi="Arial"/>
                <w:sz w:val="17"/>
                <w:szCs w:val="17"/>
                <w:color w:val="auto"/>
                <w:w w:val="88"/>
              </w:rPr>
              <w:t>None</w:t>
            </w:r>
          </w:p>
        </w:tc>
        <w:tc>
          <w:tcPr>
            <w:tcW w:w="0" w:type="dxa"/>
            <w:vAlign w:val="bottom"/>
          </w:tcPr>
          <w:p>
            <w:pPr>
              <w:spacing w:after="0"/>
              <w:rPr>
                <w:sz w:val="1"/>
                <w:szCs w:val="1"/>
                <w:color w:val="auto"/>
              </w:rPr>
            </w:pPr>
          </w:p>
        </w:tc>
      </w:tr>
      <w:tr>
        <w:trPr>
          <w:trHeight w:val="209"/>
        </w:trPr>
        <w:tc>
          <w:tcPr>
            <w:tcW w:w="2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20" w:type="dxa"/>
            <w:vAlign w:val="bottom"/>
            <w:gridSpan w:val="3"/>
            <w:shd w:val="clear" w:color="auto" w:fill="CCEEFF"/>
          </w:tcPr>
          <w:p>
            <w:pPr>
              <w:jc w:val="center"/>
              <w:ind w:right="420"/>
              <w:spacing w:after="0"/>
              <w:rPr>
                <w:sz w:val="20"/>
                <w:szCs w:val="20"/>
                <w:color w:val="auto"/>
              </w:rPr>
            </w:pPr>
            <w:r>
              <w:rPr>
                <w:rFonts w:ascii="Arial" w:cs="Arial" w:eastAsia="Arial" w:hAnsi="Arial"/>
                <w:sz w:val="17"/>
                <w:szCs w:val="17"/>
                <w:color w:val="auto"/>
                <w:w w:val="91"/>
              </w:rPr>
              <w:t>Over $5,000,000</w:t>
            </w:r>
          </w:p>
        </w:tc>
        <w:tc>
          <w:tcPr>
            <w:tcW w:w="1360" w:type="dxa"/>
            <w:vAlign w:val="bottom"/>
            <w:shd w:val="clear" w:color="auto" w:fill="CCEEFF"/>
          </w:tcPr>
          <w:p>
            <w:pPr>
              <w:jc w:val="center"/>
              <w:ind w:right="256"/>
              <w:spacing w:after="0"/>
              <w:rPr>
                <w:sz w:val="20"/>
                <w:szCs w:val="20"/>
                <w:color w:val="auto"/>
              </w:rPr>
            </w:pPr>
            <w:r>
              <w:rPr>
                <w:rFonts w:ascii="Arial" w:cs="Arial" w:eastAsia="Arial" w:hAnsi="Arial"/>
                <w:sz w:val="17"/>
                <w:szCs w:val="17"/>
                <w:color w:val="auto"/>
                <w:w w:val="87"/>
              </w:rPr>
              <w:t>100%</w:t>
            </w:r>
          </w:p>
        </w:tc>
        <w:tc>
          <w:tcPr>
            <w:tcW w:w="120" w:type="dxa"/>
            <w:vAlign w:val="bottom"/>
            <w:shd w:val="clear" w:color="auto" w:fill="CCEEFF"/>
          </w:tcPr>
          <w:p>
            <w:pPr>
              <w:spacing w:after="0"/>
              <w:rPr>
                <w:sz w:val="18"/>
                <w:szCs w:val="18"/>
                <w:color w:val="auto"/>
              </w:rPr>
            </w:pPr>
          </w:p>
        </w:tc>
        <w:tc>
          <w:tcPr>
            <w:tcW w:w="3200" w:type="dxa"/>
            <w:vAlign w:val="bottom"/>
            <w:gridSpan w:val="3"/>
            <w:shd w:val="clear" w:color="auto" w:fill="CCEEFF"/>
          </w:tcPr>
          <w:p>
            <w:pPr>
              <w:jc w:val="center"/>
              <w:ind w:right="420"/>
              <w:spacing w:after="0"/>
              <w:rPr>
                <w:sz w:val="20"/>
                <w:szCs w:val="20"/>
                <w:color w:val="auto"/>
              </w:rPr>
            </w:pPr>
            <w:r>
              <w:rPr>
                <w:rFonts w:ascii="Arial" w:cs="Arial" w:eastAsia="Arial" w:hAnsi="Arial"/>
                <w:sz w:val="17"/>
                <w:szCs w:val="17"/>
                <w:color w:val="auto"/>
                <w:w w:val="89"/>
              </w:rPr>
              <w:t>Over $5,000,000</w:t>
            </w:r>
          </w:p>
        </w:tc>
        <w:tc>
          <w:tcPr>
            <w:tcW w:w="1340" w:type="dxa"/>
            <w:vAlign w:val="bottom"/>
            <w:shd w:val="clear" w:color="auto" w:fill="CCEEFF"/>
          </w:tcPr>
          <w:p>
            <w:pPr>
              <w:jc w:val="center"/>
              <w:ind w:right="256"/>
              <w:spacing w:after="0"/>
              <w:rPr>
                <w:sz w:val="20"/>
                <w:szCs w:val="20"/>
                <w:color w:val="auto"/>
              </w:rPr>
            </w:pPr>
            <w:r>
              <w:rPr>
                <w:rFonts w:ascii="Arial" w:cs="Arial" w:eastAsia="Arial" w:hAnsi="Arial"/>
                <w:sz w:val="17"/>
                <w:szCs w:val="17"/>
                <w:color w:val="auto"/>
                <w:w w:val="91"/>
              </w:rPr>
              <w:t>100%</w:t>
            </w:r>
          </w:p>
        </w:tc>
        <w:tc>
          <w:tcPr>
            <w:tcW w:w="0" w:type="dxa"/>
            <w:vAlign w:val="bottom"/>
          </w:tcPr>
          <w:p>
            <w:pPr>
              <w:spacing w:after="0"/>
              <w:rPr>
                <w:sz w:val="1"/>
                <w:szCs w:val="1"/>
                <w:color w:val="auto"/>
              </w:rPr>
            </w:pPr>
          </w:p>
        </w:tc>
      </w:tr>
      <w:tr>
        <w:trPr>
          <w:trHeight w:val="209"/>
        </w:trPr>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180" w:type="dxa"/>
            <w:vAlign w:val="bottom"/>
            <w:gridSpan w:val="2"/>
            <w:shd w:val="clear" w:color="auto" w:fill="CCEEFF"/>
          </w:tcPr>
          <w:p>
            <w:pPr>
              <w:jc w:val="center"/>
              <w:ind w:right="100"/>
              <w:spacing w:after="0"/>
              <w:rPr>
                <w:sz w:val="20"/>
                <w:szCs w:val="20"/>
                <w:color w:val="auto"/>
              </w:rPr>
            </w:pPr>
            <w:r>
              <w:rPr>
                <w:rFonts w:ascii="Arial" w:cs="Arial" w:eastAsia="Arial" w:hAnsi="Arial"/>
                <w:sz w:val="17"/>
                <w:szCs w:val="17"/>
                <w:color w:val="auto"/>
                <w:w w:val="88"/>
              </w:rPr>
              <w:t>Catastrophe (4)</w:t>
            </w:r>
          </w:p>
        </w:tc>
        <w:tc>
          <w:tcPr>
            <w:tcW w:w="3220" w:type="dxa"/>
            <w:vAlign w:val="bottom"/>
            <w:gridSpan w:val="3"/>
            <w:shd w:val="clear" w:color="auto" w:fill="CCEEFF"/>
          </w:tcPr>
          <w:p>
            <w:pPr>
              <w:jc w:val="center"/>
              <w:ind w:right="400"/>
              <w:spacing w:after="0"/>
              <w:rPr>
                <w:sz w:val="20"/>
                <w:szCs w:val="20"/>
                <w:color w:val="auto"/>
              </w:rPr>
            </w:pPr>
            <w:r>
              <w:rPr>
                <w:rFonts w:ascii="Arial" w:cs="Arial" w:eastAsia="Arial" w:hAnsi="Arial"/>
                <w:sz w:val="17"/>
                <w:szCs w:val="17"/>
                <w:color w:val="auto"/>
                <w:w w:val="94"/>
              </w:rPr>
              <w:t>Initial $5,000,000</w:t>
            </w:r>
          </w:p>
        </w:tc>
        <w:tc>
          <w:tcPr>
            <w:tcW w:w="1360" w:type="dxa"/>
            <w:vAlign w:val="bottom"/>
            <w:shd w:val="clear" w:color="auto" w:fill="CCEEFF"/>
          </w:tcPr>
          <w:p>
            <w:pPr>
              <w:jc w:val="center"/>
              <w:ind w:right="256"/>
              <w:spacing w:after="0"/>
              <w:rPr>
                <w:sz w:val="20"/>
                <w:szCs w:val="20"/>
                <w:color w:val="auto"/>
              </w:rPr>
            </w:pPr>
            <w:r>
              <w:rPr>
                <w:rFonts w:ascii="Arial" w:cs="Arial" w:eastAsia="Arial" w:hAnsi="Arial"/>
                <w:sz w:val="17"/>
                <w:szCs w:val="17"/>
                <w:color w:val="auto"/>
                <w:w w:val="91"/>
              </w:rPr>
              <w:t>$4,000,000</w:t>
            </w:r>
          </w:p>
        </w:tc>
        <w:tc>
          <w:tcPr>
            <w:tcW w:w="120" w:type="dxa"/>
            <w:vAlign w:val="bottom"/>
            <w:shd w:val="clear" w:color="auto" w:fill="CCEEFF"/>
          </w:tcPr>
          <w:p>
            <w:pPr>
              <w:spacing w:after="0"/>
              <w:rPr>
                <w:sz w:val="18"/>
                <w:szCs w:val="18"/>
                <w:color w:val="auto"/>
              </w:rPr>
            </w:pPr>
          </w:p>
        </w:tc>
        <w:tc>
          <w:tcPr>
            <w:tcW w:w="3200" w:type="dxa"/>
            <w:vAlign w:val="bottom"/>
            <w:gridSpan w:val="3"/>
            <w:shd w:val="clear" w:color="auto" w:fill="CCEEFF"/>
          </w:tcPr>
          <w:p>
            <w:pPr>
              <w:jc w:val="center"/>
              <w:ind w:right="420"/>
              <w:spacing w:after="0"/>
              <w:rPr>
                <w:sz w:val="20"/>
                <w:szCs w:val="20"/>
                <w:color w:val="auto"/>
              </w:rPr>
            </w:pPr>
            <w:r>
              <w:rPr>
                <w:rFonts w:ascii="Arial" w:cs="Arial" w:eastAsia="Arial" w:hAnsi="Arial"/>
                <w:sz w:val="17"/>
                <w:szCs w:val="17"/>
                <w:color w:val="auto"/>
                <w:w w:val="94"/>
              </w:rPr>
              <w:t>Initial $5,000,000</w:t>
            </w:r>
          </w:p>
        </w:tc>
        <w:tc>
          <w:tcPr>
            <w:tcW w:w="1340" w:type="dxa"/>
            <w:vAlign w:val="bottom"/>
            <w:shd w:val="clear" w:color="auto" w:fill="CCEEFF"/>
          </w:tcPr>
          <w:p>
            <w:pPr>
              <w:jc w:val="center"/>
              <w:ind w:right="256"/>
              <w:spacing w:after="0"/>
              <w:rPr>
                <w:sz w:val="20"/>
                <w:szCs w:val="20"/>
                <w:color w:val="auto"/>
              </w:rPr>
            </w:pPr>
            <w:r>
              <w:rPr>
                <w:rFonts w:ascii="Arial" w:cs="Arial" w:eastAsia="Arial" w:hAnsi="Arial"/>
                <w:sz w:val="17"/>
                <w:szCs w:val="17"/>
                <w:color w:val="auto"/>
                <w:w w:val="89"/>
              </w:rPr>
              <w:t>$3,000,000</w:t>
            </w:r>
          </w:p>
        </w:tc>
        <w:tc>
          <w:tcPr>
            <w:tcW w:w="0" w:type="dxa"/>
            <w:vAlign w:val="bottom"/>
          </w:tcPr>
          <w:p>
            <w:pPr>
              <w:spacing w:after="0"/>
              <w:rPr>
                <w:sz w:val="1"/>
                <w:szCs w:val="1"/>
                <w:color w:val="auto"/>
              </w:rPr>
            </w:pPr>
          </w:p>
        </w:tc>
      </w:tr>
      <w:tr>
        <w:trPr>
          <w:trHeight w:val="209"/>
        </w:trPr>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jc w:val="center"/>
              <w:spacing w:after="0"/>
              <w:rPr>
                <w:sz w:val="20"/>
                <w:szCs w:val="20"/>
                <w:color w:val="auto"/>
              </w:rPr>
            </w:pPr>
            <w:r>
              <w:rPr>
                <w:rFonts w:ascii="Arial" w:cs="Arial" w:eastAsia="Arial" w:hAnsi="Arial"/>
                <w:sz w:val="17"/>
                <w:szCs w:val="17"/>
                <w:color w:val="auto"/>
                <w:w w:val="90"/>
              </w:rPr>
              <w:t>$5,000,000 - $320,000,000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jc w:val="center"/>
              <w:ind w:right="216"/>
              <w:spacing w:after="0"/>
              <w:rPr>
                <w:sz w:val="20"/>
                <w:szCs w:val="20"/>
                <w:color w:val="auto"/>
              </w:rPr>
            </w:pPr>
            <w:r>
              <w:rPr>
                <w:rFonts w:ascii="Arial" w:cs="Arial" w:eastAsia="Arial" w:hAnsi="Arial"/>
                <w:sz w:val="17"/>
                <w:szCs w:val="17"/>
                <w:color w:val="auto"/>
                <w:w w:val="93"/>
              </w:rPr>
              <w:t>None</w:t>
            </w:r>
          </w:p>
        </w:tc>
        <w:tc>
          <w:tcPr>
            <w:tcW w:w="2860" w:type="dxa"/>
            <w:vAlign w:val="bottom"/>
            <w:gridSpan w:val="2"/>
          </w:tcPr>
          <w:p>
            <w:pPr>
              <w:jc w:val="center"/>
              <w:ind w:left="95"/>
              <w:spacing w:after="0"/>
              <w:rPr>
                <w:sz w:val="20"/>
                <w:szCs w:val="20"/>
                <w:color w:val="auto"/>
              </w:rPr>
            </w:pPr>
            <w:r>
              <w:rPr>
                <w:rFonts w:ascii="Arial" w:cs="Arial" w:eastAsia="Arial" w:hAnsi="Arial"/>
                <w:sz w:val="17"/>
                <w:szCs w:val="17"/>
                <w:color w:val="auto"/>
                <w:w w:val="90"/>
              </w:rPr>
              <w:t>$5,000,000 - $252,000,000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jc w:val="center"/>
              <w:ind w:right="216"/>
              <w:spacing w:after="0"/>
              <w:rPr>
                <w:sz w:val="20"/>
                <w:szCs w:val="20"/>
                <w:color w:val="auto"/>
              </w:rPr>
            </w:pPr>
            <w:r>
              <w:rPr>
                <w:rFonts w:ascii="Arial" w:cs="Arial" w:eastAsia="Arial" w:hAnsi="Arial"/>
                <w:sz w:val="17"/>
                <w:szCs w:val="17"/>
                <w:color w:val="auto"/>
                <w:w w:val="88"/>
              </w:rPr>
              <w:t>None</w:t>
            </w:r>
          </w:p>
        </w:tc>
        <w:tc>
          <w:tcPr>
            <w:tcW w:w="0" w:type="dxa"/>
            <w:vAlign w:val="bottom"/>
          </w:tcPr>
          <w:p>
            <w:pPr>
              <w:spacing w:after="0"/>
              <w:rPr>
                <w:sz w:val="1"/>
                <w:szCs w:val="1"/>
                <w:color w:val="auto"/>
              </w:rPr>
            </w:pPr>
          </w:p>
        </w:tc>
      </w:tr>
      <w:tr>
        <w:trPr>
          <w:trHeight w:val="209"/>
        </w:trPr>
        <w:tc>
          <w:tcPr>
            <w:tcW w:w="2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20" w:type="dxa"/>
            <w:vAlign w:val="bottom"/>
            <w:gridSpan w:val="3"/>
            <w:shd w:val="clear" w:color="auto" w:fill="CCEEFF"/>
          </w:tcPr>
          <w:p>
            <w:pPr>
              <w:jc w:val="center"/>
              <w:ind w:right="420"/>
              <w:spacing w:after="0"/>
              <w:rPr>
                <w:sz w:val="20"/>
                <w:szCs w:val="20"/>
                <w:color w:val="auto"/>
              </w:rPr>
            </w:pPr>
            <w:r>
              <w:rPr>
                <w:rFonts w:ascii="Arial" w:cs="Arial" w:eastAsia="Arial" w:hAnsi="Arial"/>
                <w:sz w:val="17"/>
                <w:szCs w:val="17"/>
                <w:color w:val="auto"/>
                <w:w w:val="90"/>
              </w:rPr>
              <w:t>Over $320,000,000</w:t>
            </w:r>
          </w:p>
        </w:tc>
        <w:tc>
          <w:tcPr>
            <w:tcW w:w="1360" w:type="dxa"/>
            <w:vAlign w:val="bottom"/>
            <w:shd w:val="clear" w:color="auto" w:fill="CCEEFF"/>
          </w:tcPr>
          <w:p>
            <w:pPr>
              <w:jc w:val="center"/>
              <w:ind w:right="256"/>
              <w:spacing w:after="0"/>
              <w:rPr>
                <w:sz w:val="20"/>
                <w:szCs w:val="20"/>
                <w:color w:val="auto"/>
              </w:rPr>
            </w:pPr>
            <w:r>
              <w:rPr>
                <w:rFonts w:ascii="Arial" w:cs="Arial" w:eastAsia="Arial" w:hAnsi="Arial"/>
                <w:sz w:val="17"/>
                <w:szCs w:val="17"/>
                <w:color w:val="auto"/>
                <w:w w:val="87"/>
              </w:rPr>
              <w:t>100%</w:t>
            </w:r>
          </w:p>
        </w:tc>
        <w:tc>
          <w:tcPr>
            <w:tcW w:w="120" w:type="dxa"/>
            <w:vAlign w:val="bottom"/>
            <w:shd w:val="clear" w:color="auto" w:fill="CCEEFF"/>
          </w:tcPr>
          <w:p>
            <w:pPr>
              <w:spacing w:after="0"/>
              <w:rPr>
                <w:sz w:val="18"/>
                <w:szCs w:val="18"/>
                <w:color w:val="auto"/>
              </w:rPr>
            </w:pPr>
          </w:p>
        </w:tc>
        <w:tc>
          <w:tcPr>
            <w:tcW w:w="3200" w:type="dxa"/>
            <w:vAlign w:val="bottom"/>
            <w:gridSpan w:val="3"/>
            <w:shd w:val="clear" w:color="auto" w:fill="CCEEFF"/>
          </w:tcPr>
          <w:p>
            <w:pPr>
              <w:jc w:val="center"/>
              <w:ind w:right="400"/>
              <w:spacing w:after="0"/>
              <w:rPr>
                <w:sz w:val="20"/>
                <w:szCs w:val="20"/>
                <w:color w:val="auto"/>
              </w:rPr>
            </w:pPr>
            <w:r>
              <w:rPr>
                <w:rFonts w:ascii="Arial" w:cs="Arial" w:eastAsia="Arial" w:hAnsi="Arial"/>
                <w:sz w:val="17"/>
                <w:szCs w:val="17"/>
                <w:color w:val="auto"/>
                <w:w w:val="90"/>
              </w:rPr>
              <w:t>Over $252,000,000</w:t>
            </w:r>
          </w:p>
        </w:tc>
        <w:tc>
          <w:tcPr>
            <w:tcW w:w="1340" w:type="dxa"/>
            <w:vAlign w:val="bottom"/>
            <w:shd w:val="clear" w:color="auto" w:fill="CCEEFF"/>
          </w:tcPr>
          <w:p>
            <w:pPr>
              <w:jc w:val="center"/>
              <w:ind w:right="256"/>
              <w:spacing w:after="0"/>
              <w:rPr>
                <w:sz w:val="20"/>
                <w:szCs w:val="20"/>
                <w:color w:val="auto"/>
              </w:rPr>
            </w:pPr>
            <w:r>
              <w:rPr>
                <w:rFonts w:ascii="Arial" w:cs="Arial" w:eastAsia="Arial" w:hAnsi="Arial"/>
                <w:sz w:val="17"/>
                <w:szCs w:val="17"/>
                <w:color w:val="auto"/>
                <w:w w:val="91"/>
              </w:rPr>
              <w:t>100%</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320" w:hanging="315"/>
        <w:spacing w:after="0"/>
        <w:tabs>
          <w:tab w:leader="none" w:pos="3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Treaty for July 1, 2017 – June 30, 2018 is a two-year treaty with expiration date of June 30, 2019.</w:t>
      </w:r>
    </w:p>
    <w:p>
      <w:pPr>
        <w:spacing w:after="0" w:line="20" w:lineRule="exact"/>
        <w:rPr>
          <w:rFonts w:ascii="Arial" w:cs="Arial" w:eastAsia="Arial" w:hAnsi="Arial"/>
          <w:sz w:val="17"/>
          <w:szCs w:val="17"/>
          <w:color w:val="auto"/>
        </w:rPr>
      </w:pPr>
    </w:p>
    <w:p>
      <w:pPr>
        <w:ind w:left="320" w:hanging="315"/>
        <w:spacing w:after="0"/>
        <w:tabs>
          <w:tab w:leader="none" w:pos="3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Covered by excess of loss treaties up to $3,500,000 and by facultative facility from $3,500,000 to $10,000,000.</w:t>
      </w:r>
    </w:p>
    <w:p>
      <w:pPr>
        <w:spacing w:after="0" w:line="13" w:lineRule="exact"/>
        <w:rPr>
          <w:rFonts w:ascii="Arial" w:cs="Arial" w:eastAsia="Arial" w:hAnsi="Arial"/>
          <w:sz w:val="17"/>
          <w:szCs w:val="17"/>
          <w:color w:val="auto"/>
        </w:rPr>
      </w:pPr>
    </w:p>
    <w:p>
      <w:pPr>
        <w:ind w:left="320" w:hanging="315"/>
        <w:spacing w:after="0"/>
        <w:tabs>
          <w:tab w:leader="none" w:pos="3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Covered by excess of loss treaties.</w:t>
      </w:r>
    </w:p>
    <w:p>
      <w:pPr>
        <w:spacing w:after="0" w:line="13" w:lineRule="exact"/>
        <w:rPr>
          <w:rFonts w:ascii="Arial" w:cs="Arial" w:eastAsia="Arial" w:hAnsi="Arial"/>
          <w:sz w:val="17"/>
          <w:szCs w:val="17"/>
          <w:color w:val="auto"/>
        </w:rPr>
      </w:pPr>
    </w:p>
    <w:p>
      <w:pPr>
        <w:ind w:left="320" w:hanging="315"/>
        <w:spacing w:after="0"/>
        <w:tabs>
          <w:tab w:leader="none" w:pos="3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Catastrophe coverage is limited on an annual basis to two times the per occurrence amounts.</w:t>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Off-Balance Sheet Arrangements</w:t>
      </w:r>
    </w:p>
    <w:p>
      <w:pPr>
        <w:spacing w:after="0" w:line="162" w:lineRule="exact"/>
        <w:rPr>
          <w:sz w:val="20"/>
          <w:szCs w:val="20"/>
          <w:color w:val="auto"/>
        </w:rPr>
      </w:pPr>
    </w:p>
    <w:p>
      <w:pPr>
        <w:jc w:val="both"/>
        <w:ind w:firstLine="628"/>
        <w:spacing w:after="0" w:line="314" w:lineRule="auto"/>
        <w:rPr>
          <w:sz w:val="20"/>
          <w:szCs w:val="20"/>
          <w:color w:val="auto"/>
        </w:rPr>
      </w:pPr>
      <w:r>
        <w:rPr>
          <w:rFonts w:ascii="Arial" w:cs="Arial" w:eastAsia="Arial" w:hAnsi="Arial"/>
          <w:sz w:val="16"/>
          <w:szCs w:val="16"/>
          <w:color w:val="auto"/>
        </w:rPr>
        <w:t>We have no off-balance sheet arrangements that have or are reasonably likely to have a current or future effect on our financial condition, changes in financial condition, revenues or expenses, results of operations, liquidity, capital expenditures or capital resources that is material to investors.</w:t>
      </w:r>
    </w:p>
    <w:p>
      <w:pPr>
        <w:spacing w:after="0" w:line="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Factors That May Affect Future Results and Financial Condition</w:t>
      </w:r>
    </w:p>
    <w:p>
      <w:pPr>
        <w:spacing w:after="0" w:line="162" w:lineRule="exact"/>
        <w:rPr>
          <w:sz w:val="20"/>
          <w:szCs w:val="20"/>
          <w:color w:val="auto"/>
        </w:rPr>
      </w:pPr>
    </w:p>
    <w:p>
      <w:pPr>
        <w:jc w:val="both"/>
        <w:ind w:firstLine="628"/>
        <w:spacing w:after="0" w:line="311" w:lineRule="auto"/>
        <w:rPr>
          <w:sz w:val="20"/>
          <w:szCs w:val="20"/>
          <w:color w:val="auto"/>
        </w:rPr>
      </w:pPr>
      <w:r>
        <w:rPr>
          <w:rFonts w:ascii="Arial" w:cs="Arial" w:eastAsia="Arial" w:hAnsi="Arial"/>
          <w:sz w:val="15"/>
          <w:szCs w:val="15"/>
          <w:color w:val="auto"/>
        </w:rPr>
        <w:t>Based upon the factors set forth under “Factors That May Affect Future Results and Financial Condition” in Item 7 of our Annual Report on Form 10-K for the year ended December 31, 2018 as well as other factors affecting our operating results and financial condition, past financial performance should not be considered to be a reliable indicator of future performance, and investors should not use historical trends to anticipate results or trends in future periods. In addition, such factors, among others, may affect the accuracy of certain forward-looking statements contained in our periodic reports, including this Quarterly Report.</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25106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ectPr>
          <w:pgSz w:w="11900" w:h="16838" w:orient="portrait"/>
          <w:cols w:equalWidth="0" w:num="1">
            <w:col w:w="11420"/>
          </w:cols>
          <w:pgMar w:left="240" w:top="432" w:right="239" w:bottom="1440" w:gutter="0" w:footer="0" w:header="0"/>
        </w:sectPr>
      </w:pPr>
    </w:p>
    <w:bookmarkStart w:id="66" w:name="page67"/>
    <w:bookmarkEnd w:id="66"/>
    <w:p>
      <w:pPr>
        <w:spacing w:after="0"/>
        <w:rPr>
          <w:sz w:val="20"/>
          <w:szCs w:val="20"/>
          <w:color w:val="auto"/>
        </w:rPr>
      </w:pPr>
      <w:r>
        <w:rPr>
          <w:rFonts w:ascii="Arial" w:cs="Arial" w:eastAsia="Arial" w:hAnsi="Arial"/>
          <w:sz w:val="17"/>
          <w:szCs w:val="17"/>
          <w:b w:val="1"/>
          <w:bCs w:val="1"/>
          <w:color w:val="auto"/>
        </w:rPr>
        <w:t xml:space="preserve">Item 3. </w:t>
      </w:r>
      <w:r>
        <w:rPr>
          <w:rFonts w:ascii="Arial" w:cs="Arial" w:eastAsia="Arial" w:hAnsi="Arial"/>
          <w:sz w:val="17"/>
          <w:szCs w:val="17"/>
          <w:b w:val="1"/>
          <w:bCs w:val="1"/>
          <w:u w:val="single" w:color="auto"/>
          <w:color w:val="auto"/>
        </w:rPr>
        <w:t>Quantitative and Qualitative Disclosures About Market Risk</w:t>
      </w:r>
      <w:r>
        <w:rPr>
          <w:rFonts w:ascii="Arial" w:cs="Arial" w:eastAsia="Arial" w:hAnsi="Arial"/>
          <w:sz w:val="17"/>
          <w:szCs w:val="17"/>
          <w:color w:val="auto"/>
        </w:rPr>
        <w:t>.</w:t>
      </w:r>
    </w:p>
    <w:p>
      <w:pPr>
        <w:spacing w:after="0" w:line="22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This item is not applicable to smaller reporting companies.</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4. </w:t>
      </w:r>
      <w:r>
        <w:rPr>
          <w:rFonts w:ascii="Arial" w:cs="Arial" w:eastAsia="Arial" w:hAnsi="Arial"/>
          <w:sz w:val="17"/>
          <w:szCs w:val="17"/>
          <w:b w:val="1"/>
          <w:bCs w:val="1"/>
          <w:u w:val="single" w:color="auto"/>
          <w:color w:val="auto"/>
        </w:rPr>
        <w:t>Controls and Procedures</w:t>
      </w:r>
      <w:r>
        <w:rPr>
          <w:rFonts w:ascii="Arial" w:cs="Arial" w:eastAsia="Arial" w:hAnsi="Arial"/>
          <w:sz w:val="17"/>
          <w:szCs w:val="17"/>
          <w:color w:val="auto"/>
        </w:rPr>
        <w:t>.</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Evaluation of Disclosure Controls and Procedures</w:t>
      </w:r>
    </w:p>
    <w:p>
      <w:pPr>
        <w:spacing w:after="0" w:line="223" w:lineRule="exact"/>
        <w:rPr>
          <w:sz w:val="20"/>
          <w:szCs w:val="20"/>
          <w:color w:val="auto"/>
        </w:rPr>
      </w:pPr>
    </w:p>
    <w:p>
      <w:pPr>
        <w:jc w:val="both"/>
        <w:ind w:firstLine="628"/>
        <w:spacing w:after="0" w:line="299" w:lineRule="auto"/>
        <w:rPr>
          <w:sz w:val="20"/>
          <w:szCs w:val="20"/>
          <w:color w:val="auto"/>
        </w:rPr>
      </w:pPr>
      <w:r>
        <w:rPr>
          <w:rFonts w:ascii="Arial" w:cs="Arial" w:eastAsia="Arial" w:hAnsi="Arial"/>
          <w:sz w:val="15"/>
          <w:szCs w:val="15"/>
          <w:color w:val="auto"/>
        </w:rPr>
        <w:t>We maintain a system of disclosure controls and procedures as defined in Rule 13a-15(e) under the Exchange Act that are designed to assure that information required to be disclosed in the reports we file or submit under the Exchange Act is recorded, processed, summarized and reported within the time periods specified in the SEC’s rules and forms, and that such information is accumulated and communicated to management, including our Chief Executive Officer and Chief Financial Officer, as appropriate, to allow timely decisions regarding required disclosures. Based on this evaluation, our Chief Executive Officer and Chief Financial Officer have concluded that, as of the end of such period, our disclosure controls and procedures are: (i) effective in recording, processing, summarizing, and reporting information on a timely basis that we are required to disclose in the reports that we file or submit under the Exchange Act, and (ii) effective in ensuring that information that we are required to disclose in the reports that we file or submit under the Exchange Act is accumulated and communicated to our management, including our Chief Executive Officer and Chief Financial Officer, as appropriate, to allow timely decisions regarding required disclosure.</w:t>
      </w:r>
    </w:p>
    <w:p>
      <w:pPr>
        <w:spacing w:after="0" w:line="99" w:lineRule="exact"/>
        <w:rPr>
          <w:sz w:val="20"/>
          <w:szCs w:val="20"/>
          <w:color w:val="auto"/>
        </w:rPr>
      </w:pPr>
    </w:p>
    <w:p>
      <w:pPr>
        <w:jc w:val="both"/>
        <w:ind w:firstLine="628"/>
        <w:spacing w:after="0" w:line="293" w:lineRule="auto"/>
        <w:rPr>
          <w:sz w:val="20"/>
          <w:szCs w:val="20"/>
          <w:color w:val="auto"/>
        </w:rPr>
      </w:pPr>
      <w:r>
        <w:rPr>
          <w:rFonts w:ascii="Arial" w:cs="Arial" w:eastAsia="Arial" w:hAnsi="Arial"/>
          <w:sz w:val="16"/>
          <w:szCs w:val="16"/>
          <w:color w:val="auto"/>
        </w:rPr>
        <w:t>As required by Exchange Act Rule 13a-15(b), as of the end of the period covered by this Quarterly Report, under the supervision and with the participation of our Chief Executive Officer and Chief Financial Officer, we evaluated the effectiveness of our disclosure controls and procedures. Based on this evaluation, our Chief Executive Officer and Chief Financial Officer concluded that our disclosure controls and procedures were effective as of March 31, 2019.</w:t>
      </w:r>
    </w:p>
    <w:p>
      <w:pPr>
        <w:spacing w:after="0" w:line="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in Internal Control over Financial Reporting</w:t>
      </w:r>
    </w:p>
    <w:p>
      <w:pPr>
        <w:spacing w:after="0" w:line="158" w:lineRule="exact"/>
        <w:rPr>
          <w:sz w:val="20"/>
          <w:szCs w:val="20"/>
          <w:color w:val="auto"/>
        </w:rPr>
      </w:pPr>
    </w:p>
    <w:p>
      <w:pPr>
        <w:jc w:val="both"/>
        <w:ind w:firstLine="628"/>
        <w:spacing w:after="0" w:line="281" w:lineRule="auto"/>
        <w:rPr>
          <w:sz w:val="20"/>
          <w:szCs w:val="20"/>
          <w:color w:val="auto"/>
        </w:rPr>
      </w:pPr>
      <w:r>
        <w:rPr>
          <w:rFonts w:ascii="Arial" w:cs="Arial" w:eastAsia="Arial" w:hAnsi="Arial"/>
          <w:sz w:val="17"/>
          <w:szCs w:val="17"/>
          <w:color w:val="auto"/>
        </w:rPr>
        <w:t>There was no change in our internal control over financial reporting during our most recently completed fiscal quarter that has materially affected, or is reasonably likely to materially affect, our internal control over financial reporting.</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25106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ectPr>
          <w:pgSz w:w="11900" w:h="16838" w:orient="portrait"/>
          <w:cols w:equalWidth="0" w:num="1">
            <w:col w:w="11420"/>
          </w:cols>
          <w:pgMar w:left="240" w:top="493" w:right="239" w:bottom="1440" w:gutter="0" w:footer="0" w:header="0"/>
        </w:sectPr>
      </w:pPr>
    </w:p>
    <w:bookmarkStart w:id="67" w:name="page68"/>
    <w:bookmarkEnd w:id="67"/>
    <w:p>
      <w:pPr>
        <w:jc w:val="center"/>
        <w:ind w:right="-19"/>
        <w:spacing w:after="0"/>
        <w:rPr>
          <w:sz w:val="20"/>
          <w:szCs w:val="20"/>
          <w:color w:val="auto"/>
        </w:rPr>
      </w:pPr>
      <w:r>
        <w:rPr>
          <w:rFonts w:ascii="Arial" w:cs="Arial" w:eastAsia="Arial" w:hAnsi="Arial"/>
          <w:sz w:val="17"/>
          <w:szCs w:val="17"/>
          <w:b w:val="1"/>
          <w:bCs w:val="1"/>
          <w:color w:val="auto"/>
        </w:rPr>
        <w:t xml:space="preserve">PART II. </w:t>
      </w:r>
      <w:r>
        <w:rPr>
          <w:rFonts w:ascii="Arial" w:cs="Arial" w:eastAsia="Arial" w:hAnsi="Arial"/>
          <w:sz w:val="17"/>
          <w:szCs w:val="17"/>
          <w:b w:val="1"/>
          <w:bCs w:val="1"/>
          <w:u w:val="single" w:color="auto"/>
          <w:color w:val="auto"/>
        </w:rPr>
        <w:t>OTHER INFORMATION</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1. </w:t>
      </w:r>
      <w:r>
        <w:rPr>
          <w:rFonts w:ascii="Arial" w:cs="Arial" w:eastAsia="Arial" w:hAnsi="Arial"/>
          <w:sz w:val="17"/>
          <w:szCs w:val="17"/>
          <w:b w:val="1"/>
          <w:bCs w:val="1"/>
          <w:u w:val="single" w:color="auto"/>
          <w:color w:val="auto"/>
        </w:rPr>
        <w:t>Legal Proceedings</w:t>
      </w:r>
      <w:r>
        <w:rPr>
          <w:rFonts w:ascii="Arial" w:cs="Arial" w:eastAsia="Arial" w:hAnsi="Arial"/>
          <w:sz w:val="17"/>
          <w:szCs w:val="17"/>
          <w:color w:val="auto"/>
        </w:rPr>
        <w:t>.</w:t>
      </w:r>
    </w:p>
    <w:p>
      <w:pPr>
        <w:spacing w:after="0" w:line="227" w:lineRule="exact"/>
        <w:rPr>
          <w:sz w:val="20"/>
          <w:szCs w:val="20"/>
          <w:color w:val="auto"/>
        </w:rPr>
      </w:pPr>
    </w:p>
    <w:p>
      <w:pPr>
        <w:jc w:val="center"/>
        <w:ind w:right="9740"/>
        <w:spacing w:after="0"/>
        <w:rPr>
          <w:sz w:val="20"/>
          <w:szCs w:val="20"/>
          <w:color w:val="auto"/>
        </w:rPr>
      </w:pPr>
      <w:r>
        <w:rPr>
          <w:rFonts w:ascii="Arial" w:cs="Arial" w:eastAsia="Arial" w:hAnsi="Arial"/>
          <w:sz w:val="17"/>
          <w:szCs w:val="17"/>
          <w:color w:val="auto"/>
        </w:rPr>
        <w:t>None.</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1A. </w:t>
      </w:r>
      <w:r>
        <w:rPr>
          <w:rFonts w:ascii="Arial" w:cs="Arial" w:eastAsia="Arial" w:hAnsi="Arial"/>
          <w:sz w:val="17"/>
          <w:szCs w:val="17"/>
          <w:b w:val="1"/>
          <w:bCs w:val="1"/>
          <w:u w:val="single" w:color="auto"/>
          <w:color w:val="auto"/>
        </w:rPr>
        <w:t>Risk Factors</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1043305</wp:posOffset>
            </wp:positionH>
            <wp:positionV relativeFrom="paragraph">
              <wp:posOffset>-7620</wp:posOffset>
            </wp:positionV>
            <wp:extent cx="2730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7305" cy="8255"/>
                    </a:xfrm>
                    <a:prstGeom prst="rect">
                      <a:avLst/>
                    </a:prstGeom>
                    <a:noFill/>
                  </pic:spPr>
                </pic:pic>
              </a:graphicData>
            </a:graphic>
          </wp:anchor>
        </w:drawing>
      </w:r>
    </w:p>
    <w:p>
      <w:pPr>
        <w:spacing w:after="0" w:line="207" w:lineRule="exact"/>
        <w:rPr>
          <w:sz w:val="20"/>
          <w:szCs w:val="20"/>
          <w:color w:val="auto"/>
        </w:rPr>
      </w:pPr>
    </w:p>
    <w:p>
      <w:pPr>
        <w:ind w:firstLine="628"/>
        <w:spacing w:after="0" w:line="281" w:lineRule="auto"/>
        <w:rPr>
          <w:sz w:val="20"/>
          <w:szCs w:val="20"/>
          <w:color w:val="auto"/>
        </w:rPr>
      </w:pPr>
      <w:r>
        <w:rPr>
          <w:rFonts w:ascii="Arial" w:cs="Arial" w:eastAsia="Arial" w:hAnsi="Arial"/>
          <w:sz w:val="17"/>
          <w:szCs w:val="17"/>
          <w:color w:val="auto"/>
        </w:rPr>
        <w:t>There have been no material changes from the risk factors previously disclosed in Part I Item 1A of our Annual Report on Form 10-K for the year ended December 31, 2018.</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2. </w:t>
      </w:r>
      <w:r>
        <w:rPr>
          <w:rFonts w:ascii="Arial" w:cs="Arial" w:eastAsia="Arial" w:hAnsi="Arial"/>
          <w:sz w:val="17"/>
          <w:szCs w:val="17"/>
          <w:b w:val="1"/>
          <w:bCs w:val="1"/>
          <w:u w:val="single" w:color="auto"/>
          <w:color w:val="auto"/>
        </w:rPr>
        <w:t>Unregistered Sales of Equity Securities and Use of Proceeds</w:t>
      </w:r>
      <w:r>
        <w:rPr>
          <w:rFonts w:ascii="Arial" w:cs="Arial" w:eastAsia="Arial" w:hAnsi="Arial"/>
          <w:sz w:val="17"/>
          <w:szCs w:val="17"/>
          <w:color w:val="auto"/>
        </w:rPr>
        <w:t>.</w:t>
      </w:r>
    </w:p>
    <w:p>
      <w:pPr>
        <w:spacing w:after="0" w:line="162" w:lineRule="exact"/>
        <w:rPr>
          <w:sz w:val="20"/>
          <w:szCs w:val="20"/>
          <w:color w:val="auto"/>
        </w:rPr>
      </w:pPr>
    </w:p>
    <w:p>
      <w:pPr>
        <w:ind w:left="900" w:hanging="268"/>
        <w:spacing w:after="0"/>
        <w:tabs>
          <w:tab w:leader="none" w:pos="9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None.</w:t>
      </w:r>
    </w:p>
    <w:p>
      <w:pPr>
        <w:spacing w:after="0" w:line="223" w:lineRule="exact"/>
        <w:rPr>
          <w:rFonts w:ascii="Arial" w:cs="Arial" w:eastAsia="Arial" w:hAnsi="Arial"/>
          <w:sz w:val="17"/>
          <w:szCs w:val="17"/>
          <w:color w:val="auto"/>
        </w:rPr>
      </w:pPr>
    </w:p>
    <w:p>
      <w:pPr>
        <w:ind w:left="920" w:hanging="288"/>
        <w:spacing w:after="0"/>
        <w:tabs>
          <w:tab w:leader="none" w:pos="9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Not applicable.</w:t>
      </w:r>
    </w:p>
    <w:p>
      <w:pPr>
        <w:spacing w:after="0" w:line="223" w:lineRule="exact"/>
        <w:rPr>
          <w:rFonts w:ascii="Arial" w:cs="Arial" w:eastAsia="Arial" w:hAnsi="Arial"/>
          <w:sz w:val="17"/>
          <w:szCs w:val="17"/>
          <w:color w:val="auto"/>
        </w:rPr>
      </w:pPr>
    </w:p>
    <w:p>
      <w:pPr>
        <w:ind w:left="860" w:hanging="228"/>
        <w:spacing w:after="0"/>
        <w:tabs>
          <w:tab w:leader="none" w:pos="8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There were no purchases of common stock made by us or any “affiliated purchaser” during the quarter ended March 31, 2019.</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3. </w:t>
      </w:r>
      <w:r>
        <w:rPr>
          <w:rFonts w:ascii="Arial" w:cs="Arial" w:eastAsia="Arial" w:hAnsi="Arial"/>
          <w:sz w:val="17"/>
          <w:szCs w:val="17"/>
          <w:b w:val="1"/>
          <w:bCs w:val="1"/>
          <w:u w:val="single" w:color="auto"/>
          <w:color w:val="auto"/>
        </w:rPr>
        <w:t>Defaults Upon Senior Securities</w:t>
      </w:r>
      <w:r>
        <w:rPr>
          <w:rFonts w:ascii="Arial" w:cs="Arial" w:eastAsia="Arial" w:hAnsi="Arial"/>
          <w:sz w:val="17"/>
          <w:szCs w:val="17"/>
          <w:color w:val="auto"/>
        </w:rPr>
        <w:t>.</w:t>
      </w:r>
    </w:p>
    <w:p>
      <w:pPr>
        <w:spacing w:after="0" w:line="22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None.</w:t>
      </w:r>
    </w:p>
    <w:p>
      <w:pPr>
        <w:spacing w:after="0" w:line="219" w:lineRule="exact"/>
        <w:rPr>
          <w:sz w:val="20"/>
          <w:szCs w:val="20"/>
          <w:color w:val="auto"/>
        </w:rPr>
      </w:pPr>
    </w:p>
    <w:p>
      <w:pPr>
        <w:jc w:val="center"/>
        <w:ind w:right="9080"/>
        <w:spacing w:after="0"/>
        <w:rPr>
          <w:sz w:val="20"/>
          <w:szCs w:val="20"/>
          <w:color w:val="auto"/>
        </w:rPr>
      </w:pPr>
      <w:r>
        <w:rPr>
          <w:rFonts w:ascii="Arial" w:cs="Arial" w:eastAsia="Arial" w:hAnsi="Arial"/>
          <w:sz w:val="15"/>
          <w:szCs w:val="15"/>
          <w:b w:val="1"/>
          <w:bCs w:val="1"/>
          <w:color w:val="auto"/>
        </w:rPr>
        <w:t xml:space="preserve">Item 4. </w:t>
      </w:r>
      <w:r>
        <w:rPr>
          <w:rFonts w:ascii="Arial" w:cs="Arial" w:eastAsia="Arial" w:hAnsi="Arial"/>
          <w:sz w:val="15"/>
          <w:szCs w:val="15"/>
          <w:b w:val="1"/>
          <w:bCs w:val="1"/>
          <w:u w:val="single" w:color="auto"/>
          <w:color w:val="auto"/>
        </w:rPr>
        <w:t>Mine Safety Disclosures</w:t>
      </w:r>
      <w:r>
        <w:rPr>
          <w:rFonts w:ascii="Arial" w:cs="Arial" w:eastAsia="Arial" w:hAnsi="Arial"/>
          <w:sz w:val="15"/>
          <w:szCs w:val="15"/>
          <w:color w:val="auto"/>
        </w:rPr>
        <w:t>.</w:t>
      </w:r>
    </w:p>
    <w:p>
      <w:pPr>
        <w:spacing w:after="0" w:line="250" w:lineRule="exact"/>
        <w:rPr>
          <w:sz w:val="20"/>
          <w:szCs w:val="20"/>
          <w:color w:val="auto"/>
        </w:rPr>
      </w:pPr>
    </w:p>
    <w:p>
      <w:pPr>
        <w:ind w:left="640"/>
        <w:spacing w:after="0"/>
        <w:rPr>
          <w:sz w:val="20"/>
          <w:szCs w:val="20"/>
          <w:color w:val="auto"/>
        </w:rPr>
      </w:pPr>
      <w:r>
        <w:rPr>
          <w:rFonts w:ascii="Arial" w:cs="Arial" w:eastAsia="Arial" w:hAnsi="Arial"/>
          <w:sz w:val="17"/>
          <w:szCs w:val="17"/>
          <w:color w:val="auto"/>
        </w:rPr>
        <w:t>Not applicable.</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5. </w:t>
      </w:r>
      <w:r>
        <w:rPr>
          <w:rFonts w:ascii="Arial" w:cs="Arial" w:eastAsia="Arial" w:hAnsi="Arial"/>
          <w:sz w:val="17"/>
          <w:szCs w:val="17"/>
          <w:b w:val="1"/>
          <w:bCs w:val="1"/>
          <w:u w:val="single" w:color="auto"/>
          <w:color w:val="auto"/>
        </w:rPr>
        <w:t>Other Information</w:t>
      </w:r>
      <w:r>
        <w:rPr>
          <w:rFonts w:ascii="Arial" w:cs="Arial" w:eastAsia="Arial" w:hAnsi="Arial"/>
          <w:sz w:val="17"/>
          <w:szCs w:val="17"/>
          <w:color w:val="auto"/>
        </w:rPr>
        <w:t>.</w:t>
      </w:r>
    </w:p>
    <w:p>
      <w:pPr>
        <w:spacing w:after="0" w:line="22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None.</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25106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ectPr>
          <w:pgSz w:w="11900" w:h="16838" w:orient="portrait"/>
          <w:cols w:equalWidth="0" w:num="1">
            <w:col w:w="11420"/>
          </w:cols>
          <w:pgMar w:left="240" w:top="546" w:right="239" w:bottom="1440" w:gutter="0" w:footer="0" w:header="0"/>
        </w:sectPr>
      </w:pPr>
    </w:p>
    <w:bookmarkStart w:id="68" w:name="page69"/>
    <w:bookmarkEnd w:id="68"/>
    <w:p>
      <w:pPr>
        <w:spacing w:after="0"/>
        <w:rPr>
          <w:sz w:val="20"/>
          <w:szCs w:val="20"/>
          <w:color w:val="auto"/>
        </w:rPr>
      </w:pPr>
      <w:r>
        <w:rPr>
          <w:rFonts w:ascii="Arial" w:cs="Arial" w:eastAsia="Arial" w:hAnsi="Arial"/>
          <w:sz w:val="17"/>
          <w:szCs w:val="17"/>
          <w:b w:val="1"/>
          <w:bCs w:val="1"/>
          <w:color w:val="auto"/>
        </w:rPr>
        <w:t xml:space="preserve">Item 6. </w:t>
      </w:r>
      <w:r>
        <w:rPr>
          <w:rFonts w:ascii="Arial" w:cs="Arial" w:eastAsia="Arial" w:hAnsi="Arial"/>
          <w:sz w:val="17"/>
          <w:szCs w:val="17"/>
          <w:b w:val="1"/>
          <w:bCs w:val="1"/>
          <w:u w:val="single" w:color="auto"/>
          <w:color w:val="auto"/>
        </w:rPr>
        <w:t>Exhibits</w:t>
      </w:r>
      <w:r>
        <w:rPr>
          <w:rFonts w:ascii="Arial" w:cs="Arial" w:eastAsia="Arial" w:hAnsi="Arial"/>
          <w:sz w:val="17"/>
          <w:szCs w:val="17"/>
          <w:color w:val="auto"/>
        </w:rPr>
        <w:t>.</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20" w:type="dxa"/>
            <w:vAlign w:val="bottom"/>
            <w:gridSpan w:val="5"/>
            <w:shd w:val="clear" w:color="auto" w:fill="CCEEFF"/>
          </w:tcPr>
          <w:p>
            <w:pPr>
              <w:jc w:val="center"/>
              <w:ind w:right="420"/>
              <w:spacing w:after="0"/>
              <w:rPr>
                <w:rFonts w:ascii="Arial" w:cs="Arial" w:eastAsia="Arial" w:hAnsi="Arial"/>
                <w:sz w:val="17"/>
                <w:szCs w:val="17"/>
                <w:color w:val="0000EE"/>
                <w:w w:val="85"/>
              </w:rPr>
            </w:pPr>
            <w:hyperlink r:id="rId121">
              <w:r>
                <w:rPr>
                  <w:rFonts w:ascii="Arial" w:cs="Arial" w:eastAsia="Arial" w:hAnsi="Arial"/>
                  <w:sz w:val="17"/>
                  <w:szCs w:val="17"/>
                  <w:color w:val="0000EE"/>
                  <w:w w:val="85"/>
                </w:rPr>
                <w:t>3(a)</w:t>
              </w:r>
            </w:hyperlink>
          </w:p>
        </w:tc>
        <w:tc>
          <w:tcPr>
            <w:tcW w:w="10160" w:type="dxa"/>
            <w:vAlign w:val="bottom"/>
            <w:shd w:val="clear" w:color="auto" w:fill="CCEEFF"/>
          </w:tcPr>
          <w:p>
            <w:pPr>
              <w:ind w:left="240"/>
              <w:spacing w:after="0"/>
              <w:rPr>
                <w:sz w:val="20"/>
                <w:szCs w:val="20"/>
                <w:color w:val="auto"/>
              </w:rPr>
            </w:pPr>
            <w:r>
              <w:rPr>
                <w:rFonts w:ascii="Arial" w:cs="Arial" w:eastAsia="Arial" w:hAnsi="Arial"/>
                <w:sz w:val="17"/>
                <w:szCs w:val="17"/>
                <w:color w:val="auto"/>
                <w:w w:val="92"/>
              </w:rPr>
              <w:t>Restated Certificate of Incorporation, as amended (incorporated by reference to Exhibit 3(a) to the Company’s Quarterly Report on Form 10-Q</w:t>
            </w:r>
          </w:p>
        </w:tc>
      </w:tr>
      <w:tr>
        <w:trPr>
          <w:trHeight w:val="229"/>
        </w:trPr>
        <w:tc>
          <w:tcPr>
            <w:tcW w:w="5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0000EE"/>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CCEEFF"/>
            </w:tcBorders>
            <w:shd w:val="clear" w:color="auto" w:fill="CCEEFF"/>
          </w:tcPr>
          <w:p>
            <w:pPr>
              <w:spacing w:after="0"/>
              <w:rPr>
                <w:sz w:val="19"/>
                <w:szCs w:val="19"/>
                <w:color w:val="auto"/>
              </w:rPr>
            </w:pPr>
          </w:p>
        </w:tc>
        <w:tc>
          <w:tcPr>
            <w:tcW w:w="10160" w:type="dxa"/>
            <w:vAlign w:val="bottom"/>
            <w:tcBorders>
              <w:top w:val="single" w:sz="8" w:color="CCEEFF"/>
            </w:tcBorders>
            <w:shd w:val="clear" w:color="auto" w:fill="CCEEFF"/>
          </w:tcPr>
          <w:p>
            <w:pPr>
              <w:ind w:left="240"/>
              <w:spacing w:after="0"/>
              <w:rPr>
                <w:sz w:val="20"/>
                <w:szCs w:val="20"/>
                <w:color w:val="auto"/>
              </w:rPr>
            </w:pPr>
            <w:r>
              <w:rPr>
                <w:rFonts w:ascii="Arial" w:cs="Arial" w:eastAsia="Arial" w:hAnsi="Arial"/>
                <w:sz w:val="17"/>
                <w:szCs w:val="17"/>
                <w:color w:val="auto"/>
              </w:rPr>
              <w:t>for the period ended March 31, 2014 filed on May 15, 2014).</w:t>
            </w:r>
          </w:p>
        </w:tc>
      </w:tr>
      <w:tr>
        <w:trPr>
          <w:trHeight w:val="209"/>
        </w:trPr>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160" w:type="dxa"/>
            <w:vAlign w:val="bottom"/>
          </w:tcPr>
          <w:p>
            <w:pPr>
              <w:spacing w:after="0"/>
              <w:rPr>
                <w:sz w:val="18"/>
                <w:szCs w:val="18"/>
                <w:color w:val="auto"/>
              </w:rPr>
            </w:pPr>
          </w:p>
        </w:tc>
      </w:tr>
      <w:tr>
        <w:trPr>
          <w:trHeight w:val="189"/>
        </w:trPr>
        <w:tc>
          <w:tcPr>
            <w:tcW w:w="5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20" w:type="dxa"/>
            <w:vAlign w:val="bottom"/>
            <w:gridSpan w:val="5"/>
            <w:shd w:val="clear" w:color="auto" w:fill="CCEEFF"/>
          </w:tcPr>
          <w:p>
            <w:pPr>
              <w:jc w:val="center"/>
              <w:ind w:right="420"/>
              <w:spacing w:after="0" w:line="170" w:lineRule="exact"/>
              <w:rPr>
                <w:rFonts w:ascii="Arial" w:cs="Arial" w:eastAsia="Arial" w:hAnsi="Arial"/>
                <w:sz w:val="17"/>
                <w:szCs w:val="17"/>
                <w:color w:val="0000EE"/>
                <w:w w:val="99"/>
              </w:rPr>
            </w:pPr>
            <w:hyperlink r:id="rId122">
              <w:r>
                <w:rPr>
                  <w:rFonts w:ascii="Arial" w:cs="Arial" w:eastAsia="Arial" w:hAnsi="Arial"/>
                  <w:sz w:val="17"/>
                  <w:szCs w:val="17"/>
                  <w:color w:val="0000EE"/>
                  <w:w w:val="99"/>
                </w:rPr>
                <w:t>3(b)</w:t>
              </w:r>
            </w:hyperlink>
          </w:p>
        </w:tc>
        <w:tc>
          <w:tcPr>
            <w:tcW w:w="10160" w:type="dxa"/>
            <w:vAlign w:val="bottom"/>
            <w:shd w:val="clear" w:color="auto" w:fill="CCEEFF"/>
          </w:tcPr>
          <w:p>
            <w:pPr>
              <w:ind w:left="240"/>
              <w:spacing w:after="0" w:line="170" w:lineRule="exact"/>
              <w:rPr>
                <w:sz w:val="20"/>
                <w:szCs w:val="20"/>
                <w:color w:val="auto"/>
              </w:rPr>
            </w:pPr>
            <w:r>
              <w:rPr>
                <w:rFonts w:ascii="Arial" w:cs="Arial" w:eastAsia="Arial" w:hAnsi="Arial"/>
                <w:sz w:val="17"/>
                <w:szCs w:val="17"/>
                <w:color w:val="auto"/>
                <w:w w:val="95"/>
              </w:rPr>
              <w:t>By-laws, as amended (incorporated by reference to Exhibit 3.1 to the Company’s current Report on Form 8-K filed on November 9, 2009).</w:t>
            </w:r>
          </w:p>
        </w:tc>
      </w:tr>
      <w:tr>
        <w:trPr>
          <w:trHeight w:val="209"/>
        </w:trPr>
        <w:tc>
          <w:tcPr>
            <w:tcW w:w="5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0160" w:type="dxa"/>
            <w:vAlign w:val="bottom"/>
            <w:tcBorders>
              <w:top w:val="single" w:sz="8" w:color="CCEEFF"/>
            </w:tcBorders>
          </w:tcPr>
          <w:p>
            <w:pPr>
              <w:spacing w:after="0"/>
              <w:rPr>
                <w:sz w:val="18"/>
                <w:szCs w:val="18"/>
                <w:color w:val="auto"/>
              </w:rPr>
            </w:pPr>
          </w:p>
        </w:tc>
      </w:tr>
      <w:tr>
        <w:trPr>
          <w:trHeight w:val="189"/>
        </w:trPr>
        <w:tc>
          <w:tcPr>
            <w:tcW w:w="500" w:type="dxa"/>
            <w:vAlign w:val="bottom"/>
            <w:shd w:val="clear" w:color="auto" w:fill="CCEEFF"/>
          </w:tcPr>
          <w:p>
            <w:pPr>
              <w:spacing w:after="0"/>
              <w:rPr>
                <w:sz w:val="16"/>
                <w:szCs w:val="16"/>
                <w:color w:val="auto"/>
              </w:rPr>
            </w:pPr>
          </w:p>
        </w:tc>
        <w:tc>
          <w:tcPr>
            <w:tcW w:w="760" w:type="dxa"/>
            <w:vAlign w:val="bottom"/>
            <w:gridSpan w:val="7"/>
            <w:shd w:val="clear" w:color="auto" w:fill="CCEEFF"/>
          </w:tcPr>
          <w:p>
            <w:pPr>
              <w:jc w:val="center"/>
              <w:ind w:right="360"/>
              <w:spacing w:after="0" w:line="170" w:lineRule="exact"/>
              <w:rPr>
                <w:sz w:val="20"/>
                <w:szCs w:val="20"/>
                <w:color w:val="auto"/>
              </w:rPr>
            </w:pPr>
            <w:r>
              <w:rPr>
                <w:rFonts w:ascii="Arial" w:cs="Arial" w:eastAsia="Arial" w:hAnsi="Arial"/>
                <w:sz w:val="17"/>
                <w:szCs w:val="17"/>
                <w:color w:val="0000EE"/>
                <w:w w:val="90"/>
              </w:rPr>
              <w:t>31(a)</w:t>
            </w:r>
          </w:p>
        </w:tc>
        <w:tc>
          <w:tcPr>
            <w:tcW w:w="10160" w:type="dxa"/>
            <w:vAlign w:val="bottom"/>
            <w:shd w:val="clear" w:color="auto" w:fill="CCEEFF"/>
          </w:tcPr>
          <w:p>
            <w:pPr>
              <w:ind w:left="240"/>
              <w:spacing w:after="0" w:line="170" w:lineRule="exact"/>
              <w:rPr>
                <w:sz w:val="20"/>
                <w:szCs w:val="20"/>
                <w:color w:val="auto"/>
              </w:rPr>
            </w:pPr>
            <w:r>
              <w:rPr>
                <w:rFonts w:ascii="Arial" w:cs="Arial" w:eastAsia="Arial" w:hAnsi="Arial"/>
                <w:sz w:val="17"/>
                <w:szCs w:val="17"/>
                <w:color w:val="auto"/>
                <w:w w:val="94"/>
              </w:rPr>
              <w:t>Rule 13a-14(a)/15d-14(a) Certification of Principal Executive Officer as adopted pursuant to Section 302 of the Sarbanes-Oxley Act of 2002</w:t>
            </w:r>
          </w:p>
        </w:tc>
      </w:tr>
      <w:tr>
        <w:trPr>
          <w:trHeight w:val="209"/>
        </w:trPr>
        <w:tc>
          <w:tcPr>
            <w:tcW w:w="5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0160" w:type="dxa"/>
            <w:vAlign w:val="bottom"/>
            <w:tcBorders>
              <w:top w:val="single" w:sz="8" w:color="CCEEFF"/>
            </w:tcBorders>
          </w:tcPr>
          <w:p>
            <w:pPr>
              <w:spacing w:after="0"/>
              <w:rPr>
                <w:sz w:val="18"/>
                <w:szCs w:val="18"/>
                <w:color w:val="auto"/>
              </w:rPr>
            </w:pPr>
          </w:p>
        </w:tc>
      </w:tr>
      <w:tr>
        <w:trPr>
          <w:trHeight w:val="189"/>
        </w:trPr>
        <w:tc>
          <w:tcPr>
            <w:tcW w:w="500" w:type="dxa"/>
            <w:vAlign w:val="bottom"/>
            <w:shd w:val="clear" w:color="auto" w:fill="CCEEFF"/>
          </w:tcPr>
          <w:p>
            <w:pPr>
              <w:spacing w:after="0"/>
              <w:rPr>
                <w:sz w:val="16"/>
                <w:szCs w:val="16"/>
                <w:color w:val="auto"/>
              </w:rPr>
            </w:pPr>
          </w:p>
        </w:tc>
        <w:tc>
          <w:tcPr>
            <w:tcW w:w="760" w:type="dxa"/>
            <w:vAlign w:val="bottom"/>
            <w:gridSpan w:val="7"/>
            <w:shd w:val="clear" w:color="auto" w:fill="CCEEFF"/>
          </w:tcPr>
          <w:p>
            <w:pPr>
              <w:jc w:val="center"/>
              <w:ind w:right="380"/>
              <w:spacing w:after="0" w:line="170" w:lineRule="exact"/>
              <w:rPr>
                <w:sz w:val="20"/>
                <w:szCs w:val="20"/>
                <w:color w:val="auto"/>
              </w:rPr>
            </w:pPr>
            <w:r>
              <w:rPr>
                <w:rFonts w:ascii="Arial" w:cs="Arial" w:eastAsia="Arial" w:hAnsi="Arial"/>
                <w:sz w:val="17"/>
                <w:szCs w:val="17"/>
                <w:color w:val="0000EE"/>
                <w:w w:val="95"/>
              </w:rPr>
              <w:t>31(b)</w:t>
            </w:r>
          </w:p>
        </w:tc>
        <w:tc>
          <w:tcPr>
            <w:tcW w:w="10160" w:type="dxa"/>
            <w:vAlign w:val="bottom"/>
            <w:shd w:val="clear" w:color="auto" w:fill="CCEEFF"/>
          </w:tcPr>
          <w:p>
            <w:pPr>
              <w:ind w:left="240"/>
              <w:spacing w:after="0" w:line="170" w:lineRule="exact"/>
              <w:rPr>
                <w:sz w:val="20"/>
                <w:szCs w:val="20"/>
                <w:color w:val="auto"/>
              </w:rPr>
            </w:pPr>
            <w:r>
              <w:rPr>
                <w:rFonts w:ascii="Arial" w:cs="Arial" w:eastAsia="Arial" w:hAnsi="Arial"/>
                <w:sz w:val="17"/>
                <w:szCs w:val="17"/>
                <w:color w:val="auto"/>
                <w:w w:val="95"/>
              </w:rPr>
              <w:t>Rule 13a-14(a)/15d-14(a) Certification of Principal Financial Officer as adopted pursuant to Section 302 of the Sarbanes-Oxley Act of 2002</w:t>
            </w:r>
          </w:p>
        </w:tc>
      </w:tr>
      <w:tr>
        <w:trPr>
          <w:trHeight w:val="209"/>
        </w:trPr>
        <w:tc>
          <w:tcPr>
            <w:tcW w:w="50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0160" w:type="dxa"/>
            <w:vAlign w:val="bottom"/>
            <w:tcBorders>
              <w:top w:val="single" w:sz="8" w:color="CCEEFF"/>
            </w:tcBorders>
          </w:tcPr>
          <w:p>
            <w:pPr>
              <w:spacing w:after="0"/>
              <w:rPr>
                <w:sz w:val="18"/>
                <w:szCs w:val="18"/>
                <w:color w:val="auto"/>
              </w:rPr>
            </w:pPr>
          </w:p>
        </w:tc>
      </w:tr>
      <w:tr>
        <w:trPr>
          <w:trHeight w:val="170"/>
        </w:trPr>
        <w:tc>
          <w:tcPr>
            <w:tcW w:w="820" w:type="dxa"/>
            <w:vAlign w:val="bottom"/>
            <w:gridSpan w:val="5"/>
            <w:shd w:val="clear" w:color="auto" w:fill="CCEEFF"/>
          </w:tcPr>
          <w:p>
            <w:pPr>
              <w:jc w:val="center"/>
              <w:ind w:left="475"/>
              <w:spacing w:after="0" w:line="170" w:lineRule="exact"/>
              <w:rPr>
                <w:sz w:val="20"/>
                <w:szCs w:val="20"/>
                <w:color w:val="auto"/>
              </w:rPr>
            </w:pPr>
            <w:r>
              <w:rPr>
                <w:rFonts w:ascii="Arial" w:cs="Arial" w:eastAsia="Arial" w:hAnsi="Arial"/>
                <w:sz w:val="17"/>
                <w:szCs w:val="17"/>
                <w:color w:val="0000EE"/>
                <w:w w:val="90"/>
              </w:rPr>
              <w:t>32+</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160" w:type="dxa"/>
            <w:vAlign w:val="bottom"/>
            <w:shd w:val="clear" w:color="auto" w:fill="CCEEFF"/>
          </w:tcPr>
          <w:p>
            <w:pPr>
              <w:ind w:left="240"/>
              <w:spacing w:after="0" w:line="170" w:lineRule="exact"/>
              <w:rPr>
                <w:sz w:val="20"/>
                <w:szCs w:val="20"/>
                <w:color w:val="auto"/>
              </w:rPr>
            </w:pPr>
            <w:r>
              <w:rPr>
                <w:rFonts w:ascii="Arial" w:cs="Arial" w:eastAsia="Arial" w:hAnsi="Arial"/>
                <w:sz w:val="17"/>
                <w:szCs w:val="17"/>
                <w:color w:val="auto"/>
                <w:w w:val="92"/>
              </w:rPr>
              <w:t>Certification of Chief Executive Officer and Chief Financial Officer Pursuant to 18 U.S.C. Section 1350, as Adopted Pursuant to Section 906 of</w:t>
            </w:r>
          </w:p>
        </w:tc>
      </w:tr>
      <w:tr>
        <w:trPr>
          <w:trHeight w:val="229"/>
        </w:trPr>
        <w:tc>
          <w:tcPr>
            <w:tcW w:w="5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0000EE"/>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CCEEFF"/>
            </w:tcBorders>
            <w:shd w:val="clear" w:color="auto" w:fill="CCEEFF"/>
          </w:tcPr>
          <w:p>
            <w:pPr>
              <w:spacing w:after="0"/>
              <w:rPr>
                <w:sz w:val="19"/>
                <w:szCs w:val="19"/>
                <w:color w:val="auto"/>
              </w:rPr>
            </w:pPr>
          </w:p>
        </w:tc>
        <w:tc>
          <w:tcPr>
            <w:tcW w:w="10160" w:type="dxa"/>
            <w:vAlign w:val="bottom"/>
            <w:tcBorders>
              <w:top w:val="single" w:sz="8" w:color="CCEEFF"/>
            </w:tcBorders>
            <w:shd w:val="clear" w:color="auto" w:fill="CCEEFF"/>
          </w:tcPr>
          <w:p>
            <w:pPr>
              <w:ind w:left="240"/>
              <w:spacing w:after="0"/>
              <w:rPr>
                <w:sz w:val="20"/>
                <w:szCs w:val="20"/>
                <w:color w:val="auto"/>
              </w:rPr>
            </w:pPr>
            <w:r>
              <w:rPr>
                <w:rFonts w:ascii="Arial" w:cs="Arial" w:eastAsia="Arial" w:hAnsi="Arial"/>
                <w:sz w:val="17"/>
                <w:szCs w:val="17"/>
                <w:color w:val="auto"/>
              </w:rPr>
              <w:t>the Sarbanes-Oxley Act of 2002</w:t>
            </w:r>
          </w:p>
        </w:tc>
      </w:tr>
      <w:tr>
        <w:trPr>
          <w:trHeight w:val="209"/>
        </w:trPr>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160" w:type="dxa"/>
            <w:vAlign w:val="bottom"/>
          </w:tcPr>
          <w:p>
            <w:pPr>
              <w:spacing w:after="0"/>
              <w:rPr>
                <w:sz w:val="18"/>
                <w:szCs w:val="18"/>
                <w:color w:val="auto"/>
              </w:rPr>
            </w:pPr>
          </w:p>
        </w:tc>
      </w:tr>
      <w:tr>
        <w:trPr>
          <w:trHeight w:val="209"/>
        </w:trPr>
        <w:tc>
          <w:tcPr>
            <w:tcW w:w="1260" w:type="dxa"/>
            <w:vAlign w:val="bottom"/>
            <w:gridSpan w:val="8"/>
            <w:shd w:val="clear" w:color="auto" w:fill="CCEEFF"/>
          </w:tcPr>
          <w:p>
            <w:pPr>
              <w:jc w:val="center"/>
              <w:ind w:left="35"/>
              <w:spacing w:after="0"/>
              <w:rPr>
                <w:sz w:val="20"/>
                <w:szCs w:val="20"/>
                <w:color w:val="auto"/>
              </w:rPr>
            </w:pPr>
            <w:r>
              <w:rPr>
                <w:rFonts w:ascii="Arial" w:cs="Arial" w:eastAsia="Arial" w:hAnsi="Arial"/>
                <w:sz w:val="17"/>
                <w:szCs w:val="17"/>
                <w:color w:val="auto"/>
                <w:w w:val="94"/>
              </w:rPr>
              <w:t>101.INS</w:t>
            </w:r>
          </w:p>
        </w:tc>
        <w:tc>
          <w:tcPr>
            <w:tcW w:w="10160" w:type="dxa"/>
            <w:vAlign w:val="bottom"/>
            <w:shd w:val="clear" w:color="auto" w:fill="CCEEFF"/>
          </w:tcPr>
          <w:p>
            <w:pPr>
              <w:ind w:left="240"/>
              <w:spacing w:after="0"/>
              <w:rPr>
                <w:sz w:val="20"/>
                <w:szCs w:val="20"/>
                <w:color w:val="auto"/>
              </w:rPr>
            </w:pPr>
            <w:r>
              <w:rPr>
                <w:rFonts w:ascii="Arial" w:cs="Arial" w:eastAsia="Arial" w:hAnsi="Arial"/>
                <w:sz w:val="17"/>
                <w:szCs w:val="17"/>
                <w:color w:val="auto"/>
              </w:rPr>
              <w:t>XBRL Instance Document</w:t>
            </w:r>
          </w:p>
        </w:tc>
      </w:tr>
      <w:tr>
        <w:trPr>
          <w:trHeight w:val="209"/>
        </w:trPr>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160" w:type="dxa"/>
            <w:vAlign w:val="bottom"/>
          </w:tcPr>
          <w:p>
            <w:pPr>
              <w:spacing w:after="0"/>
              <w:rPr>
                <w:sz w:val="18"/>
                <w:szCs w:val="18"/>
                <w:color w:val="auto"/>
              </w:rPr>
            </w:pPr>
          </w:p>
        </w:tc>
      </w:tr>
      <w:tr>
        <w:trPr>
          <w:trHeight w:val="209"/>
        </w:trPr>
        <w:tc>
          <w:tcPr>
            <w:tcW w:w="1260" w:type="dxa"/>
            <w:vAlign w:val="bottom"/>
            <w:gridSpan w:val="8"/>
            <w:shd w:val="clear" w:color="auto" w:fill="CCEEFF"/>
          </w:tcPr>
          <w:p>
            <w:pPr>
              <w:jc w:val="center"/>
              <w:ind w:left="35"/>
              <w:spacing w:after="0"/>
              <w:rPr>
                <w:sz w:val="20"/>
                <w:szCs w:val="20"/>
                <w:color w:val="auto"/>
              </w:rPr>
            </w:pPr>
            <w:r>
              <w:rPr>
                <w:rFonts w:ascii="Arial" w:cs="Arial" w:eastAsia="Arial" w:hAnsi="Arial"/>
                <w:sz w:val="17"/>
                <w:szCs w:val="17"/>
                <w:color w:val="auto"/>
                <w:w w:val="89"/>
              </w:rPr>
              <w:t>101.SCH</w:t>
            </w:r>
          </w:p>
        </w:tc>
        <w:tc>
          <w:tcPr>
            <w:tcW w:w="10160" w:type="dxa"/>
            <w:vAlign w:val="bottom"/>
            <w:shd w:val="clear" w:color="auto" w:fill="CCEEFF"/>
          </w:tcPr>
          <w:p>
            <w:pPr>
              <w:ind w:left="240"/>
              <w:spacing w:after="0"/>
              <w:rPr>
                <w:sz w:val="20"/>
                <w:szCs w:val="20"/>
                <w:color w:val="auto"/>
              </w:rPr>
            </w:pPr>
            <w:r>
              <w:rPr>
                <w:rFonts w:ascii="Arial" w:cs="Arial" w:eastAsia="Arial" w:hAnsi="Arial"/>
                <w:sz w:val="17"/>
                <w:szCs w:val="17"/>
                <w:color w:val="auto"/>
              </w:rPr>
              <w:t>101.SCH XBRL Taxonomy Extension Schema.</w:t>
            </w:r>
          </w:p>
        </w:tc>
      </w:tr>
      <w:tr>
        <w:trPr>
          <w:trHeight w:val="209"/>
        </w:trPr>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160" w:type="dxa"/>
            <w:vAlign w:val="bottom"/>
          </w:tcPr>
          <w:p>
            <w:pPr>
              <w:spacing w:after="0"/>
              <w:rPr>
                <w:sz w:val="18"/>
                <w:szCs w:val="18"/>
                <w:color w:val="auto"/>
              </w:rPr>
            </w:pPr>
          </w:p>
        </w:tc>
      </w:tr>
      <w:tr>
        <w:trPr>
          <w:trHeight w:val="209"/>
        </w:trPr>
        <w:tc>
          <w:tcPr>
            <w:tcW w:w="1260" w:type="dxa"/>
            <w:vAlign w:val="bottom"/>
            <w:gridSpan w:val="8"/>
            <w:shd w:val="clear" w:color="auto" w:fill="CCEEFF"/>
          </w:tcPr>
          <w:p>
            <w:pPr>
              <w:jc w:val="center"/>
              <w:ind w:left="55"/>
              <w:spacing w:after="0"/>
              <w:rPr>
                <w:sz w:val="20"/>
                <w:szCs w:val="20"/>
                <w:color w:val="auto"/>
              </w:rPr>
            </w:pPr>
            <w:r>
              <w:rPr>
                <w:rFonts w:ascii="Arial" w:cs="Arial" w:eastAsia="Arial" w:hAnsi="Arial"/>
                <w:sz w:val="17"/>
                <w:szCs w:val="17"/>
                <w:color w:val="auto"/>
                <w:w w:val="96"/>
              </w:rPr>
              <w:t>101.CAL</w:t>
            </w:r>
          </w:p>
        </w:tc>
        <w:tc>
          <w:tcPr>
            <w:tcW w:w="10160" w:type="dxa"/>
            <w:vAlign w:val="bottom"/>
            <w:shd w:val="clear" w:color="auto" w:fill="CCEEFF"/>
          </w:tcPr>
          <w:p>
            <w:pPr>
              <w:ind w:left="240"/>
              <w:spacing w:after="0"/>
              <w:rPr>
                <w:sz w:val="20"/>
                <w:szCs w:val="20"/>
                <w:color w:val="auto"/>
              </w:rPr>
            </w:pPr>
            <w:r>
              <w:rPr>
                <w:rFonts w:ascii="Arial" w:cs="Arial" w:eastAsia="Arial" w:hAnsi="Arial"/>
                <w:sz w:val="17"/>
                <w:szCs w:val="17"/>
                <w:color w:val="auto"/>
              </w:rPr>
              <w:t>101.CAL XBRL Taxonomy Extension Calculation Linkbase.</w:t>
            </w:r>
          </w:p>
        </w:tc>
      </w:tr>
      <w:tr>
        <w:trPr>
          <w:trHeight w:val="209"/>
        </w:trPr>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160" w:type="dxa"/>
            <w:vAlign w:val="bottom"/>
          </w:tcPr>
          <w:p>
            <w:pPr>
              <w:spacing w:after="0"/>
              <w:rPr>
                <w:sz w:val="18"/>
                <w:szCs w:val="18"/>
                <w:color w:val="auto"/>
              </w:rPr>
            </w:pPr>
          </w:p>
        </w:tc>
      </w:tr>
      <w:tr>
        <w:trPr>
          <w:trHeight w:val="209"/>
        </w:trPr>
        <w:tc>
          <w:tcPr>
            <w:tcW w:w="1260" w:type="dxa"/>
            <w:vAlign w:val="bottom"/>
            <w:gridSpan w:val="8"/>
            <w:shd w:val="clear" w:color="auto" w:fill="CCEEFF"/>
          </w:tcPr>
          <w:p>
            <w:pPr>
              <w:jc w:val="center"/>
              <w:ind w:left="35"/>
              <w:spacing w:after="0"/>
              <w:rPr>
                <w:sz w:val="20"/>
                <w:szCs w:val="20"/>
                <w:color w:val="auto"/>
              </w:rPr>
            </w:pPr>
            <w:r>
              <w:rPr>
                <w:rFonts w:ascii="Arial" w:cs="Arial" w:eastAsia="Arial" w:hAnsi="Arial"/>
                <w:sz w:val="17"/>
                <w:szCs w:val="17"/>
                <w:color w:val="auto"/>
                <w:w w:val="92"/>
              </w:rPr>
              <w:t>101.DEF</w:t>
            </w:r>
          </w:p>
        </w:tc>
        <w:tc>
          <w:tcPr>
            <w:tcW w:w="10160" w:type="dxa"/>
            <w:vAlign w:val="bottom"/>
            <w:shd w:val="clear" w:color="auto" w:fill="CCEEFF"/>
          </w:tcPr>
          <w:p>
            <w:pPr>
              <w:ind w:left="240"/>
              <w:spacing w:after="0"/>
              <w:rPr>
                <w:sz w:val="20"/>
                <w:szCs w:val="20"/>
                <w:color w:val="auto"/>
              </w:rPr>
            </w:pPr>
            <w:r>
              <w:rPr>
                <w:rFonts w:ascii="Arial" w:cs="Arial" w:eastAsia="Arial" w:hAnsi="Arial"/>
                <w:sz w:val="17"/>
                <w:szCs w:val="17"/>
                <w:color w:val="auto"/>
              </w:rPr>
              <w:t>101.DEF XBRL Taxonomy Extension Definition Linkbase.</w:t>
            </w:r>
          </w:p>
        </w:tc>
      </w:tr>
      <w:tr>
        <w:trPr>
          <w:trHeight w:val="209"/>
        </w:trPr>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160" w:type="dxa"/>
            <w:vAlign w:val="bottom"/>
          </w:tcPr>
          <w:p>
            <w:pPr>
              <w:spacing w:after="0"/>
              <w:rPr>
                <w:sz w:val="18"/>
                <w:szCs w:val="18"/>
                <w:color w:val="auto"/>
              </w:rPr>
            </w:pPr>
          </w:p>
        </w:tc>
      </w:tr>
      <w:tr>
        <w:trPr>
          <w:trHeight w:val="209"/>
        </w:trPr>
        <w:tc>
          <w:tcPr>
            <w:tcW w:w="1260" w:type="dxa"/>
            <w:vAlign w:val="bottom"/>
            <w:gridSpan w:val="8"/>
            <w:shd w:val="clear" w:color="auto" w:fill="CCEEFF"/>
          </w:tcPr>
          <w:p>
            <w:pPr>
              <w:jc w:val="center"/>
              <w:ind w:left="55"/>
              <w:spacing w:after="0"/>
              <w:rPr>
                <w:sz w:val="20"/>
                <w:szCs w:val="20"/>
                <w:color w:val="auto"/>
              </w:rPr>
            </w:pPr>
            <w:r>
              <w:rPr>
                <w:rFonts w:ascii="Arial" w:cs="Arial" w:eastAsia="Arial" w:hAnsi="Arial"/>
                <w:sz w:val="17"/>
                <w:szCs w:val="17"/>
                <w:color w:val="auto"/>
                <w:w w:val="98"/>
              </w:rPr>
              <w:t>101.LAB</w:t>
            </w:r>
          </w:p>
        </w:tc>
        <w:tc>
          <w:tcPr>
            <w:tcW w:w="10160" w:type="dxa"/>
            <w:vAlign w:val="bottom"/>
            <w:shd w:val="clear" w:color="auto" w:fill="CCEEFF"/>
          </w:tcPr>
          <w:p>
            <w:pPr>
              <w:ind w:left="240"/>
              <w:spacing w:after="0"/>
              <w:rPr>
                <w:sz w:val="20"/>
                <w:szCs w:val="20"/>
                <w:color w:val="auto"/>
              </w:rPr>
            </w:pPr>
            <w:r>
              <w:rPr>
                <w:rFonts w:ascii="Arial" w:cs="Arial" w:eastAsia="Arial" w:hAnsi="Arial"/>
                <w:sz w:val="17"/>
                <w:szCs w:val="17"/>
                <w:color w:val="auto"/>
              </w:rPr>
              <w:t>101.LAB XBRL Taxonomy Extension Label Linkbase.</w:t>
            </w:r>
          </w:p>
        </w:tc>
      </w:tr>
      <w:tr>
        <w:trPr>
          <w:trHeight w:val="209"/>
        </w:trPr>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160" w:type="dxa"/>
            <w:vAlign w:val="bottom"/>
          </w:tcPr>
          <w:p>
            <w:pPr>
              <w:spacing w:after="0"/>
              <w:rPr>
                <w:sz w:val="18"/>
                <w:szCs w:val="18"/>
                <w:color w:val="auto"/>
              </w:rPr>
            </w:pPr>
          </w:p>
        </w:tc>
      </w:tr>
      <w:tr>
        <w:trPr>
          <w:trHeight w:val="209"/>
        </w:trPr>
        <w:tc>
          <w:tcPr>
            <w:tcW w:w="1260" w:type="dxa"/>
            <w:vAlign w:val="bottom"/>
            <w:gridSpan w:val="8"/>
            <w:shd w:val="clear" w:color="auto" w:fill="CCEEFF"/>
          </w:tcPr>
          <w:p>
            <w:pPr>
              <w:jc w:val="center"/>
              <w:ind w:left="35"/>
              <w:spacing w:after="0"/>
              <w:rPr>
                <w:sz w:val="20"/>
                <w:szCs w:val="20"/>
                <w:color w:val="auto"/>
              </w:rPr>
            </w:pPr>
            <w:r>
              <w:rPr>
                <w:rFonts w:ascii="Arial" w:cs="Arial" w:eastAsia="Arial" w:hAnsi="Arial"/>
                <w:sz w:val="17"/>
                <w:szCs w:val="17"/>
                <w:color w:val="auto"/>
                <w:w w:val="91"/>
              </w:rPr>
              <w:t>101.PRE</w:t>
            </w:r>
          </w:p>
        </w:tc>
        <w:tc>
          <w:tcPr>
            <w:tcW w:w="10160" w:type="dxa"/>
            <w:vAlign w:val="bottom"/>
            <w:shd w:val="clear" w:color="auto" w:fill="CCEEFF"/>
          </w:tcPr>
          <w:p>
            <w:pPr>
              <w:ind w:left="240"/>
              <w:spacing w:after="0"/>
              <w:rPr>
                <w:sz w:val="20"/>
                <w:szCs w:val="20"/>
                <w:color w:val="auto"/>
              </w:rPr>
            </w:pPr>
            <w:r>
              <w:rPr>
                <w:rFonts w:ascii="Arial" w:cs="Arial" w:eastAsia="Arial" w:hAnsi="Arial"/>
                <w:sz w:val="17"/>
                <w:szCs w:val="17"/>
                <w:color w:val="auto"/>
              </w:rPr>
              <w:t>101.PRE XBRL Taxonomy Extension Presentation Linkbase.</w:t>
            </w:r>
          </w:p>
        </w:tc>
      </w:tr>
    </w:tbl>
    <w:p>
      <w:pPr>
        <w:spacing w:after="0" w:line="201" w:lineRule="exact"/>
        <w:rPr>
          <w:sz w:val="20"/>
          <w:szCs w:val="20"/>
          <w:color w:val="auto"/>
        </w:rPr>
      </w:pPr>
    </w:p>
    <w:p>
      <w:pPr>
        <w:ind w:left="1500" w:right="200" w:hanging="878"/>
        <w:spacing w:after="0" w:line="269" w:lineRule="auto"/>
        <w:tabs>
          <w:tab w:leader="none" w:pos="15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This exhibit will not be deemed “filed” for purposes of Section 18 of the Securities Exchange Act of 1934, as amended, or otherwise subject to the liability of that section. Such exhibit shall not be deemed incorporated into any filing under the Securities Act of 1933, as amended, or the Securities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-411480</wp:posOffset>
            </wp:positionV>
            <wp:extent cx="7251065" cy="39878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3">
                      <a:extLst>
                        <a:ext uri="{28A0092B-C50C-407E-A947-70E740481C1C}"/>
                      </a:extLst>
                    </a:blip>
                    <a:srcRect/>
                    <a:stretch>
                      <a:fillRect/>
                    </a:stretch>
                  </pic:blipFill>
                  <pic:spPr bwMode="auto">
                    <a:xfrm>
                      <a:off x="0" y="0"/>
                      <a:ext cx="7251065" cy="398780"/>
                    </a:xfrm>
                    <a:prstGeom prst="rect">
                      <a:avLst/>
                    </a:prstGeom>
                    <a:noFill/>
                  </pic:spPr>
                </pic:pic>
              </a:graphicData>
            </a:graphic>
          </wp:anchor>
        </w:drawing>
      </w: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25106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4">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ectPr>
          <w:pgSz w:w="11900" w:h="16838" w:orient="portrait"/>
          <w:cols w:equalWidth="0" w:num="1">
            <w:col w:w="11420"/>
          </w:cols>
          <w:pgMar w:left="240" w:top="519" w:right="239" w:bottom="1440" w:gutter="0" w:footer="0" w:header="0"/>
        </w:sectPr>
      </w:pPr>
    </w:p>
    <w:bookmarkStart w:id="69" w:name="page70"/>
    <w:bookmarkEnd w:id="69"/>
    <w:p>
      <w:pPr>
        <w:jc w:val="center"/>
        <w:ind w:right="-19"/>
        <w:spacing w:after="0"/>
        <w:rPr>
          <w:sz w:val="20"/>
          <w:szCs w:val="20"/>
          <w:color w:val="auto"/>
        </w:rPr>
      </w:pPr>
      <w:r>
        <w:rPr>
          <w:rFonts w:ascii="Arial" w:cs="Arial" w:eastAsia="Arial" w:hAnsi="Arial"/>
          <w:sz w:val="17"/>
          <w:szCs w:val="17"/>
          <w:b w:val="1"/>
          <w:bCs w:val="1"/>
          <w:u w:val="single" w:color="auto"/>
          <w:color w:val="auto"/>
        </w:rPr>
        <w:t>SIGNATURES</w:t>
      </w:r>
    </w:p>
    <w:p>
      <w:pPr>
        <w:spacing w:after="0" w:line="253" w:lineRule="exact"/>
        <w:rPr>
          <w:sz w:val="20"/>
          <w:szCs w:val="20"/>
          <w:color w:val="auto"/>
        </w:rPr>
      </w:pPr>
    </w:p>
    <w:p>
      <w:pPr>
        <w:ind w:firstLine="628"/>
        <w:spacing w:after="0" w:line="281"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192" w:lineRule="exact"/>
        <w:rPr>
          <w:sz w:val="20"/>
          <w:szCs w:val="20"/>
          <w:color w:val="auto"/>
        </w:rPr>
      </w:pPr>
    </w:p>
    <w:p>
      <w:pPr>
        <w:ind w:left="5720"/>
        <w:spacing w:after="0"/>
        <w:rPr>
          <w:sz w:val="20"/>
          <w:szCs w:val="20"/>
          <w:color w:val="auto"/>
        </w:rPr>
      </w:pPr>
      <w:r>
        <w:rPr>
          <w:rFonts w:ascii="Arial" w:cs="Arial" w:eastAsia="Arial" w:hAnsi="Arial"/>
          <w:sz w:val="17"/>
          <w:szCs w:val="17"/>
          <w:b w:val="1"/>
          <w:bCs w:val="1"/>
          <w:color w:val="auto"/>
        </w:rPr>
        <w:t>KINGSTONE COMPANIES, INC.</w:t>
      </w:r>
    </w:p>
    <w:p>
      <w:pPr>
        <w:spacing w:after="0" w:line="227" w:lineRule="exact"/>
        <w:rPr>
          <w:sz w:val="20"/>
          <w:szCs w:val="20"/>
          <w:color w:val="auto"/>
        </w:rPr>
      </w:pPr>
    </w:p>
    <w:p>
      <w:pPr>
        <w:spacing w:after="0"/>
        <w:tabs>
          <w:tab w:leader="none" w:pos="5700" w:val="left"/>
        </w:tabs>
        <w:rPr>
          <w:sz w:val="20"/>
          <w:szCs w:val="20"/>
          <w:color w:val="auto"/>
        </w:rPr>
      </w:pPr>
      <w:r>
        <w:rPr>
          <w:rFonts w:ascii="Arial" w:cs="Arial" w:eastAsia="Arial" w:hAnsi="Arial"/>
          <w:sz w:val="17"/>
          <w:szCs w:val="17"/>
          <w:color w:val="auto"/>
        </w:rPr>
        <w:t>Dated: May 10, 2019</w:t>
      </w:r>
      <w:r>
        <w:rPr>
          <w:sz w:val="20"/>
          <w:szCs w:val="20"/>
          <w:color w:val="auto"/>
        </w:rPr>
        <w:tab/>
      </w:r>
      <w:r>
        <w:rPr>
          <w:rFonts w:ascii="Arial" w:cs="Arial" w:eastAsia="Arial" w:hAnsi="Arial"/>
          <w:sz w:val="16"/>
          <w:szCs w:val="16"/>
          <w:color w:val="auto"/>
        </w:rPr>
        <w:t>By:  /s/ Dale A. Thatcher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3856990</wp:posOffset>
            </wp:positionH>
            <wp:positionV relativeFrom="paragraph">
              <wp:posOffset>22225</wp:posOffset>
            </wp:positionV>
            <wp:extent cx="2533015" cy="165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5">
                      <a:extLst>
                        <a:ext uri="{28A0092B-C50C-407E-A947-70E740481C1C}"/>
                      </a:extLst>
                    </a:blip>
                    <a:srcRect/>
                    <a:stretch>
                      <a:fillRect/>
                    </a:stretch>
                  </pic:blipFill>
                  <pic:spPr bwMode="auto">
                    <a:xfrm>
                      <a:off x="0" y="0"/>
                      <a:ext cx="2533015" cy="16510"/>
                    </a:xfrm>
                    <a:prstGeom prst="rect">
                      <a:avLst/>
                    </a:prstGeom>
                    <a:noFill/>
                  </pic:spPr>
                </pic:pic>
              </a:graphicData>
            </a:graphic>
          </wp:anchor>
        </w:drawing>
      </w:r>
    </w:p>
    <w:p>
      <w:pPr>
        <w:spacing w:after="0" w:line="33" w:lineRule="exact"/>
        <w:rPr>
          <w:sz w:val="20"/>
          <w:szCs w:val="20"/>
          <w:color w:val="auto"/>
        </w:rPr>
      </w:pPr>
    </w:p>
    <w:p>
      <w:pPr>
        <w:ind w:left="6080"/>
        <w:spacing w:after="0"/>
        <w:rPr>
          <w:sz w:val="20"/>
          <w:szCs w:val="20"/>
          <w:color w:val="auto"/>
        </w:rPr>
      </w:pPr>
      <w:r>
        <w:rPr>
          <w:rFonts w:ascii="Arial" w:cs="Arial" w:eastAsia="Arial" w:hAnsi="Arial"/>
          <w:sz w:val="17"/>
          <w:szCs w:val="17"/>
          <w:color w:val="auto"/>
        </w:rPr>
        <w:t>Dale A. Thatcher</w:t>
      </w:r>
    </w:p>
    <w:p>
      <w:pPr>
        <w:spacing w:after="0" w:line="20" w:lineRule="exact"/>
        <w:rPr>
          <w:sz w:val="20"/>
          <w:szCs w:val="20"/>
          <w:color w:val="auto"/>
        </w:rPr>
      </w:pPr>
    </w:p>
    <w:p>
      <w:pPr>
        <w:ind w:left="6080"/>
        <w:spacing w:after="0"/>
        <w:rPr>
          <w:sz w:val="20"/>
          <w:szCs w:val="20"/>
          <w:color w:val="auto"/>
        </w:rPr>
      </w:pPr>
      <w:r>
        <w:rPr>
          <w:rFonts w:ascii="Arial" w:cs="Arial" w:eastAsia="Arial" w:hAnsi="Arial"/>
          <w:sz w:val="17"/>
          <w:szCs w:val="17"/>
          <w:color w:val="auto"/>
        </w:rPr>
        <w:t>Chief Executive Officer</w:t>
      </w:r>
    </w:p>
    <w:p>
      <w:pPr>
        <w:spacing w:after="0" w:line="200" w:lineRule="exact"/>
        <w:rPr>
          <w:sz w:val="20"/>
          <w:szCs w:val="20"/>
          <w:color w:val="auto"/>
        </w:rPr>
      </w:pPr>
    </w:p>
    <w:p>
      <w:pPr>
        <w:spacing w:after="0" w:line="252" w:lineRule="exact"/>
        <w:rPr>
          <w:sz w:val="20"/>
          <w:szCs w:val="20"/>
          <w:color w:val="auto"/>
        </w:rPr>
      </w:pPr>
    </w:p>
    <w:p>
      <w:pPr>
        <w:spacing w:after="0"/>
        <w:tabs>
          <w:tab w:leader="none" w:pos="5700" w:val="left"/>
        </w:tabs>
        <w:rPr>
          <w:sz w:val="20"/>
          <w:szCs w:val="20"/>
          <w:color w:val="auto"/>
        </w:rPr>
      </w:pPr>
      <w:r>
        <w:rPr>
          <w:rFonts w:ascii="Arial" w:cs="Arial" w:eastAsia="Arial" w:hAnsi="Arial"/>
          <w:sz w:val="17"/>
          <w:szCs w:val="17"/>
          <w:color w:val="auto"/>
        </w:rPr>
        <w:t>Dated: May 10, 2019</w:t>
      </w:r>
      <w:r>
        <w:rPr>
          <w:sz w:val="20"/>
          <w:szCs w:val="20"/>
          <w:color w:val="auto"/>
        </w:rPr>
        <w:tab/>
      </w:r>
      <w:r>
        <w:rPr>
          <w:rFonts w:ascii="Arial" w:cs="Arial" w:eastAsia="Arial" w:hAnsi="Arial"/>
          <w:sz w:val="16"/>
          <w:szCs w:val="16"/>
          <w:color w:val="auto"/>
        </w:rPr>
        <w:t>By:  /s/ Victor Brodsky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3856990</wp:posOffset>
            </wp:positionH>
            <wp:positionV relativeFrom="paragraph">
              <wp:posOffset>22225</wp:posOffset>
            </wp:positionV>
            <wp:extent cx="2533015" cy="165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6">
                      <a:extLst>
                        <a:ext uri="{28A0092B-C50C-407E-A947-70E740481C1C}"/>
                      </a:extLst>
                    </a:blip>
                    <a:srcRect/>
                    <a:stretch>
                      <a:fillRect/>
                    </a:stretch>
                  </pic:blipFill>
                  <pic:spPr bwMode="auto">
                    <a:xfrm>
                      <a:off x="0" y="0"/>
                      <a:ext cx="2533015" cy="16510"/>
                    </a:xfrm>
                    <a:prstGeom prst="rect">
                      <a:avLst/>
                    </a:prstGeom>
                    <a:noFill/>
                  </pic:spPr>
                </pic:pic>
              </a:graphicData>
            </a:graphic>
          </wp:anchor>
        </w:drawing>
      </w:r>
    </w:p>
    <w:p>
      <w:pPr>
        <w:spacing w:after="0" w:line="33" w:lineRule="exact"/>
        <w:rPr>
          <w:sz w:val="20"/>
          <w:szCs w:val="20"/>
          <w:color w:val="auto"/>
        </w:rPr>
      </w:pPr>
    </w:p>
    <w:p>
      <w:pPr>
        <w:ind w:left="6080"/>
        <w:spacing w:after="0"/>
        <w:rPr>
          <w:sz w:val="20"/>
          <w:szCs w:val="20"/>
          <w:color w:val="auto"/>
        </w:rPr>
      </w:pPr>
      <w:r>
        <w:rPr>
          <w:rFonts w:ascii="Arial" w:cs="Arial" w:eastAsia="Arial" w:hAnsi="Arial"/>
          <w:sz w:val="17"/>
          <w:szCs w:val="17"/>
          <w:color w:val="auto"/>
        </w:rPr>
        <w:t>Victor Brodsky</w:t>
      </w:r>
    </w:p>
    <w:p>
      <w:pPr>
        <w:spacing w:after="0" w:line="20" w:lineRule="exact"/>
        <w:rPr>
          <w:sz w:val="20"/>
          <w:szCs w:val="20"/>
          <w:color w:val="auto"/>
        </w:rPr>
      </w:pPr>
    </w:p>
    <w:p>
      <w:pPr>
        <w:ind w:left="6080"/>
        <w:spacing w:after="0"/>
        <w:rPr>
          <w:sz w:val="20"/>
          <w:szCs w:val="20"/>
          <w:color w:val="auto"/>
        </w:rPr>
      </w:pPr>
      <w:r>
        <w:rPr>
          <w:rFonts w:ascii="Arial" w:cs="Arial" w:eastAsia="Arial" w:hAnsi="Arial"/>
          <w:sz w:val="17"/>
          <w:szCs w:val="17"/>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9525</wp:posOffset>
            </wp:positionV>
            <wp:extent cx="7251065" cy="165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7">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519" w:right="239" w:bottom="1440" w:gutter="0" w:footer="0" w:header="0"/>
        </w:sectPr>
      </w:pPr>
    </w:p>
    <w:bookmarkStart w:id="70" w:name="page71"/>
    <w:bookmarkEnd w:id="70"/>
    <w:p>
      <w:pPr>
        <w:jc w:val="right"/>
        <w:spacing w:after="0"/>
        <w:rPr>
          <w:sz w:val="20"/>
          <w:szCs w:val="20"/>
          <w:color w:val="auto"/>
        </w:rPr>
      </w:pPr>
      <w:r>
        <w:rPr>
          <w:rFonts w:ascii="Arial" w:cs="Arial" w:eastAsia="Arial" w:hAnsi="Arial"/>
          <w:sz w:val="17"/>
          <w:szCs w:val="17"/>
          <w:b w:val="1"/>
          <w:bCs w:val="1"/>
          <w:color w:val="auto"/>
        </w:rPr>
        <w:t>Exhibit 31.1</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CERTIFICATION</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color w:val="auto"/>
        </w:rPr>
        <w:t>I, Dale A. Thatcher, certify that:</w:t>
      </w:r>
    </w:p>
    <w:p>
      <w:pPr>
        <w:spacing w:after="0" w:line="223" w:lineRule="exact"/>
        <w:rPr>
          <w:sz w:val="20"/>
          <w:szCs w:val="20"/>
          <w:color w:val="auto"/>
        </w:rPr>
      </w:pPr>
    </w:p>
    <w:p>
      <w:pPr>
        <w:ind w:left="360" w:hanging="355"/>
        <w:spacing w:after="0"/>
        <w:tabs>
          <w:tab w:leader="none" w:pos="3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Kingstone Companies, Inc.;</w:t>
      </w:r>
    </w:p>
    <w:p>
      <w:pPr>
        <w:spacing w:after="0" w:line="223" w:lineRule="exact"/>
        <w:rPr>
          <w:rFonts w:ascii="Arial" w:cs="Arial" w:eastAsia="Arial" w:hAnsi="Arial"/>
          <w:sz w:val="17"/>
          <w:szCs w:val="17"/>
          <w:color w:val="auto"/>
        </w:rPr>
      </w:pPr>
    </w:p>
    <w:p>
      <w:pPr>
        <w:ind w:left="360" w:right="400" w:hanging="355"/>
        <w:spacing w:after="0" w:line="351" w:lineRule="auto"/>
        <w:tabs>
          <w:tab w:leader="none" w:pos="360" w:val="left"/>
        </w:tabs>
        <w:numPr>
          <w:ilvl w:val="0"/>
          <w:numId w:val="26"/>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5"/>
          <w:szCs w:val="15"/>
          <w:color w:val="auto"/>
        </w:rPr>
      </w:pPr>
    </w:p>
    <w:p>
      <w:pPr>
        <w:ind w:left="360" w:right="500" w:hanging="355"/>
        <w:spacing w:after="0" w:line="281" w:lineRule="auto"/>
        <w:tabs>
          <w:tab w:leader="none" w:pos="3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7"/>
          <w:szCs w:val="17"/>
          <w:color w:val="auto"/>
        </w:rPr>
      </w:pPr>
    </w:p>
    <w:p>
      <w:pPr>
        <w:jc w:val="both"/>
        <w:ind w:left="360" w:right="320" w:hanging="355"/>
        <w:spacing w:after="0" w:line="269" w:lineRule="auto"/>
        <w:tabs>
          <w:tab w:leader="none" w:pos="3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89" w:lineRule="exact"/>
        <w:rPr>
          <w:rFonts w:ascii="Arial" w:cs="Arial" w:eastAsia="Arial" w:hAnsi="Arial"/>
          <w:sz w:val="17"/>
          <w:szCs w:val="17"/>
          <w:color w:val="auto"/>
        </w:rPr>
      </w:pPr>
    </w:p>
    <w:p>
      <w:pPr>
        <w:ind w:left="700" w:right="40" w:hanging="342"/>
        <w:spacing w:after="0" w:line="269" w:lineRule="auto"/>
        <w:tabs>
          <w:tab w:leader="none" w:pos="700" w:val="left"/>
        </w:tabs>
        <w:numPr>
          <w:ilvl w:val="1"/>
          <w:numId w:val="26"/>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Arial" w:cs="Arial" w:eastAsia="Arial" w:hAnsi="Arial"/>
          <w:sz w:val="17"/>
          <w:szCs w:val="17"/>
          <w:color w:val="auto"/>
        </w:rPr>
      </w:pPr>
    </w:p>
    <w:p>
      <w:pPr>
        <w:ind w:left="700" w:right="200" w:hanging="342"/>
        <w:spacing w:after="0" w:line="269" w:lineRule="auto"/>
        <w:tabs>
          <w:tab w:leader="none" w:pos="700" w:val="left"/>
        </w:tabs>
        <w:numPr>
          <w:ilvl w:val="1"/>
          <w:numId w:val="26"/>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9" w:lineRule="exact"/>
        <w:rPr>
          <w:rFonts w:ascii="Arial" w:cs="Arial" w:eastAsia="Arial" w:hAnsi="Arial"/>
          <w:sz w:val="17"/>
          <w:szCs w:val="17"/>
          <w:color w:val="auto"/>
        </w:rPr>
      </w:pPr>
    </w:p>
    <w:p>
      <w:pPr>
        <w:ind w:left="700" w:right="200" w:hanging="342"/>
        <w:spacing w:after="0" w:line="281" w:lineRule="auto"/>
        <w:tabs>
          <w:tab w:leader="none" w:pos="700" w:val="left"/>
        </w:tabs>
        <w:numPr>
          <w:ilvl w:val="1"/>
          <w:numId w:val="2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7"/>
          <w:szCs w:val="17"/>
          <w:color w:val="auto"/>
        </w:rPr>
      </w:pPr>
    </w:p>
    <w:p>
      <w:pPr>
        <w:ind w:left="700" w:right="140" w:hanging="342"/>
        <w:spacing w:after="0" w:line="269" w:lineRule="auto"/>
        <w:tabs>
          <w:tab w:leader="none" w:pos="700" w:val="left"/>
        </w:tabs>
        <w:numPr>
          <w:ilvl w:val="1"/>
          <w:numId w:val="26"/>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Arial" w:cs="Arial" w:eastAsia="Arial" w:hAnsi="Arial"/>
          <w:sz w:val="17"/>
          <w:szCs w:val="17"/>
          <w:color w:val="auto"/>
        </w:rPr>
      </w:pPr>
    </w:p>
    <w:p>
      <w:pPr>
        <w:ind w:left="360" w:right="260" w:hanging="355"/>
        <w:spacing w:after="0" w:line="281" w:lineRule="auto"/>
        <w:tabs>
          <w:tab w:leader="none" w:pos="3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0" w:lineRule="exact"/>
        <w:rPr>
          <w:rFonts w:ascii="Arial" w:cs="Arial" w:eastAsia="Arial" w:hAnsi="Arial"/>
          <w:sz w:val="17"/>
          <w:szCs w:val="17"/>
          <w:color w:val="auto"/>
        </w:rPr>
      </w:pPr>
    </w:p>
    <w:p>
      <w:pPr>
        <w:ind w:left="700" w:right="380" w:hanging="342"/>
        <w:spacing w:after="0" w:line="281" w:lineRule="auto"/>
        <w:tabs>
          <w:tab w:leader="none" w:pos="700" w:val="left"/>
        </w:tabs>
        <w:numPr>
          <w:ilvl w:val="1"/>
          <w:numId w:val="2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7"/>
          <w:szCs w:val="17"/>
          <w:color w:val="auto"/>
        </w:rPr>
      </w:pPr>
    </w:p>
    <w:p>
      <w:pPr>
        <w:ind w:left="700" w:right="600" w:hanging="342"/>
        <w:spacing w:after="0" w:line="281" w:lineRule="auto"/>
        <w:tabs>
          <w:tab w:leader="none" w:pos="700" w:val="left"/>
        </w:tabs>
        <w:numPr>
          <w:ilvl w:val="1"/>
          <w:numId w:val="26"/>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color w:val="auto"/>
        </w:rPr>
        <w:t>Date: May 10, 2019</w:t>
      </w:r>
    </w:p>
    <w:p>
      <w:pPr>
        <w:spacing w:after="0" w:line="20" w:lineRule="exact"/>
        <w:rPr>
          <w:sz w:val="20"/>
          <w:szCs w:val="20"/>
          <w:color w:val="auto"/>
        </w:rPr>
      </w:pPr>
    </w:p>
    <w:p>
      <w:pPr>
        <w:ind w:left="5260"/>
        <w:spacing w:after="0"/>
        <w:rPr>
          <w:sz w:val="20"/>
          <w:szCs w:val="20"/>
          <w:color w:val="auto"/>
        </w:rPr>
      </w:pPr>
      <w:r>
        <w:rPr>
          <w:rFonts w:ascii="Arial" w:cs="Arial" w:eastAsia="Arial" w:hAnsi="Arial"/>
          <w:sz w:val="17"/>
          <w:szCs w:val="17"/>
          <w:u w:val="single" w:color="auto"/>
          <w:color w:val="auto"/>
        </w:rPr>
        <w:t>/s/ Dale A. Thatcher</w:t>
      </w:r>
    </w:p>
    <w:p>
      <w:pPr>
        <w:spacing w:after="0" w:line="14"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Dale A. Thatcher</w:t>
      </w:r>
    </w:p>
    <w:p>
      <w:pPr>
        <w:spacing w:after="0" w:line="14"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292735</wp:posOffset>
            </wp:positionV>
            <wp:extent cx="725106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8">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ectPr>
          <w:pgSz w:w="11900" w:h="16838" w:orient="portrait"/>
          <w:cols w:equalWidth="0" w:num="1">
            <w:col w:w="11420"/>
          </w:cols>
          <w:pgMar w:left="240" w:top="689" w:right="239" w:bottom="1440" w:gutter="0" w:footer="0" w:header="0"/>
        </w:sectPr>
      </w:pPr>
    </w:p>
    <w:bookmarkStart w:id="71" w:name="page72"/>
    <w:bookmarkEnd w:id="71"/>
    <w:p>
      <w:pPr>
        <w:jc w:val="right"/>
        <w:spacing w:after="0"/>
        <w:rPr>
          <w:sz w:val="20"/>
          <w:szCs w:val="20"/>
          <w:color w:val="auto"/>
        </w:rPr>
      </w:pPr>
      <w:r>
        <w:rPr>
          <w:rFonts w:ascii="Arial" w:cs="Arial" w:eastAsia="Arial" w:hAnsi="Arial"/>
          <w:sz w:val="17"/>
          <w:szCs w:val="17"/>
          <w:b w:val="1"/>
          <w:bCs w:val="1"/>
          <w:color w:val="auto"/>
        </w:rPr>
        <w:t>Exhibit 31.2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CERTIFICATION</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color w:val="auto"/>
        </w:rPr>
        <w:t>I, Victor Brodsky, certify that:</w:t>
      </w:r>
    </w:p>
    <w:p>
      <w:pPr>
        <w:spacing w:after="0" w:line="223" w:lineRule="exact"/>
        <w:rPr>
          <w:sz w:val="20"/>
          <w:szCs w:val="20"/>
          <w:color w:val="auto"/>
        </w:rPr>
      </w:pPr>
    </w:p>
    <w:p>
      <w:pPr>
        <w:ind w:left="360" w:hanging="355"/>
        <w:spacing w:after="0"/>
        <w:tabs>
          <w:tab w:leader="none" w:pos="3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Kingstone Companies, Inc.;</w:t>
      </w:r>
    </w:p>
    <w:p>
      <w:pPr>
        <w:spacing w:after="0" w:line="223" w:lineRule="exact"/>
        <w:rPr>
          <w:rFonts w:ascii="Arial" w:cs="Arial" w:eastAsia="Arial" w:hAnsi="Arial"/>
          <w:sz w:val="17"/>
          <w:szCs w:val="17"/>
          <w:color w:val="auto"/>
        </w:rPr>
      </w:pPr>
    </w:p>
    <w:p>
      <w:pPr>
        <w:ind w:left="360" w:hanging="355"/>
        <w:spacing w:after="0" w:line="314" w:lineRule="auto"/>
        <w:tabs>
          <w:tab w:leader="none" w:pos="3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6" w:lineRule="exact"/>
        <w:rPr>
          <w:rFonts w:ascii="Arial" w:cs="Arial" w:eastAsia="Arial" w:hAnsi="Arial"/>
          <w:sz w:val="16"/>
          <w:szCs w:val="16"/>
          <w:color w:val="auto"/>
        </w:rPr>
      </w:pPr>
    </w:p>
    <w:p>
      <w:pPr>
        <w:ind w:left="360" w:hanging="355"/>
        <w:spacing w:after="0" w:line="281" w:lineRule="auto"/>
        <w:tabs>
          <w:tab w:leader="none" w:pos="3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7"/>
          <w:szCs w:val="17"/>
          <w:color w:val="auto"/>
        </w:rPr>
      </w:pPr>
    </w:p>
    <w:p>
      <w:pPr>
        <w:jc w:val="both"/>
        <w:ind w:left="360" w:hanging="355"/>
        <w:spacing w:after="0" w:line="269" w:lineRule="auto"/>
        <w:tabs>
          <w:tab w:leader="none" w:pos="3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9" w:lineRule="exact"/>
        <w:rPr>
          <w:rFonts w:ascii="Arial" w:cs="Arial" w:eastAsia="Arial" w:hAnsi="Arial"/>
          <w:sz w:val="17"/>
          <w:szCs w:val="17"/>
          <w:color w:val="auto"/>
        </w:rPr>
      </w:pPr>
    </w:p>
    <w:p>
      <w:pPr>
        <w:jc w:val="both"/>
        <w:ind w:left="700" w:hanging="342"/>
        <w:spacing w:after="0" w:line="269" w:lineRule="auto"/>
        <w:tabs>
          <w:tab w:leader="none" w:pos="700" w:val="left"/>
        </w:tabs>
        <w:numPr>
          <w:ilvl w:val="1"/>
          <w:numId w:val="27"/>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Arial" w:cs="Arial" w:eastAsia="Arial" w:hAnsi="Arial"/>
          <w:sz w:val="17"/>
          <w:szCs w:val="17"/>
          <w:color w:val="auto"/>
        </w:rPr>
      </w:pPr>
    </w:p>
    <w:p>
      <w:pPr>
        <w:jc w:val="both"/>
        <w:ind w:left="700" w:hanging="342"/>
        <w:spacing w:after="0" w:line="269" w:lineRule="auto"/>
        <w:tabs>
          <w:tab w:leader="none" w:pos="700" w:val="left"/>
        </w:tabs>
        <w:numPr>
          <w:ilvl w:val="1"/>
          <w:numId w:val="27"/>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9" w:lineRule="exact"/>
        <w:rPr>
          <w:rFonts w:ascii="Arial" w:cs="Arial" w:eastAsia="Arial" w:hAnsi="Arial"/>
          <w:sz w:val="17"/>
          <w:szCs w:val="17"/>
          <w:color w:val="auto"/>
        </w:rPr>
      </w:pPr>
    </w:p>
    <w:p>
      <w:pPr>
        <w:ind w:left="700" w:hanging="342"/>
        <w:spacing w:after="0" w:line="281" w:lineRule="auto"/>
        <w:tabs>
          <w:tab w:leader="none" w:pos="700" w:val="left"/>
        </w:tabs>
        <w:numPr>
          <w:ilvl w:val="1"/>
          <w:numId w:val="2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7"/>
          <w:szCs w:val="17"/>
          <w:color w:val="auto"/>
        </w:rPr>
      </w:pPr>
    </w:p>
    <w:p>
      <w:pPr>
        <w:jc w:val="both"/>
        <w:ind w:left="700" w:hanging="342"/>
        <w:spacing w:after="0" w:line="269" w:lineRule="auto"/>
        <w:tabs>
          <w:tab w:leader="none" w:pos="700" w:val="left"/>
        </w:tabs>
        <w:numPr>
          <w:ilvl w:val="1"/>
          <w:numId w:val="27"/>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Arial" w:cs="Arial" w:eastAsia="Arial" w:hAnsi="Arial"/>
          <w:sz w:val="17"/>
          <w:szCs w:val="17"/>
          <w:color w:val="auto"/>
        </w:rPr>
      </w:pPr>
    </w:p>
    <w:p>
      <w:pPr>
        <w:ind w:left="360" w:hanging="355"/>
        <w:spacing w:after="0" w:line="281" w:lineRule="auto"/>
        <w:tabs>
          <w:tab w:leader="none" w:pos="3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0" w:lineRule="exact"/>
        <w:rPr>
          <w:rFonts w:ascii="Arial" w:cs="Arial" w:eastAsia="Arial" w:hAnsi="Arial"/>
          <w:sz w:val="17"/>
          <w:szCs w:val="17"/>
          <w:color w:val="auto"/>
        </w:rPr>
      </w:pPr>
    </w:p>
    <w:p>
      <w:pPr>
        <w:ind w:left="700" w:hanging="342"/>
        <w:spacing w:after="0" w:line="281" w:lineRule="auto"/>
        <w:tabs>
          <w:tab w:leader="none" w:pos="700" w:val="left"/>
        </w:tabs>
        <w:numPr>
          <w:ilvl w:val="1"/>
          <w:numId w:val="2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7"/>
          <w:szCs w:val="17"/>
          <w:color w:val="auto"/>
        </w:rPr>
      </w:pPr>
    </w:p>
    <w:p>
      <w:pPr>
        <w:ind w:left="700" w:hanging="342"/>
        <w:spacing w:after="0" w:line="281" w:lineRule="auto"/>
        <w:tabs>
          <w:tab w:leader="none" w:pos="700" w:val="left"/>
        </w:tabs>
        <w:numPr>
          <w:ilvl w:val="1"/>
          <w:numId w:val="27"/>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color w:val="auto"/>
        </w:rPr>
        <w:t>Date: May 10, 2019</w:t>
      </w:r>
    </w:p>
    <w:p>
      <w:pPr>
        <w:spacing w:after="0" w:line="20" w:lineRule="exact"/>
        <w:rPr>
          <w:sz w:val="20"/>
          <w:szCs w:val="20"/>
          <w:color w:val="auto"/>
        </w:rPr>
      </w:pPr>
    </w:p>
    <w:p>
      <w:pPr>
        <w:ind w:left="5260"/>
        <w:spacing w:after="0"/>
        <w:rPr>
          <w:sz w:val="20"/>
          <w:szCs w:val="20"/>
          <w:color w:val="auto"/>
        </w:rPr>
      </w:pPr>
      <w:r>
        <w:rPr>
          <w:rFonts w:ascii="Arial" w:cs="Arial" w:eastAsia="Arial" w:hAnsi="Arial"/>
          <w:sz w:val="17"/>
          <w:szCs w:val="17"/>
          <w:u w:val="single" w:color="auto"/>
          <w:color w:val="auto"/>
        </w:rPr>
        <w:t>/s/ Victor Brodsky</w:t>
      </w:r>
    </w:p>
    <w:p>
      <w:pPr>
        <w:spacing w:after="0" w:line="14"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Victor Brodsky</w:t>
      </w:r>
    </w:p>
    <w:p>
      <w:pPr>
        <w:spacing w:after="0" w:line="14"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425450</wp:posOffset>
            </wp:positionV>
            <wp:extent cx="725106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9">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ectPr>
          <w:pgSz w:w="11900" w:h="16838" w:orient="portrait"/>
          <w:cols w:equalWidth="0" w:num="1">
            <w:col w:w="11420"/>
          </w:cols>
          <w:pgMar w:left="240" w:top="480" w:right="239" w:bottom="1440" w:gutter="0" w:footer="0" w:header="0"/>
        </w:sectPr>
      </w:pPr>
    </w:p>
    <w:bookmarkStart w:id="72" w:name="page73"/>
    <w:bookmarkEnd w:id="72"/>
    <w:p>
      <w:pPr>
        <w:jc w:val="right"/>
        <w:spacing w:after="0"/>
        <w:rPr>
          <w:sz w:val="20"/>
          <w:szCs w:val="20"/>
          <w:color w:val="auto"/>
        </w:rPr>
      </w:pPr>
      <w:r>
        <w:rPr>
          <w:rFonts w:ascii="Arial" w:cs="Arial" w:eastAsia="Arial" w:hAnsi="Arial"/>
          <w:sz w:val="17"/>
          <w:szCs w:val="17"/>
          <w:b w:val="1"/>
          <w:bCs w:val="1"/>
          <w:color w:val="auto"/>
        </w:rPr>
        <w:t>Exhibit 32.1</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OF CHIEF EXECUTIVE OFFICER</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AND CHIEF FINANCIAL OFFICER</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PURSUANT TO</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18 U.S.C. SECTION 1350,</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217" w:lineRule="exact"/>
        <w:rPr>
          <w:sz w:val="20"/>
          <w:szCs w:val="20"/>
          <w:color w:val="auto"/>
        </w:rPr>
      </w:pPr>
    </w:p>
    <w:p>
      <w:pPr>
        <w:jc w:val="both"/>
        <w:ind w:firstLine="628"/>
        <w:spacing w:after="0" w:line="265" w:lineRule="auto"/>
        <w:rPr>
          <w:sz w:val="20"/>
          <w:szCs w:val="20"/>
          <w:color w:val="auto"/>
        </w:rPr>
      </w:pPr>
      <w:r>
        <w:rPr>
          <w:rFonts w:ascii="Arial" w:cs="Arial" w:eastAsia="Arial" w:hAnsi="Arial"/>
          <w:sz w:val="17"/>
          <w:szCs w:val="17"/>
          <w:color w:val="auto"/>
        </w:rPr>
        <w:t>The undersigned hereby certify, pursuant to, and as required by, 18 U.S.C. Section 1350, as adopted pursuant to Section 906 of the Sarbanes-Oxley Act of 2002, that the Annual Report of Kingstone Companies, Inc. (the “Company”) on Form 10-K for the year ended December 31, 2018 fully complies with the requirements of Section 13(a) or 15(d) of the Securities Exchange Act of 1934, as amended, and that information contained in such Annual Report on Form 10-K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tabs>
          <w:tab w:leader="none" w:pos="5700" w:val="left"/>
        </w:tabs>
        <w:rPr>
          <w:sz w:val="20"/>
          <w:szCs w:val="20"/>
          <w:color w:val="auto"/>
        </w:rPr>
      </w:pPr>
      <w:r>
        <w:rPr>
          <w:rFonts w:ascii="Arial" w:cs="Arial" w:eastAsia="Arial" w:hAnsi="Arial"/>
          <w:sz w:val="17"/>
          <w:szCs w:val="17"/>
          <w:color w:val="auto"/>
        </w:rPr>
        <w:t>Dated: May 10, 2019</w:t>
      </w:r>
      <w:r>
        <w:rPr>
          <w:sz w:val="20"/>
          <w:szCs w:val="20"/>
          <w:color w:val="auto"/>
        </w:rPr>
        <w:tab/>
      </w:r>
      <w:r>
        <w:rPr>
          <w:rFonts w:ascii="Arial" w:cs="Arial" w:eastAsia="Arial" w:hAnsi="Arial"/>
          <w:sz w:val="16"/>
          <w:szCs w:val="16"/>
          <w:color w:val="auto"/>
        </w:rPr>
        <w:t>By:  /s/ Dale A. Thatcher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3856990</wp:posOffset>
            </wp:positionH>
            <wp:positionV relativeFrom="paragraph">
              <wp:posOffset>22225</wp:posOffset>
            </wp:positionV>
            <wp:extent cx="2533015" cy="165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0">
                      <a:extLst>
                        <a:ext uri="{28A0092B-C50C-407E-A947-70E740481C1C}"/>
                      </a:extLst>
                    </a:blip>
                    <a:srcRect/>
                    <a:stretch>
                      <a:fillRect/>
                    </a:stretch>
                  </pic:blipFill>
                  <pic:spPr bwMode="auto">
                    <a:xfrm>
                      <a:off x="0" y="0"/>
                      <a:ext cx="2533015" cy="16510"/>
                    </a:xfrm>
                    <a:prstGeom prst="rect">
                      <a:avLst/>
                    </a:prstGeom>
                    <a:noFill/>
                  </pic:spPr>
                </pic:pic>
              </a:graphicData>
            </a:graphic>
          </wp:anchor>
        </w:drawing>
      </w:r>
    </w:p>
    <w:p>
      <w:pPr>
        <w:spacing w:after="0" w:line="33" w:lineRule="exact"/>
        <w:rPr>
          <w:sz w:val="20"/>
          <w:szCs w:val="20"/>
          <w:color w:val="auto"/>
        </w:rPr>
      </w:pPr>
    </w:p>
    <w:p>
      <w:pPr>
        <w:ind w:left="6080"/>
        <w:spacing w:after="0"/>
        <w:rPr>
          <w:sz w:val="20"/>
          <w:szCs w:val="20"/>
          <w:color w:val="auto"/>
        </w:rPr>
      </w:pPr>
      <w:r>
        <w:rPr>
          <w:rFonts w:ascii="Arial" w:cs="Arial" w:eastAsia="Arial" w:hAnsi="Arial"/>
          <w:sz w:val="17"/>
          <w:szCs w:val="17"/>
          <w:color w:val="auto"/>
        </w:rPr>
        <w:t>Dale A. Thatcher</w:t>
      </w:r>
    </w:p>
    <w:p>
      <w:pPr>
        <w:spacing w:after="0" w:line="20" w:lineRule="exact"/>
        <w:rPr>
          <w:sz w:val="20"/>
          <w:szCs w:val="20"/>
          <w:color w:val="auto"/>
        </w:rPr>
      </w:pPr>
    </w:p>
    <w:p>
      <w:pPr>
        <w:ind w:left="6080"/>
        <w:spacing w:after="0"/>
        <w:rPr>
          <w:sz w:val="20"/>
          <w:szCs w:val="20"/>
          <w:color w:val="auto"/>
        </w:rPr>
      </w:pPr>
      <w:r>
        <w:rPr>
          <w:rFonts w:ascii="Arial" w:cs="Arial" w:eastAsia="Arial" w:hAnsi="Arial"/>
          <w:sz w:val="17"/>
          <w:szCs w:val="17"/>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tabs>
          <w:tab w:leader="none" w:pos="5700" w:val="left"/>
        </w:tabs>
        <w:rPr>
          <w:sz w:val="20"/>
          <w:szCs w:val="20"/>
          <w:color w:val="auto"/>
        </w:rPr>
      </w:pPr>
      <w:r>
        <w:rPr>
          <w:rFonts w:ascii="Arial" w:cs="Arial" w:eastAsia="Arial" w:hAnsi="Arial"/>
          <w:sz w:val="17"/>
          <w:szCs w:val="17"/>
          <w:color w:val="auto"/>
        </w:rPr>
        <w:t>Dated: May 10, 2019</w:t>
      </w:r>
      <w:r>
        <w:rPr>
          <w:sz w:val="20"/>
          <w:szCs w:val="20"/>
          <w:color w:val="auto"/>
        </w:rPr>
        <w:tab/>
      </w:r>
      <w:r>
        <w:rPr>
          <w:rFonts w:ascii="Arial" w:cs="Arial" w:eastAsia="Arial" w:hAnsi="Arial"/>
          <w:sz w:val="16"/>
          <w:szCs w:val="16"/>
          <w:color w:val="auto"/>
        </w:rPr>
        <w:t>By:  /s/ Victor Brodsky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3856990</wp:posOffset>
            </wp:positionH>
            <wp:positionV relativeFrom="paragraph">
              <wp:posOffset>22225</wp:posOffset>
            </wp:positionV>
            <wp:extent cx="2533015" cy="165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1">
                      <a:extLst>
                        <a:ext uri="{28A0092B-C50C-407E-A947-70E740481C1C}"/>
                      </a:extLst>
                    </a:blip>
                    <a:srcRect/>
                    <a:stretch>
                      <a:fillRect/>
                    </a:stretch>
                  </pic:blipFill>
                  <pic:spPr bwMode="auto">
                    <a:xfrm>
                      <a:off x="0" y="0"/>
                      <a:ext cx="2533015" cy="16510"/>
                    </a:xfrm>
                    <a:prstGeom prst="rect">
                      <a:avLst/>
                    </a:prstGeom>
                    <a:noFill/>
                  </pic:spPr>
                </pic:pic>
              </a:graphicData>
            </a:graphic>
          </wp:anchor>
        </w:drawing>
      </w:r>
    </w:p>
    <w:p>
      <w:pPr>
        <w:spacing w:after="0" w:line="33" w:lineRule="exact"/>
        <w:rPr>
          <w:sz w:val="20"/>
          <w:szCs w:val="20"/>
          <w:color w:val="auto"/>
        </w:rPr>
      </w:pPr>
    </w:p>
    <w:p>
      <w:pPr>
        <w:ind w:left="6080"/>
        <w:spacing w:after="0"/>
        <w:rPr>
          <w:sz w:val="20"/>
          <w:szCs w:val="20"/>
          <w:color w:val="auto"/>
        </w:rPr>
      </w:pPr>
      <w:r>
        <w:rPr>
          <w:rFonts w:ascii="Arial" w:cs="Arial" w:eastAsia="Arial" w:hAnsi="Arial"/>
          <w:sz w:val="17"/>
          <w:szCs w:val="17"/>
          <w:color w:val="auto"/>
        </w:rPr>
        <w:t>Victor Brodsky</w:t>
      </w:r>
    </w:p>
    <w:p>
      <w:pPr>
        <w:spacing w:after="0" w:line="20" w:lineRule="exact"/>
        <w:rPr>
          <w:sz w:val="20"/>
          <w:szCs w:val="20"/>
          <w:color w:val="auto"/>
        </w:rPr>
      </w:pPr>
    </w:p>
    <w:p>
      <w:pPr>
        <w:ind w:left="6080"/>
        <w:spacing w:after="0"/>
        <w:rPr>
          <w:sz w:val="20"/>
          <w:szCs w:val="20"/>
          <w:color w:val="auto"/>
        </w:rPr>
      </w:pPr>
      <w:r>
        <w:rPr>
          <w:rFonts w:ascii="Arial" w:cs="Arial" w:eastAsia="Arial" w:hAnsi="Arial"/>
          <w:sz w:val="17"/>
          <w:szCs w:val="17"/>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276225</wp:posOffset>
            </wp:positionV>
            <wp:extent cx="725106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2">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sectPr>
      <w:pgSz w:w="11900" w:h="16838" w:orient="portrait"/>
      <w:cols w:equalWidth="0" w:num="1">
        <w:col w:w="11420"/>
      </w:cols>
      <w:pgMar w:left="240" w:top="54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
      <w:numFmt w:val="bullet"/>
      <w:start w:val="1"/>
    </w:lvl>
  </w:abstractNum>
  <w:abstractNum w:abstractNumId="3">
    <w:nsid w:val="41A7C4C9"/>
    <w:multiLevelType w:val="hybridMultilevel"/>
    <w:lvl w:ilvl="0">
      <w:lvlJc w:val="left"/>
      <w:lvlText w:val="-"/>
      <w:numFmt w:val="bullet"/>
      <w:start w:val="1"/>
    </w:lvl>
  </w:abstractNum>
  <w:abstractNum w:abstractNumId="4">
    <w:nsid w:val="6B68079A"/>
    <w:multiLevelType w:val="hybridMultilevel"/>
    <w:lvl w:ilvl="0">
      <w:lvlJc w:val="left"/>
      <w:lvlText w:val="(%1)"/>
      <w:numFmt w:val="decimal"/>
      <w:start w:val="1"/>
    </w:lvl>
  </w:abstractNum>
  <w:abstractNum w:abstractNumId="5">
    <w:nsid w:val="4E6AFB66"/>
    <w:multiLevelType w:val="hybridMultilevel"/>
    <w:lvl w:ilvl="0">
      <w:lvlJc w:val="left"/>
      <w:lvlText w:val="(%1)"/>
      <w:numFmt w:val="decimal"/>
      <w:start w:val="1"/>
    </w:lvl>
  </w:abstractNum>
  <w:abstractNum w:abstractNumId="6">
    <w:nsid w:val="25E45D32"/>
    <w:multiLevelType w:val="hybridMultilevel"/>
    <w:lvl w:ilvl="0">
      <w:lvlJc w:val="left"/>
      <w:lvlText w:val="$"/>
      <w:numFmt w:val="bullet"/>
      <w:start w:val="1"/>
    </w:lvl>
  </w:abstractNum>
  <w:abstractNum w:abstractNumId="7">
    <w:nsid w:val="519B500D"/>
    <w:multiLevelType w:val="hybridMultilevel"/>
    <w:lvl w:ilvl="0">
      <w:lvlJc w:val="left"/>
      <w:lvlText w:val="(%1)"/>
      <w:numFmt w:val="decimal"/>
      <w:start w:val="1"/>
    </w:lvl>
  </w:abstractNum>
  <w:abstractNum w:abstractNumId="8">
    <w:nsid w:val="431BD7B7"/>
    <w:multiLevelType w:val="hybridMultilevel"/>
    <w:lvl w:ilvl="0">
      <w:lvlJc w:val="left"/>
      <w:lvlText w:val="(%1)"/>
      <w:numFmt w:val="decimal"/>
      <w:start w:val="1"/>
    </w:lvl>
  </w:abstractNum>
  <w:abstractNum w:abstractNumId="9">
    <w:nsid w:val="3F2DBA31"/>
    <w:multiLevelType w:val="hybridMultilevel"/>
    <w:lvl w:ilvl="0">
      <w:lvlJc w:val="left"/>
      <w:lvlText w:val="(%1)"/>
      <w:numFmt w:val="decimal"/>
      <w:start w:val="1"/>
    </w:lvl>
  </w:abstractNum>
  <w:abstractNum w:abstractNumId="10">
    <w:nsid w:val="7C83E458"/>
    <w:multiLevelType w:val="hybridMultilevel"/>
    <w:lvl w:ilvl="0">
      <w:lvlJc w:val="left"/>
      <w:lvlText w:val="(%1)"/>
      <w:numFmt w:val="upperLetter"/>
      <w:start w:val="1"/>
    </w:lvl>
  </w:abstractNum>
  <w:abstractNum w:abstractNumId="11">
    <w:nsid w:val="257130A3"/>
    <w:multiLevelType w:val="hybridMultilevel"/>
    <w:lvl w:ilvl="0">
      <w:lvlJc w:val="left"/>
      <w:lvlText w:val="●"/>
      <w:numFmt w:val="bullet"/>
      <w:start w:val="1"/>
    </w:lvl>
  </w:abstractNum>
  <w:abstractNum w:abstractNumId="12">
    <w:nsid w:val="62BBD95A"/>
    <w:multiLevelType w:val="hybridMultilevel"/>
    <w:lvl w:ilvl="0">
      <w:lvlJc w:val="left"/>
      <w:lvlText w:val="(%1)"/>
      <w:numFmt w:val="decimal"/>
      <w:start w:val="1"/>
    </w:lvl>
  </w:abstractNum>
  <w:abstractNum w:abstractNumId="13">
    <w:nsid w:val="436C6125"/>
    <w:multiLevelType w:val="hybridMultilevel"/>
    <w:lvl w:ilvl="0">
      <w:lvlJc w:val="left"/>
      <w:lvlText w:val="(%1)"/>
      <w:numFmt w:val="decimal"/>
      <w:start w:val="1"/>
    </w:lvl>
  </w:abstractNum>
  <w:abstractNum w:abstractNumId="14">
    <w:nsid w:val="628C895D"/>
    <w:multiLevelType w:val="hybridMultilevel"/>
    <w:lvl w:ilvl="0">
      <w:lvlJc w:val="left"/>
      <w:lvlText w:val="$"/>
      <w:numFmt w:val="bullet"/>
      <w:start w:val="1"/>
    </w:lvl>
  </w:abstractNum>
  <w:abstractNum w:abstractNumId="15">
    <w:nsid w:val="333AB105"/>
    <w:multiLevelType w:val="hybridMultilevel"/>
    <w:lvl w:ilvl="0">
      <w:lvlJc w:val="left"/>
      <w:lvlText w:val="(%1)"/>
      <w:numFmt w:val="decimal"/>
      <w:start w:val="1"/>
    </w:lvl>
  </w:abstractNum>
  <w:abstractNum w:abstractNumId="16">
    <w:nsid w:val="721DA317"/>
    <w:multiLevelType w:val="hybridMultilevel"/>
    <w:lvl w:ilvl="0">
      <w:lvlJc w:val="left"/>
      <w:lvlText w:val="(%1)"/>
      <w:numFmt w:val="decimal"/>
      <w:start w:val="1"/>
    </w:lvl>
  </w:abstractNum>
  <w:abstractNum w:abstractNumId="17">
    <w:nsid w:val="2443A858"/>
    <w:multiLevelType w:val="hybridMultilevel"/>
    <w:lvl w:ilvl="0">
      <w:lvlJc w:val="left"/>
      <w:lvlText w:val="(%1)"/>
      <w:numFmt w:val="decimal"/>
      <w:start w:val="1"/>
    </w:lvl>
  </w:abstractNum>
  <w:abstractNum w:abstractNumId="18">
    <w:nsid w:val="2D1D5AE9"/>
    <w:multiLevelType w:val="hybridMultilevel"/>
    <w:lvl w:ilvl="0">
      <w:lvlJc w:val="left"/>
      <w:lvlText w:val="(%1)"/>
      <w:numFmt w:val="decimal"/>
      <w:start w:val="1"/>
    </w:lvl>
  </w:abstractNum>
  <w:abstractNum w:abstractNumId="19">
    <w:nsid w:val="6763845E"/>
    <w:multiLevelType w:val="hybridMultilevel"/>
    <w:lvl w:ilvl="0">
      <w:lvlJc w:val="left"/>
      <w:lvlText w:val="$"/>
      <w:numFmt w:val="bullet"/>
      <w:start w:val="1"/>
    </w:lvl>
  </w:abstractNum>
  <w:abstractNum w:abstractNumId="20">
    <w:nsid w:val="75A2A8D4"/>
    <w:multiLevelType w:val="hybridMultilevel"/>
    <w:lvl w:ilvl="0">
      <w:lvlJc w:val="left"/>
      <w:lvlText w:val="(%1)"/>
      <w:numFmt w:val="decimal"/>
      <w:start w:val="1"/>
    </w:lvl>
  </w:abstractNum>
  <w:abstractNum w:abstractNumId="21">
    <w:nsid w:val="8EDBDAB"/>
    <w:multiLevelType w:val="hybridMultilevel"/>
    <w:lvl w:ilvl="0">
      <w:lvlJc w:val="left"/>
      <w:lvlText w:val="(%1)"/>
      <w:numFmt w:val="decimal"/>
      <w:start w:val="1"/>
    </w:lvl>
  </w:abstractNum>
  <w:abstractNum w:abstractNumId="22">
    <w:nsid w:val="79838CB2"/>
    <w:multiLevelType w:val="hybridMultilevel"/>
    <w:lvl w:ilvl="0">
      <w:lvlJc w:val="left"/>
      <w:lvlText w:val="(%1)"/>
      <w:numFmt w:val="decimal"/>
      <w:start w:val="1"/>
    </w:lvl>
  </w:abstractNum>
  <w:abstractNum w:abstractNumId="23">
    <w:nsid w:val="4353D0CD"/>
    <w:multiLevelType w:val="hybridMultilevel"/>
    <w:lvl w:ilvl="0">
      <w:lvlJc w:val="left"/>
      <w:lvlText w:val="(%1)"/>
      <w:numFmt w:val="lowerLetter"/>
      <w:start w:val="1"/>
    </w:lvl>
  </w:abstractNum>
  <w:abstractNum w:abstractNumId="24">
    <w:nsid w:val="B03E0C6"/>
    <w:multiLevelType w:val="hybridMultilevel"/>
    <w:lvl w:ilvl="0">
      <w:lvlJc w:val="left"/>
      <w:lvlText w:val="+"/>
      <w:numFmt w:val="bullet"/>
      <w:start w:val="1"/>
    </w:lvl>
  </w:abstractNum>
  <w:abstractNum w:abstractNumId="25">
    <w:nsid w:val="189A769B"/>
    <w:multiLevelType w:val="hybridMultilevel"/>
    <w:lvl w:ilvl="0">
      <w:lvlJc w:val="left"/>
      <w:lvlText w:val="%1."/>
      <w:numFmt w:val="decimal"/>
      <w:start w:val="1"/>
    </w:lvl>
    <w:lvl w:ilvl="1">
      <w:lvlJc w:val="left"/>
      <w:lvlText w:val="(%2)"/>
      <w:numFmt w:val="lowerLetter"/>
      <w:start w:val="1"/>
    </w:lvl>
  </w:abstractNum>
  <w:abstractNum w:abstractNumId="26">
    <w:nsid w:val="54E49EB4"/>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3" Type="http://schemas.openxmlformats.org/officeDocument/2006/relationships/image" Target="media/image114.png"/><Relationship Id="rId124" Type="http://schemas.openxmlformats.org/officeDocument/2006/relationships/image" Target="media/image115.png"/><Relationship Id="rId125" Type="http://schemas.openxmlformats.org/officeDocument/2006/relationships/image" Target="media/image116.png"/><Relationship Id="rId126" Type="http://schemas.openxmlformats.org/officeDocument/2006/relationships/image" Target="media/image117.png"/><Relationship Id="rId127" Type="http://schemas.openxmlformats.org/officeDocument/2006/relationships/image" Target="media/image118.png"/><Relationship Id="rId128" Type="http://schemas.openxmlformats.org/officeDocument/2006/relationships/image" Target="media/image119.png"/><Relationship Id="rId129" Type="http://schemas.openxmlformats.org/officeDocument/2006/relationships/image" Target="media/image120.png"/><Relationship Id="rId130" Type="http://schemas.openxmlformats.org/officeDocument/2006/relationships/image" Target="media/image121.png"/><Relationship Id="rId131" Type="http://schemas.openxmlformats.org/officeDocument/2006/relationships/image" Target="media/image122.png"/><Relationship Id="rId132" Type="http://schemas.openxmlformats.org/officeDocument/2006/relationships/image" Target="media/image123.png"/><Relationship Id="rId121" Type="http://schemas.openxmlformats.org/officeDocument/2006/relationships/hyperlink" Target="http://www.sec.gov/Archives/edgar/data/33992/000135448814002619/kins_ex3a.htm" TargetMode="External"/><Relationship Id="rId122" Type="http://schemas.openxmlformats.org/officeDocument/2006/relationships/hyperlink" Target="http://www.sec.gov/Archives/edgar/data/33992/000102177109000069/ex3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2019-12-02T20:48:49Z</dcterms:created>
  <dcterms:modified xsi:type="dcterms:W3CDTF">2019-12-02T20:48:49Z</dcterms:modified>
</cp:coreProperties>
</file>