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500" w:right="1420" w:hanging="3242"/>
        <w:spacing w:after="0" w:line="500"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3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KINGSTONE COMPANIES,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1270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2"/>
          </w:tcPr>
          <w:p>
            <w:pPr>
              <w:jc w:val="right"/>
              <w:ind w:right="1630"/>
              <w:spacing w:after="0"/>
              <w:rPr>
                <w:sz w:val="20"/>
                <w:szCs w:val="20"/>
                <w:color w:val="auto"/>
              </w:rPr>
            </w:pPr>
            <w:r>
              <w:rPr>
                <w:rFonts w:ascii="Arial" w:cs="Arial" w:eastAsia="Arial" w:hAnsi="Arial"/>
                <w:sz w:val="18"/>
                <w:szCs w:val="18"/>
                <w:b w:val="1"/>
                <w:bCs w:val="1"/>
                <w:color w:val="auto"/>
              </w:rPr>
              <w:t>36-2476480</w:t>
            </w:r>
          </w:p>
        </w:tc>
      </w:tr>
      <w:tr>
        <w:trPr>
          <w:trHeight w:val="191"/>
        </w:trPr>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94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(I.R.S. Employer Identification Number)</w:t>
            </w:r>
          </w:p>
        </w:tc>
      </w:tr>
      <w:tr>
        <w:trPr>
          <w:trHeight w:val="234"/>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0"/>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Kingston, NY 12401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Borders>
              <w:right w:val="single" w:sz="8" w:color="auto"/>
            </w:tcBorders>
          </w:tcPr>
          <w:p>
            <w:pPr>
              <w:spacing w:after="0"/>
              <w:rPr>
                <w:sz w:val="18"/>
                <w:szCs w:val="18"/>
                <w:color w:val="auto"/>
              </w:rPr>
            </w:pP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20" w:type="dxa"/>
            <w:vAlign w:val="bottom"/>
            <w:tcBorders>
              <w:top w:val="single" w:sz="8" w:color="auto"/>
            </w:tcBorders>
          </w:tcPr>
          <w:p>
            <w:pPr>
              <w:spacing w:after="0"/>
              <w:rPr>
                <w:sz w:val="18"/>
                <w:szCs w:val="18"/>
                <w:color w:val="auto"/>
              </w:rPr>
            </w:pPr>
          </w:p>
        </w:tc>
        <w:tc>
          <w:tcPr>
            <w:tcW w:w="2740" w:type="dxa"/>
            <w:vAlign w:val="bottom"/>
            <w:tcBorders>
              <w:top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880" w:type="dxa"/>
            <w:vAlign w:val="bottom"/>
            <w:tcBorders>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r>
      <w:tr>
        <w:trPr>
          <w:trHeight w:val="209"/>
        </w:trPr>
        <w:tc>
          <w:tcPr>
            <w:tcW w:w="880" w:type="dxa"/>
            <w:vAlign w:val="bottom"/>
            <w:tcBorders>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9"/>
              </w:rPr>
              <w:t>KINS</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426"/>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12(g) of the Act:</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None</w:t>
            </w:r>
          </w:p>
        </w:tc>
        <w:tc>
          <w:tcPr>
            <w:tcW w:w="31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(Title of each class)</w:t>
            </w:r>
          </w:p>
        </w:tc>
        <w:tc>
          <w:tcPr>
            <w:tcW w:w="3120" w:type="dxa"/>
            <w:vAlign w:val="bottom"/>
          </w:tcPr>
          <w:p>
            <w:pPr>
              <w:spacing w:after="0"/>
              <w:rPr>
                <w:sz w:val="20"/>
                <w:szCs w:val="20"/>
                <w:color w:val="auto"/>
              </w:rPr>
            </w:pPr>
          </w:p>
        </w:tc>
      </w:tr>
    </w:tbl>
    <w:p>
      <w:pPr>
        <w:spacing w:after="0" w:line="169" w:lineRule="exact"/>
        <w:rPr>
          <w:sz w:val="24"/>
          <w:szCs w:val="24"/>
          <w:color w:val="auto"/>
        </w:rPr>
      </w:pPr>
    </w:p>
    <w:p>
      <w:pPr>
        <w:ind w:right="1640"/>
        <w:spacing w:after="0" w:line="25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 Checking the box above will not relieve any registrant required to</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 reports pursuant to Section 13 or 15(d) of the Exchange Act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those Sections.</w:t>
      </w:r>
    </w:p>
    <w:p>
      <w:pPr>
        <w:spacing w:after="0" w:line="202" w:lineRule="exact"/>
        <w:rPr>
          <w:sz w:val="24"/>
          <w:szCs w:val="24"/>
          <w:color w:val="auto"/>
        </w:rPr>
      </w:pPr>
    </w:p>
    <w:p>
      <w:pPr>
        <w:ind w:left="620"/>
        <w:spacing w:after="0" w:line="258"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SEC 1673 (04-20)</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75" w:right="339" w:bottom="0" w:gutter="0" w:footer="0" w:header="0"/>
        </w:sectPr>
      </w:pPr>
    </w:p>
    <w:bookmarkStart w:id="1" w:name="page2"/>
    <w:bookmarkEnd w:id="1"/>
    <w:p>
      <w:pPr>
        <w:spacing w:after="0" w:line="6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52"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aggregate market value of the registrant’s common stock held by non-affiliates of the registrant was $72,052,633 based on the closing sale price as reported on the Nasdaq Capital Market.</w:t>
      </w:r>
    </w:p>
    <w:p>
      <w:pPr>
        <w:spacing w:after="0" w:line="138"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—If a determination as to whether a particular person or entity is an a</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liate cannot be made without involving unreasonable e</w:t>
      </w:r>
      <w:r>
        <w:rPr>
          <w:rFonts w:ascii="Arial Unicode MS" w:cs="Arial Unicode MS" w:eastAsia="Arial Unicode MS" w:hAnsi="Arial Unicode MS"/>
          <w:sz w:val="18"/>
          <w:szCs w:val="18"/>
          <w:color w:val="auto"/>
        </w:rPr>
        <w:t>ﬀ</w:t>
      </w:r>
      <w:r>
        <w:rPr>
          <w:rFonts w:ascii="Arial" w:cs="Arial" w:eastAsia="Arial" w:hAnsi="Arial"/>
          <w:sz w:val="18"/>
          <w:szCs w:val="18"/>
          <w:color w:val="auto"/>
        </w:rPr>
        <w:t>ort and expense,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market value of the common stock held by non-a</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liates may be calculated on the basis of assumptions reasonable under the circumstances, provided that the assumptions are set forth in this Form.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ONLY TO REGISTRANTS INVOLVED IN BANKRUPTCY PROCEEDINGS DURING THE PRECEDING FIVE YEARS:</w:t>
      </w:r>
    </w:p>
    <w:p>
      <w:pPr>
        <w:spacing w:after="0" w:line="225"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 xml:space="preserve">Indicate by check mark whether the registrant has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led all documents and reports required to be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led by Section 12, 13 or 15(d) of the Securities Exchange Act of 1934 subsequent to the distribution of securities under a plan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rmed by a court.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ONLY TO CORPORATE REGISTRANTS)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As of March 21, 2022, there were 10,637,474 shares of common stock outstanding.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177165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228600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gridSpan w:val="5"/>
          </w:tcPr>
          <w:p>
            <w:pPr>
              <w:ind w:left="4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 No.</w:t>
            </w: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014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r>
      <w:tr>
        <w:trPr>
          <w:trHeight w:val="392"/>
        </w:trPr>
        <w:tc>
          <w:tcPr>
            <w:tcW w:w="90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1A.</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1B.</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380" w:type="dxa"/>
            <w:vAlign w:val="bottom"/>
            <w:tcBorders>
              <w:bottom w:val="single" w:sz="8" w:color="CCEEFF"/>
            </w:tcBorders>
            <w:gridSpan w:val="5"/>
            <w:shd w:val="clear" w:color="auto" w:fill="CCEEFF"/>
          </w:tcPr>
          <w:p>
            <w:pPr>
              <w:spacing w:after="0"/>
              <w:rPr>
                <w:sz w:val="17"/>
                <w:szCs w:val="17"/>
                <w:color w:val="auto"/>
              </w:rPr>
            </w:pPr>
          </w:p>
        </w:tc>
        <w:tc>
          <w:tcPr>
            <w:tcW w:w="18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Mine Safety Disclosures.</w:t>
              </w:r>
            </w:hyperlink>
          </w:p>
        </w:tc>
        <w:tc>
          <w:tcPr>
            <w:tcW w:w="7420" w:type="dxa"/>
            <w:vAlign w:val="bottom"/>
            <w:tcBorders>
              <w:bottom w:val="single" w:sz="8" w:color="CCEEFF"/>
            </w:tcBorders>
            <w:gridSpan w:val="9"/>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r>
      <w:tr>
        <w:trPr>
          <w:trHeight w:val="392"/>
        </w:trPr>
        <w:tc>
          <w:tcPr>
            <w:tcW w:w="900" w:type="dxa"/>
            <w:vAlign w:val="bottom"/>
            <w:gridSpan w:val="6"/>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6.</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Reserved.</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7.</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31</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7A.</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58</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8.</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58</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9.</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9A.</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9B.</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59</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Item 9C.</w:t>
            </w:r>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50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0"/>
              </w:rPr>
              <w:t>Disclosures Regarding Foreign Jurisdictions that Prevent Inspections.</w:t>
            </w:r>
          </w:p>
        </w:tc>
        <w:tc>
          <w:tcPr>
            <w:tcW w:w="4220" w:type="dxa"/>
            <w:vAlign w:val="bottom"/>
            <w:tcBorders>
              <w:bottom w:val="single" w:sz="8" w:color="CCEEFF"/>
            </w:tcBorders>
            <w:gridSpan w:val="4"/>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59</w:t>
            </w:r>
          </w:p>
        </w:tc>
      </w:tr>
      <w:tr>
        <w:trPr>
          <w:trHeight w:val="392"/>
        </w:trPr>
        <w:tc>
          <w:tcPr>
            <w:tcW w:w="900" w:type="dxa"/>
            <w:vAlign w:val="bottom"/>
            <w:gridSpan w:val="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900" w:type="dxa"/>
            <w:vAlign w:val="bottom"/>
            <w:gridSpan w:val="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10.</w:t>
              </w:r>
            </w:hyperlink>
          </w:p>
        </w:tc>
        <w:tc>
          <w:tcPr>
            <w:tcW w:w="9240" w:type="dxa"/>
            <w:vAlign w:val="bottom"/>
            <w:gridSpan w:val="17"/>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Directors, Executive Officers and Corporate Governance.</w:t>
              </w:r>
            </w:hyperlink>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60</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44"/>
        </w:trPr>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125"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gridSpan w:val="4"/>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11.</w:t>
              </w:r>
            </w:hyperlink>
          </w:p>
        </w:tc>
        <w:tc>
          <w:tcPr>
            <w:tcW w:w="8700" w:type="dxa"/>
            <w:vAlign w:val="bottom"/>
            <w:gridSpan w:val="7"/>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Executive Compensation.</w:t>
              </w:r>
            </w:hyperlink>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12.</w:t>
              </w:r>
            </w:hyperlink>
          </w:p>
        </w:tc>
        <w:tc>
          <w:tcPr>
            <w:tcW w:w="870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Security Ownership of Certain Beneficial Owners and Management and Related Stockholder Matters.</w:t>
              </w:r>
            </w:hyperlink>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70</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13.</w:t>
              </w:r>
            </w:hyperlink>
          </w:p>
        </w:tc>
        <w:tc>
          <w:tcPr>
            <w:tcW w:w="870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Certain Relationships and Related Transactions, and Director Independence.</w:t>
              </w:r>
            </w:hyperlink>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72</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14.</w:t>
              </w:r>
            </w:hyperlink>
          </w:p>
        </w:tc>
        <w:tc>
          <w:tcPr>
            <w:tcW w:w="87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73</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391"/>
        </w:trPr>
        <w:tc>
          <w:tcPr>
            <w:tcW w:w="900" w:type="dxa"/>
            <w:vAlign w:val="bottom"/>
            <w:gridSpan w:val="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IV</w:t>
              </w:r>
            </w:hyperlink>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6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19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15.</w:t>
              </w:r>
            </w:hyperlink>
          </w:p>
        </w:tc>
        <w:tc>
          <w:tcPr>
            <w:tcW w:w="870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 and Financial Statement Schedules.</w:t>
              </w:r>
            </w:hyperlink>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74</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16.</w:t>
              </w:r>
            </w:hyperlink>
          </w:p>
        </w:tc>
        <w:tc>
          <w:tcPr>
            <w:tcW w:w="870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Form 10-K Summary.</w:t>
              </w:r>
            </w:hyperlink>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75</w:t>
            </w:r>
          </w:p>
        </w:tc>
      </w:tr>
      <w:tr>
        <w:trPr>
          <w:trHeight w:val="216"/>
        </w:trPr>
        <w:tc>
          <w:tcPr>
            <w:tcW w:w="6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6"/>
        </w:trPr>
        <w:tc>
          <w:tcPr>
            <w:tcW w:w="900" w:type="dxa"/>
            <w:vAlign w:val="bottom"/>
            <w:gridSpan w:val="4"/>
            <w:shd w:val="clear" w:color="auto" w:fill="CCEEFF"/>
          </w:tcPr>
          <w:p>
            <w:pPr>
              <w:spacing w:after="0" w:line="176" w:lineRule="exact"/>
              <w:rPr>
                <w:rFonts w:ascii="Arial" w:cs="Arial" w:eastAsia="Arial" w:hAnsi="Arial"/>
                <w:sz w:val="18"/>
                <w:szCs w:val="18"/>
                <w:b w:val="1"/>
                <w:bCs w:val="1"/>
                <w:color w:val="0000EE"/>
                <w:w w:val="94"/>
              </w:rPr>
            </w:pPr>
            <w:hyperlink w:anchor="page47">
              <w:r>
                <w:rPr>
                  <w:rFonts w:ascii="Arial" w:cs="Arial" w:eastAsia="Arial" w:hAnsi="Arial"/>
                  <w:sz w:val="18"/>
                  <w:szCs w:val="18"/>
                  <w:b w:val="1"/>
                  <w:bCs w:val="1"/>
                  <w:color w:val="0000EE"/>
                  <w:w w:val="94"/>
                </w:rPr>
                <w:t>Signatures</w:t>
              </w:r>
            </w:hyperlink>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Annual Report on Form 10-K (the “Annual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 under “Factors That May Affect Future Results and Financial Condition.”</w:t>
      </w:r>
    </w:p>
    <w:p>
      <w:pPr>
        <w:spacing w:after="0" w:line="21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ind w:right="9260" w:firstLine="8"/>
        <w:spacing w:after="0" w:line="503" w:lineRule="auto"/>
        <w:tabs>
          <w:tab w:leader="none" w:pos="255" w:val="left"/>
        </w:tabs>
        <w:numPr>
          <w:ilvl w:val="0"/>
          <w:numId w:val="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Business Development </w:t>
      </w:r>
      <w:r>
        <w:rPr>
          <w:rFonts w:ascii="Arial" w:cs="Arial" w:eastAsia="Arial" w:hAnsi="Arial"/>
          <w:sz w:val="18"/>
          <w:szCs w:val="18"/>
          <w:b w:val="1"/>
          <w:bCs w:val="1"/>
          <w:color w:val="auto"/>
        </w:rPr>
        <w:t>General</w:t>
      </w:r>
    </w:p>
    <w:p>
      <w:pPr>
        <w:jc w:val="both"/>
        <w:ind w:firstLine="648"/>
        <w:spacing w:after="0" w:line="277" w:lineRule="auto"/>
        <w:rPr>
          <w:sz w:val="20"/>
          <w:szCs w:val="20"/>
          <w:color w:val="auto"/>
        </w:rPr>
      </w:pPr>
      <w:r>
        <w:rPr>
          <w:rFonts w:ascii="Arial" w:cs="Arial" w:eastAsia="Arial" w:hAnsi="Arial"/>
          <w:sz w:val="18"/>
          <w:szCs w:val="18"/>
          <w:color w:val="auto"/>
        </w:rPr>
        <w:t>As used in this Annual Report, references to the “Company,” “we,” “us,” or “our” refer to Kingstone Companies, Inc. (“Kingstone”) and its subsidiaries.</w:t>
      </w:r>
    </w:p>
    <w:p>
      <w:pPr>
        <w:spacing w:after="0" w:line="17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offer property and casualty insurance products to individuals through our wholly owned subsidiary, Kingstone Insurance Company (“KICO”), domiciled in the state of New York. KICO is a licensed property and casualty insurance company in New York, New Jersey, Connecticut, Massachusetts, Pennsylvania, Rhode Island, Maine, and New Hampshire. KICO is currently offering its property and casualty insurance products in New York, New Jersey, Rhode Island, Massachusetts and Connecticut.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through our subsidiary, Cosi Agency, Inc. (“Cosi”), a multi-state licensed general agency, we access alternative distribution channels.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 related expenses are included in other operating expenses. Cosi related operating expenses are not included in our stand-alone insurance underwriting business and, accordingly, its expenses are not included in the calculation of our combined ratio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2021</w:t>
      </w:r>
    </w:p>
    <w:p>
      <w:pPr>
        <w:spacing w:after="0" w:line="225" w:lineRule="exact"/>
        <w:rPr>
          <w:sz w:val="20"/>
          <w:szCs w:val="20"/>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Quota Share Reinsurance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December 31, 2021, KICO entered into a 30% quota share reinsurance treaty for its personal lines business, which primarily consists of homeowners’ and dwelling fire policies, covering the period from December 31, 2021 through January 1, 2023.</w:t>
      </w:r>
    </w:p>
    <w:p>
      <w:pPr>
        <w:sectPr>
          <w:pgSz w:w="11900" w:h="16838" w:orient="portrait"/>
          <w:cols w:equalWidth="0" w:num="1">
            <w:col w:w="11240"/>
          </w:cols>
          <w:pgMar w:left="320" w:top="108" w:right="339" w:bottom="0" w:gutter="0" w:footer="0" w:header="0"/>
        </w:sectPr>
      </w:pPr>
    </w:p>
    <w:bookmarkStart w:id="3" w:name="page4"/>
    <w:bookmarkEnd w:id="3"/>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Catastrophe Reinsurance Coverage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Effective July 1, 2021, KICO increased the top limit of its catastrophe reinsurance coverage from $485,000,000 to $500,000,000, which, at the time, equated to more than a 1-in-130 year storm event according to the primary industry catastrophe model that we follow.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effective October 20, 2021, KICO purchased stub coverage to reduce its retention from a catastrophe to $5 million covering the period October 20, 2021 through December 31, 2021.</w:t>
      </w:r>
    </w:p>
    <w:p>
      <w:pPr>
        <w:spacing w:after="0" w:line="170"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A.M. Best Rating</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August 2021, A.M. Best downgraded KICO’s financial strength rating from B++ (Good) to B+ (Good) and Long-Term Issuer Credit Rating (ICR) from “bbb” (Good) to “bbb-” (Good) due to a revision of operating performance to adequate from strong which reflects volatility from underwriting results caused by weather-related losses and loss reserve strengthening. The outlook for each of these credit ratings was revised from “negative” to “stable”.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Developments During 2020</w:t>
      </w:r>
    </w:p>
    <w:p>
      <w:pPr>
        <w:spacing w:after="0" w:line="225"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Quota Share Reinsurance</w:t>
      </w:r>
    </w:p>
    <w:p>
      <w:pPr>
        <w:spacing w:after="0" w:line="200" w:lineRule="exact"/>
        <w:rPr>
          <w:sz w:val="20"/>
          <w:szCs w:val="20"/>
          <w:color w:val="auto"/>
        </w:rPr>
      </w:pPr>
    </w:p>
    <w:p>
      <w:pPr>
        <w:spacing w:after="0" w:line="241" w:lineRule="exact"/>
        <w:rPr>
          <w:sz w:val="20"/>
          <w:szCs w:val="20"/>
          <w:color w:val="auto"/>
        </w:rPr>
      </w:pPr>
    </w:p>
    <w:p>
      <w:pPr>
        <w:ind w:right="20" w:firstLine="607"/>
        <w:spacing w:after="0" w:line="277" w:lineRule="auto"/>
        <w:rPr>
          <w:sz w:val="20"/>
          <w:szCs w:val="20"/>
          <w:color w:val="auto"/>
        </w:rPr>
      </w:pPr>
      <w:r>
        <w:rPr>
          <w:rFonts w:ascii="Arial" w:cs="Arial" w:eastAsia="Arial" w:hAnsi="Arial"/>
          <w:sz w:val="18"/>
          <w:szCs w:val="18"/>
          <w:color w:val="auto"/>
        </w:rPr>
        <w:t>Effective December 30, 2020, KICO terminated the 25% quota share reinsurance treaty for its personal lines business, which primarily consisted of homeowners’ and dwelling fire policies, covering the period December 15, 2019 through December 30, 2020.</w:t>
      </w:r>
    </w:p>
    <w:p>
      <w:pPr>
        <w:spacing w:after="0" w:line="170" w:lineRule="exact"/>
        <w:rPr>
          <w:sz w:val="20"/>
          <w:szCs w:val="20"/>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Catastrophe Reinsurance Coverage</w:t>
      </w:r>
    </w:p>
    <w:p>
      <w:pPr>
        <w:spacing w:after="0" w:line="225"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Effective July 1, 2020, KICO decreased the top limit of its catastrophe reinsurance coverage from $610,000,000 to $485,000,000, which, at the time, equated to more than a 1-in-130 year storm event according to the primary industry catastrophe model that we follow.</w:t>
      </w:r>
    </w:p>
    <w:p>
      <w:pPr>
        <w:spacing w:after="0" w:line="170" w:lineRule="exact"/>
        <w:rPr>
          <w:sz w:val="20"/>
          <w:szCs w:val="20"/>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A.M. Best Rating</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In July 2020, A.M. Best downgraded KICO’s financial strength rating from A- (excellent) to B++ (Good) as a result of KICO’s revision to its catastrophe reinsurance program effective July 1, 2020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Casualty Insurance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generate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claims. During this time, KICO invests the premiums, earning investment income and generating net realized and unrealized gains and losses on associated investments.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Insurance companies incur a significant amount of their total expenses from insured losses, which are commonly referred to as claims. In settling insured losses, various loss adjustment expenses (“LAE”) are incurred such as insurance adjusters’ fees and legal expenses. In addition, insurance companies incur policy acquisition expenses, such as commissions paid to producers, premium taxes, and other expenses related to the underwriting process, including their employees’ compensation and benefits.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ectPr>
          <w:pgSz w:w="11900" w:h="16838" w:orient="portrait"/>
          <w:cols w:equalWidth="0" w:num="1">
            <w:col w:w="11240"/>
          </w:cols>
          <w:pgMar w:left="320" w:top="125" w:right="339" w:bottom="0" w:gutter="0" w:footer="0" w:header="0"/>
        </w:sectPr>
      </w:pPr>
    </w:p>
    <w:bookmarkStart w:id="4" w:name="page5"/>
    <w:bookmarkEnd w:id="4"/>
    <w:p>
      <w:pPr>
        <w:ind w:left="7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multi-line regional property and casualty insurance company writing business exclusively through retail and wholesale agents and brokers (“producers”) appointed by our wholly owned subsidiary, KICO. We are licensed to write insurance policies in New York, New Jersey, Connecticut, Maine, Massachusetts, New Hampshire, Pennsylvania and Rhode Island. We are actively writing business in New York, New Jersey, Rhode Island, Massachusetts and Connecticut.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through our subsidiary, Cosi, a multi-state licensed general agency, we access alternative distribution channels. See “Distribution” below for a discussion of our distribution channels.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financial stability coupled with competitive rate and commission structures.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spacing w:after="0" w:line="2" w:lineRule="exact"/>
        <w:rPr>
          <w:sz w:val="20"/>
          <w:szCs w:val="20"/>
          <w:color w:val="auto"/>
        </w:rPr>
      </w:pPr>
    </w:p>
    <w:p>
      <w:pPr>
        <w:jc w:val="both"/>
        <w:ind w:firstLine="54"/>
        <w:spacing w:after="0" w:line="260" w:lineRule="auto"/>
        <w:rPr>
          <w:sz w:val="20"/>
          <w:szCs w:val="20"/>
          <w:color w:val="auto"/>
        </w:rPr>
      </w:pPr>
      <w:r>
        <w:rPr>
          <w:rFonts w:ascii="Arial" w:cs="Arial" w:eastAsia="Arial" w:hAnsi="Arial"/>
          <w:sz w:val="18"/>
          <w:szCs w:val="18"/>
          <w:color w:val="auto"/>
        </w:rPr>
        <w:t>For the year ended December 31, 2021, our gross written premiums totaled $181.7 million, an increase of 7.3% from the $169.3 million in gross written premiums for the year ended December 31, 2020.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Personal lines - </w:t>
      </w:r>
      <w:r>
        <w:rPr>
          <w:rFonts w:ascii="Arial" w:cs="Arial" w:eastAsia="Arial" w:hAnsi="Arial"/>
          <w:sz w:val="16"/>
          <w:szCs w:val="16"/>
          <w:color w:val="auto"/>
        </w:rPr>
        <w:t>Our largest line of business is personal lines, consisting of homeowners and dwelling fire multi-peril, cooperative/condominiums,</w:t>
      </w:r>
      <w:r>
        <w:rPr>
          <w:rFonts w:ascii="Arial" w:cs="Arial" w:eastAsia="Arial" w:hAnsi="Arial"/>
          <w:sz w:val="16"/>
          <w:szCs w:val="16"/>
          <w:i w:val="1"/>
          <w:iCs w:val="1"/>
          <w:color w:val="auto"/>
        </w:rPr>
        <w:t xml:space="preserve"> </w:t>
      </w:r>
      <w:r>
        <w:rPr>
          <w:rFonts w:ascii="Arial" w:cs="Arial" w:eastAsia="Arial" w:hAnsi="Arial"/>
          <w:sz w:val="16"/>
          <w:szCs w:val="16"/>
          <w:color w:val="auto"/>
        </w:rPr>
        <w:t>renters, and personal umbrella policies. Personal lines policies accounted for 94.6% of our gross written premiums for the year ended December 31, 2021.</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Livery physical damage - </w:t>
      </w:r>
      <w:r>
        <w:rPr>
          <w:rFonts w:ascii="Arial" w:cs="Arial" w:eastAsia="Arial" w:hAnsi="Arial"/>
          <w:sz w:val="18"/>
          <w:szCs w:val="18"/>
          <w:color w:val="auto"/>
        </w:rPr>
        <w:t>We write for-hire vehicle physical damage only policies for livery and car service vehicles and taxicabs, primarily based</w:t>
      </w:r>
      <w:r>
        <w:rPr>
          <w:rFonts w:ascii="Arial" w:cs="Arial" w:eastAsia="Arial" w:hAnsi="Arial"/>
          <w:sz w:val="18"/>
          <w:szCs w:val="18"/>
          <w:i w:val="1"/>
          <w:iCs w:val="1"/>
          <w:color w:val="auto"/>
        </w:rPr>
        <w:t xml:space="preserve"> </w:t>
      </w:r>
      <w:r>
        <w:rPr>
          <w:rFonts w:ascii="Arial" w:cs="Arial" w:eastAsia="Arial" w:hAnsi="Arial"/>
          <w:sz w:val="18"/>
          <w:szCs w:val="18"/>
          <w:color w:val="auto"/>
        </w:rPr>
        <w:t>in New York City. These policies insure only the physical damage portion of insurance for such vehicles, with no liability coverage included. These policies accounted for 5.3% of our gross written premiums for the year ended December 31,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 We write canine legal liability policies and have a small participation in mandatory state joint underwriting associations. These policies accounted for 0.1% of our gross written premiums for the year ended December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History of Growing Our Profitable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KICO has been in operation in the State of New York for over 130 years. We have consistently grown the amount of profitable business that we write by introducing new products, increasing volume written with our selected producers in existing markets, and developing new producer relationships and markets. KICO has earned an underwriting profit in seven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insureds.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Strong Producer Relationships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biennial performance surveys conducted by the Professional Insurance Agents of New York and New Jersey of its membership since 2010, KICO was rated as one of the top performing insurance companies in New York, twice ranking as the top rated carrier among all those surveyed.</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offer our selected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selected producers, our broad product offerings, and our consistent prices and financial stability provide a strong foundation for continued profitable growth.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Sophisticated Underwriting and Risk Management Practices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a significant underwriting advantage exists due to our local market presence and expertise. Our underwriting process evaluates and screens out certain risks based on property reports, individual insurance scoring, and information collected from physical property inspections and driving records. We maintain certain policy exclusions that reduce our exposure to risks that can create severe losses. We target a preferred risk profile in order to reduce adverse selection from risks seeking the lowest premiums and minimal coverage levels.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for</w:t>
      </w:r>
    </w:p>
    <w:p>
      <w:pPr>
        <w:sectPr>
          <w:pgSz w:w="11900" w:h="16838" w:orient="portrait"/>
          <w:cols w:equalWidth="0" w:num="1">
            <w:col w:w="11240"/>
          </w:cols>
          <w:pgMar w:left="320" w:top="341"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risk of loss. We manage coastal risk exposure through use of individual catastrophe risk scoring and prudent use of reinsurance.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Effective Utilization of Reinsurance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reinsurance program also provides income from ceding commissions earned pursuant to quota share reinsurance contracts. The income we earn from ceding commissions subsidizes our fixed operating costs, which consist of other underwriting expenses. Quota share reinsurance treaties transfer a portion of the profit (or loss) associated with the subject insurance policies to the reinsurers.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Scalable, Low-Cost Operations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we implemented the Kingstone 2.0 program which is an effort to modernize our systems. In 2020 we implemented our new claims system, filed our new homeowners program in New York, and filed our new condo/tenant and dwelling fire programs in New York, introduced a new interface for our select producers and started the conversion to our new policy management system.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Underwriting and Claims Management Philosophy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underwriting philosophy is to target niche segments for which we have detailed expertise and can take advantage of market conditions. We monitor results on a regular basis and our selected producers are reviewed by management on at least a quarterly basis.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our rates are appropriately competitive with other carriers in our target markets. We do not seek to grow by competing based solely upon price. We seek to develop long-term relationships with our selected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business through our relationships with over 600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producer is assigned to a staff underwriter and the producer can call that underwriter directly on any matter. We believe that the close relationship and personal service received from their underwriters is a principal reason producers place their business with us. Our producers have access to a KICO website portal that provides them the ability to quote risks for various products and to review policy forms and underwriting guidelines for all lines of business. We send out frequent “Producer Grams” in order to inform our producers of updates at KICO. In addition, we have an active Producer Council, made up of 11 active producers, to advise us on market developments; and we have at least one annual meeting with all of our producers.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2019, we initiated an alternative distribution program through Cosi. The goal of this program is to enhance our personal lines distribution channel to include nationally recognized name-brand carriers along with nationwide call center and digital insurance agencies.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insurance industry is highly competitive. We constantly assess and make projections of market conditions and appropriate prices for our products, but we cannot fully know our profitability until all claims have been reported and settled.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policyholders are located primarily in the downstate regions of New York State, but we are actively growing into other Northeast markets, including New Jersey and Rhode Island during 2017 followed by Massachusetts in 2018 and Connecticut in 2019. In addition, we are licensed to write insurance policies in Maine, New Hampshire and Pennsylvania. These homeowners markets align well with the niche markets that have generated profitable results in New York, and we believe that our market expertise can be effectively utilized in new markets.</w:t>
      </w:r>
    </w:p>
    <w:p>
      <w:pPr>
        <w:sectPr>
          <w:pgSz w:w="11900" w:h="16838" w:orient="portrait"/>
          <w:cols w:equalWidth="0" w:num="1">
            <w:col w:w="11240"/>
          </w:cols>
          <w:pgMar w:left="320" w:top="125" w:right="339" w:bottom="0" w:gutter="0" w:footer="0" w:header="0"/>
        </w:sectPr>
      </w:pPr>
    </w:p>
    <w:bookmarkStart w:id="6" w:name="page7"/>
    <w:bookmarkEnd w:id="6"/>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2020, KICO was the 15th largest writer of homeowners insurance in the State of New York, according to data compiled by SNL Financial LLC. Based on the same data, in 2020, we had a 1.6%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Given present market conditions, we believe that we have the opportunity to continue expanding the size of our personal lines business in New York, New Jersey, and other northeastern states in which we are licensed.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and Loss Adjustment Expense Reserves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Loss reserves fall into two categories: case reserves for reported losses and LAE associated with specific reported claims, and reserves for losses and LAE that are incurred but not reported (“IBNR”). We establish these two categories of loss reserves as follows: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Reserves for reported losses </w:t>
      </w:r>
      <w:r>
        <w:rPr>
          <w:rFonts w:ascii="Arial" w:cs="Arial" w:eastAsia="Arial" w:hAnsi="Arial"/>
          <w:sz w:val="18"/>
          <w:szCs w:val="18"/>
          <w:color w:val="auto"/>
        </w:rPr>
        <w:t>- When a claim is received, we establish a case reserve for the estimated amount of its ultimate settlement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loss expenses. We establish case reserves based upon the known facts about each claim at the time it is received and we may subsequently adjust case reserves as additional facts and information about the claim develops.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IBNR reserves </w:t>
      </w:r>
      <w:r>
        <w:rPr>
          <w:rFonts w:ascii="Arial" w:cs="Arial" w:eastAsia="Arial" w:hAnsi="Arial"/>
          <w:sz w:val="18"/>
          <w:szCs w:val="18"/>
          <w:color w:val="auto"/>
        </w:rPr>
        <w:t>- We also estimate reserves for loss and LAE amounts incurred but not reported (“IBNR”). IBNR reserves are calculated in bulk as</w:t>
      </w:r>
      <w:r>
        <w:rPr>
          <w:rFonts w:ascii="Arial" w:cs="Arial" w:eastAsia="Arial" w:hAnsi="Arial"/>
          <w:sz w:val="18"/>
          <w:szCs w:val="18"/>
          <w:i w:val="1"/>
          <w:iCs w:val="1"/>
          <w:color w:val="auto"/>
        </w:rPr>
        <w:t xml:space="preserve"> </w:t>
      </w:r>
      <w:r>
        <w:rPr>
          <w:rFonts w:ascii="Arial" w:cs="Arial" w:eastAsia="Arial" w:hAnsi="Arial"/>
          <w:sz w:val="18"/>
          <w:szCs w:val="18"/>
          <w:color w:val="auto"/>
        </w:rPr>
        <w:t>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Reconciliation of Loss and Loss Adjustment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the reconciliation of loss and LAE on a gross and net basis, reflecting changes in losses incurred and paid losses: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870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82,801,228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80,498,611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(20,154,251)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(15,728,224)</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62,646,977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64,770,387</w:t>
            </w:r>
          </w:p>
        </w:tc>
      </w:tr>
      <w:tr>
        <w:trPr>
          <w:trHeight w:val="209"/>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year</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101,987,855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66,389,907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41,165</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incurred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101,972,596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66,431,072</w:t>
            </w:r>
          </w:p>
        </w:tc>
      </w:tr>
      <w:tr>
        <w:trPr>
          <w:trHeight w:val="57"/>
        </w:trPr>
        <w:tc>
          <w:tcPr>
            <w:tcW w:w="8700" w:type="dxa"/>
            <w:vAlign w:val="bottom"/>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r>
    </w:tbl>
    <w:p>
      <w:pPr>
        <w:sectPr>
          <w:pgSz w:w="11900" w:h="16900" w:orient="portrait"/>
          <w:cols w:equalWidth="0" w:num="1">
            <w:col w:w="11240"/>
          </w:cols>
          <w:pgMar w:left="320" w:top="125"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Paid related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60,171,695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41,100,578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Prior years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20,136,812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27,453,904</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80,308,507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68,554,482</w:t>
            </w:r>
          </w:p>
        </w:tc>
      </w:tr>
      <w:tr>
        <w:trPr>
          <w:trHeight w:val="209"/>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84,311,066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62,646,977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10,637,679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20,154,251</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94,948,745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82,801,228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claims reserving practices are designed to set reserves that, in the aggregate, are adequate to pay all claims at their ultimate settlement value.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net loss development of reserves held as of each calendar year-end from 2012 through 2021.</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$8,520,000 as of December 31, 2011 is as follows. By December 31, 2013 (two years later), $5,661,000 had actually been paid in settlement of the claims that relate to liabilities as of December 31, 2011. The re-estimated ultimate reserves for those claims as of December 31, 2012 (two years later) had grown to $11,022,000.</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“cumulative redundancy (deficiency)” represents, as of December 31, 2021, the difference between the latest re-estimated liability and the amounts as originally estimated. A redundancy means that the original estimate was higher than the current estimate. A deficiency means that the current estimate is higher than the original estimate.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(in thousands of $)</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195"/>
        </w:trPr>
        <w:tc>
          <w:tcPr>
            <w:tcW w:w="19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5"/>
              </w:rPr>
              <w:t>Reserve for loss and loss</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 expenses, net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reinsurance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recoverables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40,526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64,770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62,647</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84,311</w:t>
            </w: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w w:val="96"/>
              </w:rPr>
              <w:t>Net reserve estimated as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of One year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13,886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18,903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21,200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23,107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25,899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33,203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51,664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64,811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62,632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18,332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42,723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65,113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Three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12,968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16,624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18,687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22,576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25,509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33,298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43,780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56,346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Five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12,440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16,985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19,449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25,442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28,506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33,120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25,353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28,849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Seven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17,198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20,069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25,445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Eight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17,089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20,129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Nine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12,325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17,101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Net cumulative</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redundancy (deficiency)</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(3,806)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(5,036)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(2,990)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(3,782)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(5,679)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(11,922)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(15,820)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20"/>
                <w:szCs w:val="20"/>
                <w:color w:val="auto"/>
              </w:rPr>
            </w:pPr>
            <w:r>
              <w:rPr>
                <w:rFonts w:ascii="Arial" w:cs="Arial" w:eastAsia="Arial" w:hAnsi="Arial"/>
                <w:sz w:val="18"/>
                <w:szCs w:val="18"/>
                <w:b w:val="1"/>
                <w:bCs w:val="1"/>
                <w:color w:val="auto"/>
              </w:rPr>
              <w:t>(in thousands of $)</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color w:val="auto"/>
              </w:rPr>
              <w:t>Cumulative amount of</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reserve paid, net of</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reinsurance recoverable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through</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One year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23,075</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27,454</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Two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8,833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10,629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12,853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14,456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17,187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26,168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35,924</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35,142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Three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Four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10,100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13,785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16,166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19,838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22,816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27,203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35,510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Five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28,833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Six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11,417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15,882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18,265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23,280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26,298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Seven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Eight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11,864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16,516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19,511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Nine years later</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Ten years later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12,212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Net reserve -</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40,526</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64,770</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62,647</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84,311</w:t>
            </w: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 Reinsurance</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Recoverable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18,420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17,364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18,250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16,707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15,777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16,749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15,671</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15,728</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20,154</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10,638</w:t>
            </w:r>
          </w:p>
        </w:tc>
      </w:tr>
      <w:tr>
        <w:trPr>
          <w:trHeight w:val="21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Gross reserves -</w:t>
            </w: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960" w:type="dxa"/>
            <w:vAlign w:val="bottom"/>
          </w:tcPr>
          <w:p>
            <w:pPr>
              <w:ind w:left="100"/>
              <w:spacing w:after="0"/>
              <w:rPr>
                <w:sz w:val="20"/>
                <w:szCs w:val="20"/>
                <w:color w:val="auto"/>
              </w:rPr>
            </w:pPr>
            <w:r>
              <w:rPr>
                <w:rFonts w:ascii="Arial" w:cs="Arial" w:eastAsia="Arial" w:hAnsi="Arial"/>
                <w:sz w:val="18"/>
                <w:szCs w:val="18"/>
                <w:color w:val="auto"/>
              </w:rPr>
              <w:t>December 31,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18,480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30,485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34,503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39,913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39,877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41,737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48,800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56,197</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80,499</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82,801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94,949</w:t>
            </w:r>
          </w:p>
        </w:tc>
      </w:tr>
      <w:tr>
        <w:trPr>
          <w:trHeight w:val="20"/>
        </w:trPr>
        <w:tc>
          <w:tcPr>
            <w:tcW w:w="1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40"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w w:val="97"/>
              </w:rPr>
              <w:t>Net re-estimated reserve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12,326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17,101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20,129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25,445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28,849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33,120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43,973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56,346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65,113</w:t>
            </w:r>
          </w:p>
        </w:tc>
        <w:tc>
          <w:tcPr>
            <w:tcW w:w="1540" w:type="dxa"/>
            <w:vAlign w:val="bottom"/>
            <w:gridSpan w:val="2"/>
          </w:tcPr>
          <w:p>
            <w:pPr>
              <w:jc w:val="right"/>
              <w:ind w:right="940"/>
              <w:spacing w:after="0"/>
              <w:rPr>
                <w:sz w:val="20"/>
                <w:szCs w:val="20"/>
                <w:color w:val="auto"/>
              </w:rPr>
            </w:pPr>
            <w:r>
              <w:rPr>
                <w:rFonts w:ascii="Arial" w:cs="Arial" w:eastAsia="Arial" w:hAnsi="Arial"/>
                <w:sz w:val="18"/>
                <w:szCs w:val="18"/>
                <w:color w:val="auto"/>
              </w:rPr>
              <w:t>62,632</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Re-estimated reinsurance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22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200" w:type="dxa"/>
            <w:vAlign w:val="bottom"/>
            <w:vMerge w:val="restart"/>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vMerge w:val="restart"/>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23,585</w:t>
            </w:r>
          </w:p>
        </w:tc>
        <w:tc>
          <w:tcPr>
            <w:tcW w:w="220" w:type="dxa"/>
            <w:vAlign w:val="bottom"/>
            <w:vMerge w:val="restart"/>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21,031</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21,009</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19,337</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15,698</w:t>
            </w:r>
          </w:p>
        </w:tc>
        <w:tc>
          <w:tcPr>
            <w:tcW w:w="1540" w:type="dxa"/>
            <w:vAlign w:val="bottom"/>
            <w:gridSpan w:val="2"/>
            <w:vMerge w:val="restart"/>
            <w:shd w:val="clear" w:color="auto" w:fill="CCEEFF"/>
          </w:tcPr>
          <w:p>
            <w:pPr>
              <w:jc w:val="right"/>
              <w:ind w:right="940"/>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recoverable</w:t>
            </w:r>
          </w:p>
        </w:tc>
        <w:tc>
          <w:tcPr>
            <w:tcW w:w="6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color w:val="auto"/>
              </w:rPr>
              <w:t>Gross re-estimated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25,899</w:t>
            </w:r>
          </w:p>
        </w:tc>
        <w:tc>
          <w:tcPr>
            <w:tcW w:w="220" w:type="dxa"/>
            <w:vAlign w:val="bottom"/>
            <w:vMerge w:val="restart"/>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45,431</w:t>
            </w:r>
          </w:p>
        </w:tc>
        <w:tc>
          <w:tcPr>
            <w:tcW w:w="200" w:type="dxa"/>
            <w:vAlign w:val="bottom"/>
            <w:vMerge w:val="restart"/>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42,529</w:t>
            </w:r>
          </w:p>
        </w:tc>
        <w:tc>
          <w:tcPr>
            <w:tcW w:w="200" w:type="dxa"/>
            <w:vAlign w:val="bottom"/>
            <w:vMerge w:val="restart"/>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49,030</w:t>
            </w:r>
          </w:p>
        </w:tc>
        <w:tc>
          <w:tcPr>
            <w:tcW w:w="220" w:type="dxa"/>
            <w:vAlign w:val="bottom"/>
            <w:vMerge w:val="restart"/>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50,449</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54,151</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64,982</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75,683</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80,811</w:t>
            </w:r>
          </w:p>
        </w:tc>
        <w:tc>
          <w:tcPr>
            <w:tcW w:w="154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rPr>
              <w:t>81,446</w:t>
            </w:r>
          </w:p>
        </w:tc>
        <w:tc>
          <w:tcPr>
            <w:tcW w:w="0" w:type="dxa"/>
            <w:vAlign w:val="bottom"/>
          </w:tcPr>
          <w:p>
            <w:pPr>
              <w:spacing w:after="0"/>
              <w:rPr>
                <w:sz w:val="1"/>
                <w:szCs w:val="1"/>
                <w:color w:val="auto"/>
              </w:rPr>
            </w:pPr>
          </w:p>
        </w:tc>
      </w:tr>
      <w:tr>
        <w:trPr>
          <w:trHeight w:val="190"/>
        </w:trPr>
        <w:tc>
          <w:tcPr>
            <w:tcW w:w="1960" w:type="dxa"/>
            <w:vAlign w:val="bottom"/>
          </w:tcPr>
          <w:p>
            <w:pPr>
              <w:spacing w:after="0" w:line="190" w:lineRule="exact"/>
              <w:rPr>
                <w:sz w:val="20"/>
                <w:szCs w:val="20"/>
                <w:color w:val="auto"/>
              </w:rPr>
            </w:pPr>
            <w:r>
              <w:rPr>
                <w:rFonts w:ascii="Arial" w:cs="Arial" w:eastAsia="Arial" w:hAnsi="Arial"/>
                <w:sz w:val="18"/>
                <w:szCs w:val="18"/>
                <w:color w:val="auto"/>
              </w:rPr>
              <w:t>reserve</w:t>
            </w:r>
          </w:p>
        </w:tc>
        <w:tc>
          <w:tcPr>
            <w:tcW w:w="6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Gross cumulative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(7,419)</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(14,946)</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(8,026)</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(9,117)</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(10,572)</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(12,414)</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(16,182)</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(19,486)</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(312)</w:t>
            </w:r>
          </w:p>
        </w:tc>
        <w:tc>
          <w:tcPr>
            <w:tcW w:w="154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190"/>
        </w:trPr>
        <w:tc>
          <w:tcPr>
            <w:tcW w:w="1960" w:type="dxa"/>
            <w:vAlign w:val="bottom"/>
          </w:tcPr>
          <w:p>
            <w:pPr>
              <w:spacing w:after="0" w:line="190" w:lineRule="exact"/>
              <w:rPr>
                <w:sz w:val="20"/>
                <w:szCs w:val="20"/>
                <w:color w:val="auto"/>
              </w:rPr>
            </w:pPr>
            <w:r>
              <w:rPr>
                <w:rFonts w:ascii="Arial" w:cs="Arial" w:eastAsia="Arial" w:hAnsi="Arial"/>
                <w:sz w:val="18"/>
                <w:szCs w:val="18"/>
                <w:color w:val="auto"/>
              </w:rPr>
              <w:t>redundancy (deficiency)</w:t>
            </w: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which primarily consists of homeowners’ and dwelling fire policies, covering the period from December 31, 2021 through January 1, 2023 (“2021/2023 Treaty”). Effective December 15, 2019, we entered into a quota share reinsurance treaty for our personal lines business, which primarily consists of homeowners’ policies, which covered the period from December 15, 2019 through December 30, 2020 (“2019/2020 Treaty”). Effective December 31, 2020, the 2019/2020 Treaty expired on a cut-off basis; this treaty was not renewed. In addition to the 2019/2020 Treaty, our personal lines quota share reinsurance treaty in effect for the year ended December 31, 2020 also included the run-off of the personal lines quota share treaty (“2018/2019 Treaty”) that expired on June 30, 2019. The run-off covered the period from July 1, 2019 through June 30, 2020 (“2019/2020 Run-off”).</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December 31, 2020 through December 30, 2021 was $1,000,000. Effective December 31, 2021 through January 1, 2023, our maximum net retention under the 2021/2023 Treaty decreased to $700,000. Effective January 1, 2022, we entered into an underlying excess of loss reinsurance treaty covering the period from January 1, 2022 through January 1, 2023. The treaty provides 50% reinsurance coverage for losses, other than from a named storm, of $400,000 in excess of $600,000. Our maximum net retention for any one personal lines occurrence is further reduced from $700,000 to $500,000. Our maximum net retention under the excess of loss treaties for any one commercial general liability occurrence for dates of loss on or after July 1, 2020 is $750,000.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Under the 2021/2023 Treaty, KICO will receive a fixed provisional rate with no adjustment for sliding scale contingent commissions Under the 2019/2020 Treaty, KICO received a fixed provisional rate with no adjustment for sliding scale contingent commissions.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2021/2023 Treaty and 2019/2020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 drastically reducing the adverse impact that a catastrophic event can have on ceding commissions.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2021, we purchased catastrophe reinsurance to provide coverage of up to $500,000,000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one-in-130 year storm event. The direct retention for any single catastrophe event is $10,000,000. Effective October 18, 2021, we entered into a stub catastrophe reinsurance treaty (“Stub Treaty”) covering the period from October 18, 2021 through December 31, 2021. The Stub Treaty provided reinsurance coverage for catastrophe losses of $5,000,000 in excess of $5,000,000. The Stub Treaty reduced direct retention to $5,000,000 during the period it was in effect. Effective December 31, 2021 through January 1, 2023, losses on personal lines policies are subject to the 2021/2023 Treaty, which will cover 26% of catastrophe losses and will result in a net retention by us of $7,400,000 of exposure per catastrophe occurrence. For the period December 15, 2019 through December 30, 2020 losses on personal lines policies were subject to the 25% quota share treaty, which resulted in a net retention by us of $8,125,000 of exposure per catastrophe occurrence. Effective July 1, 2020, we have reinstatement premium protection on the first $70,000,000 layer of catastrophe coverage in excess of $10,000,000. This protects us from having to pay an additional premium to reinstate catastrophe coverage for an event up to this level.</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w:t>
      </w:r>
    </w:p>
    <w:p>
      <w:pPr>
        <w:sectPr>
          <w:pgSz w:w="11900" w:h="16838" w:orient="portrait"/>
          <w:cols w:equalWidth="0" w:num="1">
            <w:col w:w="11240"/>
          </w:cols>
          <w:pgMar w:left="320" w:top="125" w:right="339" w:bottom="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Ratings</w:t>
      </w:r>
    </w:p>
    <w:p>
      <w:pPr>
        <w:sectPr>
          <w:pgSz w:w="11900" w:h="16838" w:orient="portrait"/>
          <w:cols w:equalWidth="0" w:num="1">
            <w:col w:w="11240"/>
          </w:cols>
          <w:pgMar w:left="320" w:top="125" w:right="339" w:bottom="0" w:gutter="0" w:footer="0" w:header="0"/>
          <w:type w:val="continuous"/>
        </w:sectPr>
      </w:pPr>
    </w:p>
    <w:bookmarkStart w:id="9" w:name="page10"/>
    <w:bookmarkEnd w:id="9"/>
    <w:p>
      <w:pPr>
        <w:jc w:val="both"/>
        <w:ind w:firstLine="648"/>
        <w:spacing w:after="0" w:line="271" w:lineRule="auto"/>
        <w:rPr>
          <w:sz w:val="20"/>
          <w:szCs w:val="20"/>
          <w:color w:val="auto"/>
        </w:rPr>
      </w:pPr>
      <w:r>
        <w:rPr>
          <w:rFonts w:ascii="Arial" w:cs="Arial" w:eastAsia="Arial" w:hAnsi="Arial"/>
          <w:sz w:val="17"/>
          <w:szCs w:val="17"/>
          <w:color w:val="auto"/>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spacing w:after="0" w:line="178" w:lineRule="exact"/>
        <w:rPr>
          <w:sz w:val="20"/>
          <w:szCs w:val="20"/>
          <w:color w:val="auto"/>
        </w:rPr>
      </w:pPr>
    </w:p>
    <w:p>
      <w:pPr>
        <w:jc w:val="both"/>
        <w:ind w:right="20" w:firstLine="696"/>
        <w:spacing w:after="0" w:line="277" w:lineRule="auto"/>
        <w:rPr>
          <w:sz w:val="20"/>
          <w:szCs w:val="20"/>
          <w:color w:val="auto"/>
        </w:rPr>
      </w:pPr>
      <w:r>
        <w:rPr>
          <w:rFonts w:ascii="Arial" w:cs="Arial" w:eastAsia="Arial" w:hAnsi="Arial"/>
          <w:sz w:val="18"/>
          <w:szCs w:val="18"/>
          <w:color w:val="auto"/>
        </w:rPr>
        <w:t>KICO has a financial strength rating from A.M. Best of B+ (Good). Other ratings assigned to KICO and Kingstone by A.M. Best and Kroll Bond Rating Agency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Kingstone</w:t>
            </w:r>
          </w:p>
        </w:tc>
      </w:tr>
      <w:tr>
        <w:trPr>
          <w:trHeight w:val="234"/>
        </w:trPr>
        <w:tc>
          <w:tcPr>
            <w:tcW w:w="7680" w:type="dxa"/>
            <w:vAlign w:val="bottom"/>
          </w:tcPr>
          <w:p>
            <w:pPr>
              <w:spacing w:after="0"/>
              <w:rPr>
                <w:sz w:val="20"/>
                <w:szCs w:val="20"/>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KICO</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Companies</w:t>
            </w:r>
          </w:p>
        </w:tc>
      </w:tr>
      <w:tr>
        <w:trPr>
          <w:trHeight w:val="210"/>
        </w:trPr>
        <w:tc>
          <w:tcPr>
            <w:tcW w:w="76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 Best Long-Term issuer credit rating (ICR)</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bbb- (stable outlook)</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 (stable outlook)</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A.M. Best Long-Term issue credit rating (IR)</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$30.0 million, 5.50% senior unsecured notes due Dec. 30, 2022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 (stable outlook)</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Kroll Bond Rating Agency insurance financial strength rating (IFSR)</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A- (stable outlook)</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Kroll Bond Rating Agency issuer rating</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BBB- (stable outlook)</w:t>
            </w: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$30.0 million, 5.50% senior unsecured notes due Dec. 30, 2022</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BBB- (stable outlook)</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KICO also has a Demotech financial stability rating of A (Exceptional) which generally makes its policies acceptable to mortgage lenders that require homeowners to purchase insurance from highly rated carriers.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Catastrophe Losses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2021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during 2021, including three named storms. The remnants of Hurricane Ida, included as one of the named storms, increased our loss ratio by 7.1 percentage points. The effects of this catastrophe and other catastrophes during the year increased our net loss ratio by 10.3 percentage points in 2021. Our predominant market, downstate New York, was affected by several events, including one large event, Tropical Storm Isaias, during 2020. The effects of this catastrophe and other minor catastrophes during the year increased our net loss ratio by 10.7 percentage points in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Holding Company Regulation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Insurance Regulation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10" w:name="page11"/>
    <w:bookmarkEnd w:id="10"/>
    <w:p>
      <w:pPr>
        <w:spacing w:after="0" w:line="40"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and State Legislative and Regulatory Changes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2017, the DFS implemented new comprehensive cybersecurity regulations, which became effective on March 1, 2017, with transitional implementation periods. The regulations require covered entities, including KICO, to establish a cybersecurity policy, a chief information security officer,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KICO must annually certify compliance to the DFS with the applicable cybersecurity regulatory provisions. Annual certifications are due April 15. Recently, the DFS has provided additional guidance on ransomware, and potential cyber-attacks from Russia’s invasion of Ukraine.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its September 2021 Annual Report on the Insurance Industry (the “Report”), the FIO provided an overview of its statutory responsibilities and its role. The Report then summarized the FIO’s key activities since those described in its 2021 Annual Report on the Insurance Industry. The Report observed that, in 2020, the property/casualty sector direct premium written was $717 billion, a one percent growth over 2019 levels, despite economic challenges of the COVID-19 pandemic. In addition to reviewing the financial status of the property/casualty industry, the Report includes Topical Updates and FIO activities, providing pandemic-related updates (including remote operations, policyholder relief, insurer relief, business interruption issues, and federal pandemic risk insurance proposals), climate change, mitigation and resilience (the Report notes the DFS’s September 2020 expectation guidance, and its March 2021, Proposed Guidance for New York Domestic Insurers on Managing Financial Risks form Climate Change) and Cyber Risks, Ransomware, and Cyber Insurance.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22, 2017, a budget reconciliation act commonly referred to as the Tax Cuts and Jobs Act (TCJA) was signed into law. Overall, the reduction of the U.S. corporate tax rate to 21 percent generally lowers the effective tax rates of insurance companies operating in the United States.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20, 2020, the Terrorism Risk Insurance Program Reauthorization Act of 2019 (TRIPRA of 2019) was enacted and is now scheduled to expire on December 31, 2027. The Terrorism Risk Insurance Program serves as a federal “backstop” for insurance claims related to acts of terrorism.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15, 2021, the DFS issued its final Guidance for New York Domestic Insurers On Managing the Financial Risks from Climate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2021, the NYS Governor signed into law, effective January 28, 2022, legislation seeking to prevent homeowner insurers from discriminating solely on the basis of breed of dog. Legislation has been introduced to further clarify the scope of the new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State Regulatory Examinations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DFS commenced its examination of KICO in 2019 as of December 31, 2018. The examination was completed on April 30,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Risk-Based Capital Regulations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above the ACL and is in</w:t>
      </w:r>
    </w:p>
    <w:p>
      <w:pPr>
        <w:sectPr>
          <w:pgSz w:w="11900" w:h="16879" w:orient="portrait"/>
          <w:cols w:equalWidth="0" w:num="1">
            <w:col w:w="11240"/>
          </w:cols>
          <w:pgMar w:left="320" w:top="193" w:right="3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compliance with New York’s RBC requirements as of December 31,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Limitations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by KICO paid during such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Regulatory Information System Ratios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2021, KICO had one ratio outside the usual range.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to Kingstone Companies, Inc. from which to pay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Structure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incorporated in 1961 and assumed the name DCAP Group, Inc. in 1999. On July 1, 2009, we changed our name to Kingstone Companies,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we had 91 employees. None of our employees are covered by a collective bargaining agreement. We believe that our relationship with our employees is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 and Financial Condition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impact of COVID-19 and related risks could materially affect our results of operations, financial position and/or liquidity.</w:t>
      </w:r>
    </w:p>
    <w:p>
      <w:pPr>
        <w:sectPr>
          <w:pgSz w:w="11900" w:h="16838" w:orient="portrait"/>
          <w:cols w:equalWidth="0" w:num="1">
            <w:col w:w="11240"/>
          </w:cols>
          <w:pgMar w:left="320" w:top="125" w:right="339" w:bottom="185"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Beginning in March 2020, the global pandemic related to the novel coronavirus COVID-19 began to impact the global economy and our results of operations. Because of the size and breadth of this pandemic, all of the direct and indirect consequences of COVID-19 are not yet known and may not emerge for some time. Risks presented by the ongoing effects of COVID-19 include, among others, the following: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the impact of COVID-19 on general economic activity will negatively impact our premium volumes. We began to</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this impact in March 2020; however, it became less severe in 2021 as we observed an increase in premium volume in our livery physical damage line of business, which experienced the greatest impact from the pandemic.</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disruption in the financial markets related to COVID-19 has contributed to net investment losses, primarily due to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u w:val="single" w:color="auto"/>
          <w:color w:val="auto"/>
        </w:rPr>
        <w:t>Adverse Legislative and/or Regulatory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government actions to address and contain the impact of COVID-19 may</w:t>
      </w:r>
      <w:r>
        <w:rPr>
          <w:rFonts w:ascii="Arial" w:cs="Arial" w:eastAsia="Arial" w:hAnsi="Arial"/>
          <w:sz w:val="17"/>
          <w:szCs w:val="17"/>
          <w:i w:val="1"/>
          <w:iCs w:val="1"/>
          <w:color w:val="auto"/>
        </w:rPr>
        <w:t xml:space="preserve"> </w:t>
      </w:r>
      <w:r>
        <w:rPr>
          <w:rFonts w:ascii="Arial" w:cs="Arial" w:eastAsia="Arial" w:hAnsi="Arial"/>
          <w:sz w:val="17"/>
          <w:szCs w:val="17"/>
          <w:color w:val="auto"/>
        </w:rPr>
        <w:t>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u w:val="single" w:color="auto"/>
          <w:color w:val="auto"/>
        </w:rPr>
        <w:t>Operational Disruptions and Heightened Cybersecurity Risks.</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could be disrupted if key members of our senior management or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u w:val="single" w:color="auto"/>
          <w:color w:val="auto"/>
        </w:rPr>
        <w:t>Reinsurance Risks.</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 reinsurance to reduce our net liability on individual risks, to protect against possible catastrophes, to remain</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including the effect of COVID-19 on the reinsurance market, have impacted and may continue to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Major public health issues could have an adverse effect on our business and operating results.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Major public health issues, including a large-scale pandemic, such as the novel coronavirus COVID-19, may have a material adverse effect on our workforce and business operations and cause disruptions in commerce and reduced economic activity. Some of the assets in our investment portfolio may be adversely affected by declines in the equity markets, changes in interest rates, reduced liquidity and economic activity caused by a large-scale pandemic. Accordingly, a large-scale pandemic could have a material adverse effect on our revenue, liquidity and operating results.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a property and casualty insurer, we may face significant losses from catastrophes and severe weather events.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Because of the exposure of our property and casualty business to catastrophic events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$500,000,000 ($490,000,000 in excess of $10,000,000). Effective December 31, 2021, $10,000,000 of losses in a catastrophe are subject to a quota share reinsurance treaty, which covers 26% of catastrophe losses such that we retain $7,400,000 of risk per catastrophe occurrence. With respect to any additional catastrophe losses of up to $490,000,000,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w:t>
      </w:r>
    </w:p>
    <w:p>
      <w:pPr>
        <w:sectPr>
          <w:pgSz w:w="11900" w:h="16838" w:orient="portrait"/>
          <w:cols w:equalWidth="0" w:num="1">
            <w:col w:w="11240"/>
          </w:cols>
          <w:pgMar w:left="320" w:top="125" w:right="3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severity of claims when severe weather conditions occur.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Unanticipated increases in the severity or frequency of claims may adversely affect our operating results and financial condition.</w:t>
      </w:r>
    </w:p>
    <w:p>
      <w:pPr>
        <w:spacing w:after="0" w:line="237" w:lineRule="exact"/>
        <w:rPr>
          <w:sz w:val="20"/>
          <w:szCs w:val="20"/>
          <w:color w:val="auto"/>
        </w:rPr>
      </w:pPr>
    </w:p>
    <w:p>
      <w:pPr>
        <w:jc w:val="both"/>
        <w:ind w:firstLine="607"/>
        <w:spacing w:after="0" w:line="289" w:lineRule="auto"/>
        <w:rPr>
          <w:sz w:val="20"/>
          <w:szCs w:val="20"/>
          <w:color w:val="auto"/>
        </w:rPr>
      </w:pPr>
      <w:r>
        <w:rPr>
          <w:rFonts w:ascii="Arial" w:cs="Arial" w:eastAsia="Arial" w:hAnsi="Arial"/>
          <w:sz w:val="16"/>
          <w:szCs w:val="16"/>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Recent decline in the financial strength rating assigned to our insurance subsidiary by A.M. Best will impact our revenues and earnings.</w:t>
      </w:r>
    </w:p>
    <w:p>
      <w:pPr>
        <w:spacing w:after="0" w:line="248"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spacing w:after="0" w:line="171"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7"/>
          <w:szCs w:val="17"/>
          <w:color w:val="auto"/>
        </w:rPr>
        <w:t>Our ratings are subject to periodic review by, and may be revised downward or revoked at the sole discretion of, the rating agencies. Our ability to write business, particularly commercial liability lines, is influenced by our financial strength rating from A.M. Best. On August 6, 2021, A.M. Best lowered the financial strength rating of KICO from “B++” (Good). to “B+” (Good). The outlook of A.M. Best’s credit rating is stable. A.M. Best indicated that the ratings downgrade of KICO reflects its balance sheet strength, which A.M. Best categorizes as adequate, as well as its adequate operating performance, limited business profile and appropriate enterprise risk management. It stated that the ratings action was driven by a revision in KICO’s operating performance, which reflects volatility from underwriting results caused by weather-related losses and loss reserve strengthening.</w:t>
      </w:r>
    </w:p>
    <w:p>
      <w:pPr>
        <w:spacing w:after="0" w:line="178"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Management believes that A.M. Best’s financial strength rating is more significant with regard to commercial liability insurance, as opposed to personal lines business. Since we have discontinued our commercial lines business, we believe that A.M. Best’s rating action will not result in a material decrease in the amount of business that KICO will be able to write. However, the A.M Best ratings downgrade has resulted in a material decrease in the business of our subsidiary, Cosi, a multi-state licensed general agency that had partnered with name-brand carriers which require an A.M. Best “A-” rating from its partners.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including with regard to our indebtedness due on December 30, 2022, or our ability to obtain credit on acceptable terms.</w:t>
      </w:r>
    </w:p>
    <w:p>
      <w:pPr>
        <w:spacing w:after="0" w:line="170"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8"/>
          <w:szCs w:val="18"/>
          <w:color w:val="auto"/>
        </w:rPr>
        <w:t>Our $30,000,000 in aggregate principal amount of 5.5% Senior Unsecured Notes are due on December 30, 2022. The capital and credit markets can experience periods of volatility and disruption. In some cases, markets have exerted downward pressure on the availability of liquidity and credit capacity.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 We believe that our plan to satisfy our debt obligation by December 30, 2022, as discussed in Note 2 to our Consolidated Financial Statements included in this Annual Report, is probable of being implemented.</w:t>
      </w:r>
    </w:p>
    <w:p>
      <w:pPr>
        <w:spacing w:after="0" w:line="19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70"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78"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173" w:gutter="0" w:footer="0" w:header="0"/>
        </w:sectPr>
      </w:pPr>
    </w:p>
    <w:bookmarkStart w:id="14" w:name="page15"/>
    <w:bookmarkEnd w:id="14"/>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write new business or maintain our financial strength rating from A.M. Best.</w:t>
      </w:r>
    </w:p>
    <w:p>
      <w:pPr>
        <w:spacing w:after="0" w:line="170"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spacing w:after="0" w:line="16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Reinsurance subjects us to the credit risk of our reinsurers, which may have a material adverse effect on our operating results and financial condition.</w:t>
      </w:r>
    </w:p>
    <w:p>
      <w:pPr>
        <w:spacing w:after="0" w:line="170"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188"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b w:val="1"/>
          <w:bCs w:val="1"/>
          <w:i w:val="1"/>
          <w:iCs w:val="1"/>
          <w:color w:val="auto"/>
        </w:rPr>
        <w:t>Applicable insurance laws regarding the change of control of our company may impede potential acquisitions that our shareholders might consider desirable.</w:t>
      </w:r>
    </w:p>
    <w:p>
      <w:pPr>
        <w:spacing w:after="0" w:line="170"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shareholders might consider such transactions to be desirable. Similar regulations may apply in other states in which we may operate.</w:t>
      </w:r>
    </w:p>
    <w:p>
      <w:pPr>
        <w:spacing w:after="0" w:line="188" w:lineRule="exact"/>
        <w:rPr>
          <w:sz w:val="20"/>
          <w:szCs w:val="20"/>
          <w:color w:val="auto"/>
        </w:rPr>
      </w:pPr>
    </w:p>
    <w:p>
      <w:pPr>
        <w:jc w:val="both"/>
        <w:ind w:firstLine="607"/>
        <w:spacing w:after="0" w:line="308" w:lineRule="auto"/>
        <w:rPr>
          <w:sz w:val="20"/>
          <w:szCs w:val="20"/>
          <w:color w:val="auto"/>
        </w:rPr>
      </w:pPr>
      <w:r>
        <w:rPr>
          <w:rFonts w:ascii="Arial" w:cs="Arial" w:eastAsia="Arial" w:hAnsi="Arial"/>
          <w:sz w:val="17"/>
          <w:szCs w:val="17"/>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146"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178"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18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70"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Changing climate conditions may adversely affect our financial condition, profitability or cash flows.</w:t>
      </w:r>
    </w:p>
    <w:p>
      <w:pPr>
        <w:spacing w:after="0" w:line="225"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ectPr>
          <w:pgSz w:w="11900" w:h="16838" w:orient="portrait"/>
          <w:cols w:equalWidth="0" w:num="1">
            <w:col w:w="11240"/>
          </w:cols>
          <w:pgMar w:left="320" w:top="125" w:right="339" w:bottom="0" w:gutter="0" w:footer="0" w:header="0"/>
        </w:sectPr>
      </w:pPr>
    </w:p>
    <w:bookmarkStart w:id="15" w:name="page16"/>
    <w:bookmarkEnd w:id="15"/>
    <w:p>
      <w:pPr>
        <w:ind w:left="620"/>
        <w:spacing w:after="0"/>
        <w:rPr>
          <w:sz w:val="20"/>
          <w:szCs w:val="20"/>
          <w:color w:val="auto"/>
        </w:rPr>
      </w:pPr>
      <w:r>
        <w:rPr>
          <w:rFonts w:ascii="Arial" w:cs="Arial" w:eastAsia="Arial" w:hAnsi="Arial"/>
          <w:sz w:val="16"/>
          <w:szCs w:val="16"/>
          <w:b w:val="1"/>
          <w:bCs w:val="1"/>
          <w:i w:val="1"/>
          <w:iCs w:val="1"/>
          <w:color w:val="auto"/>
        </w:rPr>
        <w:t>Our operating results and financial condition may be adversely affected by the cyclical nature of the property and casualty business.</w:t>
      </w:r>
    </w:p>
    <w:p>
      <w:pPr>
        <w:spacing w:after="0" w:line="24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Because substantially all of our revenue is currently derived from sources located in New York, our business may be adversely affected by conditions in such state.</w:t>
      </w:r>
    </w:p>
    <w:p>
      <w:pPr>
        <w:spacing w:after="0" w:line="170"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Approximately 80%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We are highly dependent on a relatively small number of insurance brokers for a large portion of our revenues.</w:t>
      </w:r>
    </w:p>
    <w:p>
      <w:pPr>
        <w:spacing w:after="0" w:line="225" w:lineRule="exact"/>
        <w:rPr>
          <w:sz w:val="20"/>
          <w:szCs w:val="20"/>
          <w:color w:val="auto"/>
        </w:rPr>
      </w:pPr>
    </w:p>
    <w:p>
      <w:pPr>
        <w:jc w:val="both"/>
        <w:ind w:firstLine="607"/>
        <w:spacing w:after="0" w:line="293" w:lineRule="auto"/>
        <w:rPr>
          <w:sz w:val="20"/>
          <w:szCs w:val="20"/>
          <w:color w:val="auto"/>
        </w:rPr>
      </w:pPr>
      <w:r>
        <w:rPr>
          <w:rFonts w:ascii="Arial" w:cs="Arial" w:eastAsia="Arial" w:hAnsi="Arial"/>
          <w:sz w:val="16"/>
          <w:szCs w:val="16"/>
          <w:color w:val="auto"/>
        </w:rPr>
        <w:t>We market our insurance products primarily through insurance brokers. A large percentage of our gross premiums written are sourced through a limited number of brokers. For the year ended December 31, 2021, thirty brokers provided a total of 36.1%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164"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7"/>
          <w:szCs w:val="17"/>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7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As a holding company, we are dependent on the results of operations of our subsidiary, KICO; there are restrictions on the payment of dividends by KICO.</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shareholders.</w:t>
      </w:r>
    </w:p>
    <w:p>
      <w:pPr>
        <w:spacing w:after="0" w:line="184"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7"/>
          <w:szCs w:val="17"/>
          <w:color w:val="auto"/>
        </w:rPr>
        <w:t>State insurance laws limit the ability of KICO to pay dividends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2021, the maximum permissible distribution that KICO could pay without prior regulatory approval was approximately $3,448,000. Since our $30,000,000 in aggregate principal amount of 5.5% Senior Unsecured Notes are due on December 30, 2022 (the “Notes”), the distributions by KICO to us will be insufficient to pay the amount due pursuant to the Notes.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on the Notes as it comes due may be, and the principal of the Notes at their maturity will be, limited by these regulatory constraints.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We will not be able to generate sufficient cash from operations to service the balloon principal payment of the Notes.</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With regard to the Notes, the cash flows from operating activities will be insufficient for us to pay the principal, payable under the Notes and we will implement management’s plan to refinance or satisfy the Notes to alleviate such risks.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future results are dependent in part on our ability to successfully operate in an insurance industry that is highly competitive.</w:t>
      </w:r>
    </w:p>
    <w:p>
      <w:pPr>
        <w:spacing w:after="0" w:line="237"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ectPr>
          <w:pgSz w:w="11900" w:h="16838" w:orient="portrait"/>
          <w:cols w:equalWidth="0" w:num="1">
            <w:col w:w="11240"/>
          </w:cols>
          <w:pgMar w:left="320" w:top="125" w:right="339" w:bottom="0" w:gutter="0" w:footer="0" w:header="0"/>
        </w:sectPr>
      </w:pPr>
    </w:p>
    <w:bookmarkStart w:id="16" w:name="page17"/>
    <w:bookmarkEnd w:id="16"/>
    <w:p>
      <w:pPr>
        <w:jc w:val="both"/>
        <w:ind w:right="20" w:firstLine="607"/>
        <w:spacing w:after="0" w:line="277" w:lineRule="auto"/>
        <w:rPr>
          <w:sz w:val="20"/>
          <w:szCs w:val="20"/>
          <w:color w:val="auto"/>
        </w:rPr>
      </w:pPr>
      <w:r>
        <w:rPr>
          <w:rFonts w:ascii="Arial" w:cs="Arial" w:eastAsia="Arial" w:hAnsi="Arial"/>
          <w:sz w:val="18"/>
          <w:szCs w:val="18"/>
          <w:b w:val="1"/>
          <w:bCs w:val="1"/>
          <w:i w:val="1"/>
          <w:iCs w:val="1"/>
          <w:color w:val="auto"/>
        </w:rPr>
        <w:t>If we lose key personnel or are unable to recruit qualified personnel, our ability to implement our business strategies could be delayed or hindered.</w:t>
      </w:r>
    </w:p>
    <w:p>
      <w:pPr>
        <w:spacing w:after="0" w:line="170"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Our future success will depend, in part, upon the efforts of Barry Goldstein, our President, Chief Executive Officer and Executive Chairman, and Meryl Golden, our Chief Operating Officer and KICO’s President. The loss of Mr. Goldstein or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Mr. Goldstein and we are parties to an amended and restated employment agreement which expires on December 31, 2022. Ms. Golden and we are parties to an amended and restated employment agreement which expires on December 31, 2022.</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Difficult conditions in the economy generally could adversely affect our business and operating results.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84"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by a security breach or other attack involving our computer systems or those of one or more of our vendors.</w:t>
      </w:r>
    </w:p>
    <w:p>
      <w:pPr>
        <w:spacing w:after="0" w:line="17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87"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84" w:lineRule="exact"/>
        <w:rPr>
          <w:sz w:val="20"/>
          <w:szCs w:val="20"/>
          <w:color w:val="auto"/>
        </w:rPr>
      </w:pPr>
    </w:p>
    <w:p>
      <w:pPr>
        <w:ind w:left="920" w:hanging="467"/>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steal, corrupt, or destroy data, including our intellectual property, financial data or the personal information of our customers or employees</w:t>
      </w:r>
    </w:p>
    <w:p>
      <w:pPr>
        <w:spacing w:after="0" w:line="248" w:lineRule="exact"/>
        <w:rPr>
          <w:rFonts w:ascii="Arial" w:cs="Arial" w:eastAsia="Arial" w:hAnsi="Arial"/>
          <w:sz w:val="16"/>
          <w:szCs w:val="16"/>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misappropriate funds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 or shut down our systems</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deny customers, agents, brokers, or others access to our systems, or</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infect our systems with viruses or malware.</w:t>
      </w:r>
    </w:p>
    <w:p>
      <w:pPr>
        <w:spacing w:after="0" w:line="225"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7"/>
          <w:szCs w:val="17"/>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7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and telecommunication systems, and the failure of these systems could materially and adversely affect our business.</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u w:val="single" w:color="auto"/>
          <w:color w:val="auto"/>
        </w:rPr>
        <w:t>Risks Related to Our Common Stock</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ectPr>
          <w:pgSz w:w="11900" w:h="16838" w:orient="portrait"/>
          <w:cols w:equalWidth="0" w:num="1">
            <w:col w:w="11240"/>
          </w:cols>
          <w:pgMar w:left="320" w:top="125" w:right="339" w:bottom="118" w:gutter="0" w:footer="0" w:header="0"/>
        </w:sectPr>
      </w:pPr>
    </w:p>
    <w:bookmarkStart w:id="17" w:name="page18"/>
    <w:bookmarkEnd w:id="17"/>
    <w:p>
      <w:pPr>
        <w:jc w:val="both"/>
        <w:ind w:firstLine="607"/>
        <w:spacing w:after="0" w:line="263" w:lineRule="auto"/>
        <w:rPr>
          <w:sz w:val="20"/>
          <w:szCs w:val="20"/>
          <w:color w:val="auto"/>
        </w:rPr>
      </w:pPr>
      <w:r>
        <w:rPr>
          <w:rFonts w:ascii="Arial" w:cs="Arial" w:eastAsia="Arial" w:hAnsi="Arial"/>
          <w:sz w:val="18"/>
          <w:szCs w:val="18"/>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84"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65"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24"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shareholders have reduced liquidity and may not be able to sell their shares at the volume, prices and times that they desire.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There may be future issuances or resales of our common stock which may materially and adversely affect the market price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211"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184"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We have effective registration statements on Form S-8 under the Securities Act of 1933, as amended (the “Securities Act”), covering an aggregate of 1,400,000 shares of our common stock issuable under our 2014 Equity Participation Plan (the “2014 Plan”). In addition, we have an effective registration statement on Form S-8 under the Securities Act covering an aggregate of 750,000 shares of our common stock, issuable pursuant to our Employee Stock Purchase Plan (the “ESPP”).</w:t>
      </w:r>
    </w:p>
    <w:p>
      <w:pPr>
        <w:spacing w:after="0" w:line="187"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As of December 31, 2021, options to purchase 107,201 shares of our common stock, and 628,531 shares subject to unvested restricted stock grants, were outstanding under the 2014 Plan and 440,774 shares were reserved for issuance thereunder. As of December 31, 2021, there were no shares purchased pursuant to the ESPP. We have also registered up to $39,290,000 of our securities pursuant to registration statements on Form S-3, which we may sell from time to time in one or more offerings. The shares subject to the registration statements on Form S-3 will be freely tradeable in the public market. In addition, the shares issuable pursuant to the registration statements on Form S-8 will be freely tradable in the public market, except for shares held by our affiliates.</w:t>
      </w:r>
    </w:p>
    <w:p>
      <w:pPr>
        <w:spacing w:after="0" w:line="192"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The sale of a substantial number of shares of our common stock or securities convertible into, or exchangeable or exercisable for, shares of our common stock, whether directly by us, by selling shareholders in future offerings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16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170" w:lineRule="exact"/>
        <w:rPr>
          <w:sz w:val="20"/>
          <w:szCs w:val="20"/>
          <w:color w:val="auto"/>
        </w:rPr>
      </w:pPr>
    </w:p>
    <w:p>
      <w:pPr>
        <w:ind w:right="280" w:firstLine="607"/>
        <w:spacing w:after="0" w:line="277" w:lineRule="auto"/>
        <w:rPr>
          <w:sz w:val="20"/>
          <w:szCs w:val="20"/>
          <w:color w:val="auto"/>
        </w:rPr>
      </w:pPr>
      <w:r>
        <w:rPr>
          <w:rFonts w:ascii="Arial" w:cs="Arial" w:eastAsia="Arial" w:hAnsi="Arial"/>
          <w:sz w:val="18"/>
          <w:szCs w:val="18"/>
          <w:color w:val="auto"/>
        </w:rPr>
        <w:t>As of March 21, 2022, our executive officers and directors beneficially owned 1,046,510 shares of our common stock, representing 9.8% of the outstanding shares of our common stock.</w:t>
      </w:r>
    </w:p>
    <w:p>
      <w:pPr>
        <w:spacing w:after="0" w:line="170"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188"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170" w:lineRule="exact"/>
        <w:rPr>
          <w:sz w:val="20"/>
          <w:szCs w:val="20"/>
          <w:color w:val="auto"/>
        </w:rPr>
      </w:pPr>
    </w:p>
    <w:p>
      <w:pPr>
        <w:jc w:val="both"/>
        <w:ind w:firstLine="607"/>
        <w:spacing w:after="0" w:line="293" w:lineRule="auto"/>
        <w:rPr>
          <w:sz w:val="20"/>
          <w:szCs w:val="20"/>
          <w:color w:val="auto"/>
        </w:rPr>
      </w:pPr>
      <w:r>
        <w:rPr>
          <w:rFonts w:ascii="Arial" w:cs="Arial" w:eastAsia="Arial" w:hAnsi="Arial"/>
          <w:sz w:val="16"/>
          <w:szCs w:val="16"/>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 Our licensed general agency, Cosi, maintained an office located at 70 East Sunrise Highway, Valley Stream, New York 11581, at which it leased 2,323 square feet of space. Effective January 31, 2022, Cosi terminated its lease pursuant to a mutual agreement with its landlord.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own the building at which our insurance underwriting business principally operates, free of mortgage.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common stock is quoted on The Nasdaq Capital Market under the symbol “KINS.”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March 21, 2022, there were 186 record holders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Holders of our common stock are entitled to dividends when, as and if declared by our Board of Directors out of funds legally available. We have paid a cash dividend in each quarter since September 2011.</w:t>
      </w:r>
    </w:p>
    <w:p>
      <w:pPr>
        <w:spacing w:after="0" w:line="17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184"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Our ability to pay dividends depends, in part,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are restricted to the lesser of 10% of surplus or 100% of investment income (on a statutory accounting basis) for the trailing 36 months, less dividends paid by KICO during such period. As of December 31, 2021, the maximum distribution that KICO could pay without prior regulatory approval was approximately $3,448,000, which is based on investment income for the trailing 36 months, net of dividends paid by KICO during such period. See “Business – Government Regulation” and “Management’s Discussion and Analysis of Financial Condition and Results of Operation – Liquidity” in Items 1 and 7, respectively, of this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1180"/>
        <w:spacing w:after="0" w:line="503"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Overview</w:t>
      </w:r>
    </w:p>
    <w:p>
      <w:pPr>
        <w:jc w:val="both"/>
        <w:ind w:firstLine="648"/>
        <w:spacing w:after="0" w:line="311" w:lineRule="auto"/>
        <w:rPr>
          <w:sz w:val="20"/>
          <w:szCs w:val="20"/>
          <w:color w:val="auto"/>
        </w:rPr>
      </w:pPr>
      <w:r>
        <w:rPr>
          <w:rFonts w:ascii="Arial" w:cs="Arial" w:eastAsia="Arial" w:hAnsi="Arial"/>
          <w:sz w:val="16"/>
          <w:szCs w:val="16"/>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w:t>
      </w:r>
    </w:p>
    <w:p>
      <w:pPr>
        <w:sectPr>
          <w:pgSz w:w="11900" w:h="16838" w:orient="portrait"/>
          <w:cols w:equalWidth="0" w:num="1">
            <w:col w:w="11240"/>
          </w:cols>
          <w:pgMar w:left="320" w:top="121" w:right="339" w:bottom="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Connecticut, Massachusetts, Pennsylvania, Maine, and New Hampshire. For the year ended December 31, 2021, 79.5% of KICO’s direct written premiums came from the New York policies.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and Expense Items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Net premiums earned: </w:t>
      </w:r>
      <w:r>
        <w:rPr>
          <w:rFonts w:ascii="Arial" w:cs="Arial" w:eastAsia="Arial" w:hAnsi="Arial"/>
          <w:sz w:val="18"/>
          <w:szCs w:val="18"/>
          <w:color w:val="auto"/>
        </w:rPr>
        <w:t>Net premiums earned is the earned portion of our written premiums, less that portion of premium that is ceded to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2021, we would earn half of the premiums in 2021 and the other half in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Ceding commission revenue: </w:t>
      </w:r>
      <w:r>
        <w:rPr>
          <w:rFonts w:ascii="Arial" w:cs="Arial" w:eastAsia="Arial" w:hAnsi="Arial"/>
          <w:sz w:val="16"/>
          <w:szCs w:val="16"/>
          <w:color w:val="auto"/>
        </w:rPr>
        <w:t>Commissions on reinsurance premiums ceded to quota share treaties are earned in a manner consistent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the direct acquisition costs of the underlying insurance policies, generally on a pro-rata basis over the terms of the policies reinsured.</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Net investment income and net gains (losses) on investments: </w:t>
      </w:r>
      <w:r>
        <w:rPr>
          <w:rFonts w:ascii="Arial" w:cs="Arial" w:eastAsia="Arial" w:hAnsi="Arial"/>
          <w:sz w:val="17"/>
          <w:szCs w:val="17"/>
          <w:color w:val="auto"/>
        </w:rPr>
        <w:t>We invest in cash and cash equivalents, short-term investments, fixed-maturity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and other investments.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income on our balance sheet while our equity securities and other investments report changes in fair value through earnings. See Note 2 in the accompanying consolidated financial statements for further discussion over our accounting policies following Item 16 of this Annual Report.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We recognize installment fee income and fees charged to reinstate a policy after it has been cancelled for non-payment.</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Loss and loss adjustment expenses incurred: </w:t>
      </w:r>
      <w:r>
        <w:rPr>
          <w:rFonts w:ascii="Arial" w:cs="Arial" w:eastAsia="Arial" w:hAnsi="Arial"/>
          <w:sz w:val="18"/>
          <w:szCs w:val="18"/>
          <w:color w:val="auto"/>
        </w:rPr>
        <w:t>Loss and LAE incurred represent our largest expense item, and for any given reporting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Commission expenses and other underwriting expenses: </w:t>
      </w:r>
      <w:r>
        <w:rPr>
          <w:rFonts w:ascii="Arial" w:cs="Arial" w:eastAsia="Arial" w:hAnsi="Arial"/>
          <w:sz w:val="18"/>
          <w:szCs w:val="18"/>
          <w:color w:val="auto"/>
        </w:rPr>
        <w:t>Other underwriting expenses include policy acquisition costs and other expenses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Other operating expenses: </w:t>
      </w:r>
      <w:r>
        <w:rPr>
          <w:rFonts w:ascii="Arial" w:cs="Arial" w:eastAsia="Arial" w:hAnsi="Arial"/>
          <w:sz w:val="17"/>
          <w:szCs w:val="17"/>
          <w:color w:val="auto"/>
        </w:rPr>
        <w:t>Other operating expenses include the corporate expenses of our holding company, Kingstone Companies, Inc.,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expenses of Cosi. These expenses include executive employment costs, legal and auditing fees, and other costs directly associated with being a public company. Cosi operating expenses primarily include employment costs, occupancy costs and consulting costs.</w:t>
      </w:r>
    </w:p>
    <w:p>
      <w:pPr>
        <w:sectPr>
          <w:pgSz w:w="11900" w:h="16838" w:orient="portrait"/>
          <w:cols w:equalWidth="0" w:num="1">
            <w:col w:w="11240"/>
          </w:cols>
          <w:pgMar w:left="320" w:top="125" w:right="339" w:bottom="113"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Non-cash equity compensation includes the fair value of stock grants issued to our directors, officers and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amortization of stock options issued to the same.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includes the amortization of intangibles related to the acquisition of KICO,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of the real estate used in KICO’s operations, as well as depreciation of capital expenditures for information technology projects, office equipment and furniture.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represents amounts we incur on our outstanding indebtedness at the applicable interest rates.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includes amortization of debt discount and issuance costs.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We incur federal income tax expense on our consolidated statement of operations as well as state income tax expense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non-insurance underwriting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2021 and 2020, there were no commercial liability policies in-force. As of December 31, 2021, these expired policies represent approximately 20.2% of loss and LAE reserves net of reinsurance recoverables. See discussion below under “Additional Financial Information”.</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w:t>
      </w:r>
    </w:p>
    <w:p>
      <w:pPr>
        <w:sectPr>
          <w:pgSz w:w="11900" w:h="16838" w:orient="portrait"/>
          <w:cols w:equalWidth="0" w:num="1">
            <w:col w:w="11240"/>
          </w:cols>
          <w:pgMar w:left="320" w:top="125" w:right="339" w:bottom="0" w:gutter="0" w:footer="0" w:header="0"/>
        </w:sectPr>
      </w:pPr>
    </w:p>
    <w:bookmarkStart w:id="21" w:name="page22"/>
    <w:bookmarkEnd w:id="21"/>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estimates. In addition, other companies may utilize different estimates, which may impact comparability of our results of operations to those of similar companies.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the impairment of investment securities, and the valuation of stock-based compensation. See Note 2 to the Consolidated Financial Statements following Item 16 of this Annual Report.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results of our operations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9"/>
              </w:rPr>
              <w:t>Change</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9"/>
                <w:szCs w:val="19"/>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169,318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12,347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0"/>
        </w:trPr>
        <w:tc>
          <w:tcPr>
            <w:tcW w:w="594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 to quota share treaties in force during the period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Unearned premiums ceded to new quota share treaty (1)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22,932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 of premiums previously ceded to prior quota share treaties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17,440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6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7,700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16"/>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rPr>
              <w:t>Ceded to catastrophe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2,349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r>
      <w:tr>
        <w:trPr>
          <w:trHeight w:val="210"/>
        </w:trPr>
        <w:tc>
          <w:tcPr>
            <w:tcW w:w="5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127,063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0"/>
        </w:trPr>
        <w:tc>
          <w:tcPr>
            <w:tcW w:w="5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(8,124)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42,233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(18,982)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34,109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0"/>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169,692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Ceded to reinsurance treaties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(30,033)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(61,611)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31,578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35,801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Ceding commission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6,506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on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515.1%</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29,861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0"/>
        </w:trPr>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w:t>
            </w:r>
            <w:r>
              <w:rPr>
                <w:rFonts w:ascii="Arial" w:cs="Arial" w:eastAsia="Arial" w:hAnsi="Arial"/>
                <w:sz w:val="18"/>
                <w:szCs w:val="18"/>
                <w:color w:val="auto"/>
              </w:rPr>
              <w:t>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14,466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10,949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direct and assumed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r>
      <w:tr>
        <w:trPr>
          <w:trHeight w:val="209"/>
        </w:trPr>
        <w:tc>
          <w:tcPr>
            <w:tcW w:w="5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Ceded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18,013</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Losses from catastrophes (2)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60"/>
              <w:spacing w:after="0"/>
              <w:rPr>
                <w:sz w:val="20"/>
                <w:szCs w:val="20"/>
                <w:color w:val="auto"/>
              </w:rPr>
            </w:pPr>
            <w:r>
              <w:rPr>
                <w:rFonts w:ascii="Arial" w:cs="Arial" w:eastAsia="Arial" w:hAnsi="Arial"/>
                <w:sz w:val="18"/>
                <w:szCs w:val="18"/>
                <w:color w:val="auto"/>
              </w:rPr>
              <w:t>Total ceded loss and loss adjustment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(95.0)%</w:t>
            </w:r>
          </w:p>
        </w:tc>
      </w:tr>
      <w:tr>
        <w:trPr>
          <w:trHeight w:val="209"/>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54,829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32,324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r>
      <w:tr>
        <w:trPr>
          <w:trHeight w:val="216"/>
        </w:trPr>
        <w:tc>
          <w:tcPr>
            <w:tcW w:w="5940" w:type="dxa"/>
            <w:vAlign w:val="bottom"/>
          </w:tcPr>
          <w:p>
            <w:pPr>
              <w:ind w:left="460"/>
              <w:spacing w:after="0"/>
              <w:rPr>
                <w:sz w:val="20"/>
                <w:szCs w:val="20"/>
                <w:color w:val="auto"/>
              </w:rPr>
            </w:pPr>
            <w:r>
              <w:rPr>
                <w:rFonts w:ascii="Arial" w:cs="Arial" w:eastAsia="Arial" w:hAnsi="Arial"/>
                <w:sz w:val="18"/>
                <w:szCs w:val="18"/>
                <w:color w:val="auto"/>
              </w:rPr>
              <w:t>Losses from catastrophes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11,342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326.2%</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and loss adjustment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43,666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r>
      <w:tr>
        <w:trPr>
          <w:trHeight w:val="209"/>
        </w:trPr>
        <w:tc>
          <w:tcPr>
            <w:tcW w:w="5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Commission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31,828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underwriting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26,254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25,425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2,865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46,106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09"/>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Loss before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6,837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(16,246)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(16,475)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91" w:orient="portrait"/>
          <w:cols w:equalWidth="0" w:num="1">
            <w:col w:w="11240"/>
          </w:cols>
          <w:pgMar w:left="320" w:top="125" w:right="339" w:bottom="0" w:gutter="0" w:footer="0" w:header="0"/>
        </w:sectPr>
      </w:pPr>
    </w:p>
    <w:bookmarkStart w:id="22" w:name="page23"/>
    <w:bookmarkEnd w:id="22"/>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460" w:right="2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December 31, 2020, our personal lines 25% quota share treaty expired on a cut-off basis. Effective December 31, 2021, we entered into a 30% quota share treaty.</w:t>
      </w:r>
    </w:p>
    <w:p>
      <w:pPr>
        <w:spacing w:after="0" w:line="170" w:lineRule="exact"/>
        <w:rPr>
          <w:rFonts w:ascii="Arial" w:cs="Arial" w:eastAsia="Arial" w:hAnsi="Arial"/>
          <w:sz w:val="18"/>
          <w:szCs w:val="18"/>
          <w:color w:val="auto"/>
        </w:rPr>
      </w:pPr>
    </w:p>
    <w:p>
      <w:pPr>
        <w:ind w:left="460" w:right="100" w:hanging="452"/>
        <w:spacing w:after="0" w:line="31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years ended December 31, 2021 and 2020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100" w:type="dxa"/>
            <w:vAlign w:val="bottom"/>
          </w:tcPr>
          <w:p>
            <w:pPr>
              <w:ind w:left="26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Direct written premiums during the year ended December 31, 2021 (“Year Ended 2021”) were $181,665,000 compared to $169,318,000 during the year ended December 31, 2020 (“Year Ended 2020”). The increase of $12,347,000, or 7.3%, was primarily due an increase in premiums from our personal lines business. Direct written premiums from our personal lines business for Year Ended 2021 were $171,720,000, an increase of $9,536,000, or 5.9%, from $162,184,000 in Year Ended 2020. Direct written premiums from our livery physical damage business for Year Ended 2021 were $9,717,000, an increase of $2,661,000, or 37.7%, from $7,056,000 in Year Ended 2020. The increase in livery physical damage direct written premiums was due to the declining effect of the COVID-19 pandemic in our geographic area.</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$37,276,000 in Year Ended 2021 compared to $33,914,000 in Year Ended 2020. Direct written premiums from our Core business were $144,385,000 in Year Ended 2021 compared to $135,455,000 in Year Ended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December 31, 2021, we entered into a quota share reinsurance treaty for our personal lines business covering the period from December 31, 2021 through January 1, 2023 (“2021/2023 Treaty”).Effective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Year Ended 2020 also included the run-off of the personal lines quota share treaty (“2018/2019 Treaty”) that expired on June 30, 2019. The run-off covered the period from July 1, 2019 through June 30, 2020 (“2019/2020 Run-Off”). The following table describes the quota share reinsurance ceding rates in effect during Year Ended 2021 and Year Ended 2020. This table should be referred to in conjunction with the discussions for net written premiums, net premiums earned, ceding commission revenue and net loss and loss adjustment expenses that follow.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2"/>
        </w:trPr>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920" w:type="dxa"/>
            <w:vAlign w:val="bottom"/>
          </w:tcPr>
          <w:p>
            <w:pPr>
              <w:spacing w:after="0"/>
              <w:rPr>
                <w:sz w:val="24"/>
                <w:szCs w:val="24"/>
                <w:color w:val="auto"/>
              </w:rPr>
            </w:pPr>
          </w:p>
        </w:tc>
        <w:tc>
          <w:tcPr>
            <w:tcW w:w="220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Years ended December 31,</w:t>
            </w: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11"/>
        </w:trPr>
        <w:tc>
          <w:tcPr>
            <w:tcW w:w="8200" w:type="dxa"/>
            <w:vAlign w:val="bottom"/>
            <w:gridSpan w:val="3"/>
          </w:tcPr>
          <w:p>
            <w:pPr>
              <w:ind w:left="860"/>
              <w:spacing w:after="0"/>
              <w:rPr>
                <w:sz w:val="20"/>
                <w:szCs w:val="20"/>
                <w:color w:val="auto"/>
              </w:rPr>
            </w:pPr>
            <w:r>
              <w:rPr>
                <w:rFonts w:ascii="Arial" w:cs="Arial" w:eastAsia="Arial" w:hAnsi="Arial"/>
                <w:sz w:val="18"/>
                <w:szCs w:val="18"/>
                <w:b w:val="1"/>
                <w:bCs w:val="1"/>
                <w:color w:val="auto"/>
              </w:rPr>
              <w:t>Quota share reinsurance rates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200" w:type="dxa"/>
            <w:vAlign w:val="bottom"/>
            <w:gridSpan w:val="3"/>
          </w:tcPr>
          <w:p>
            <w:pPr>
              <w:ind w:left="860"/>
              <w:spacing w:after="0"/>
              <w:rPr>
                <w:sz w:val="20"/>
                <w:szCs w:val="20"/>
                <w:color w:val="auto"/>
              </w:rPr>
            </w:pPr>
            <w:r>
              <w:rPr>
                <w:rFonts w:ascii="Arial" w:cs="Arial" w:eastAsia="Arial" w:hAnsi="Arial"/>
                <w:sz w:val="18"/>
                <w:szCs w:val="18"/>
                <w:color w:val="auto"/>
              </w:rPr>
              <w:t>Personal lines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2021/2023 Treaty</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 (1)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860" w:type="dxa"/>
            <w:vAlign w:val="bottom"/>
          </w:tcPr>
          <w:p>
            <w:pPr>
              <w:spacing w:after="0"/>
              <w:rPr>
                <w:sz w:val="18"/>
                <w:szCs w:val="18"/>
                <w:color w:val="auto"/>
              </w:rPr>
            </w:pP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2019/2020 Treaty</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 (2)</w:t>
            </w:r>
          </w:p>
        </w:tc>
      </w:tr>
      <w:tr>
        <w:trPr>
          <w:trHeight w:val="216"/>
        </w:trPr>
        <w:tc>
          <w:tcPr>
            <w:tcW w:w="860" w:type="dxa"/>
            <w:vAlign w:val="bottom"/>
          </w:tcPr>
          <w:p>
            <w:pPr>
              <w:spacing w:after="0"/>
              <w:rPr>
                <w:sz w:val="18"/>
                <w:szCs w:val="18"/>
                <w:color w:val="auto"/>
              </w:rPr>
            </w:pPr>
          </w:p>
        </w:tc>
        <w:tc>
          <w:tcPr>
            <w:tcW w:w="7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2018/2019 Treaty</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 (3)</w:t>
            </w:r>
          </w:p>
        </w:tc>
      </w:tr>
    </w:tbl>
    <w:p>
      <w:pPr>
        <w:spacing w:after="0" w:line="202" w:lineRule="exact"/>
        <w:rPr>
          <w:sz w:val="20"/>
          <w:szCs w:val="20"/>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2021/2023 Treaty is effective December 31, 2021 with a quota share reinsurance rate of 30%.</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2019/2020 Treaty was effective from December 15, 2019 through December 30, 2020 with a quota share reinsurance rate of 25%.</w:t>
      </w:r>
    </w:p>
    <w:p>
      <w:pPr>
        <w:spacing w:after="0" w:line="236" w:lineRule="exact"/>
        <w:rPr>
          <w:rFonts w:ascii="Arial" w:cs="Arial" w:eastAsia="Arial" w:hAnsi="Arial"/>
          <w:sz w:val="17"/>
          <w:szCs w:val="17"/>
          <w:color w:val="auto"/>
        </w:rPr>
      </w:pPr>
    </w:p>
    <w:p>
      <w:pPr>
        <w:ind w:left="920" w:hanging="46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2018/2019 Treaty expired on a run-off basis from July 1, 2019 through June 30, 2020.</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written premiums increased $1,692,000, or 1.3%, to $128,755,000 in Year Ended 2021 from $127,063,000 in Year Ended 2020. Net written premiums include direct and assumed premiums, less the amount of written premiums ceded under our reinsurance treaties (quota share, excess of loss, and catastrophe). In Year Ended 2021, our premiums ceded under quota share treaties decreased by $32,672,000 in comparison to ceded premiums in Year Ended 2020 (see table above). Our personal lines business was subject to the 2019/2020 Treaty from December 15, 2019 through December 30, 2020. Our personal lines business was subject to the 2018/2019 Treaty through June 30, 2019. Following June 30, 2019, any earned premium and associated claims for policies still in force continued to be ceded under the 10% quota share rate until such policies expired (run-off) over the next year. The 2019/2020 run-off period was from July 1, 2019 through June 30, 2020 and there was no return of unearned premiums under this arrangement.</w:t>
      </w:r>
    </w:p>
    <w:p>
      <w:pPr>
        <w:sectPr>
          <w:pgSz w:w="11900" w:h="16899" w:orient="portrait"/>
          <w:cols w:equalWidth="0" w:num="1">
            <w:col w:w="11240"/>
          </w:cols>
          <w:pgMar w:left="320" w:top="341" w:right="339" w:bottom="0" w:gutter="0" w:footer="0" w:header="0"/>
        </w:sectPr>
      </w:pPr>
    </w:p>
    <w:bookmarkStart w:id="23" w:name="page24"/>
    <w:bookmarkEnd w:id="23"/>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Year Ended 2021, our ceded excess of loss reinsurance premiums increased by $606,000 over the comparable ceded premiums for Year Ended 2020. The increase was due to an increase in subject premiums and increase in rate.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Year Ended 2021, our premiums ceded under catastrophe treaties increased by $2,349,000 over the comparable ceded premiums in Year Ended 2020. The change was due to an increase in reinsurance rates effective July 1, 2020, partially offset by a decrease in our limit effective July 1, 2020. Through June 30, 2020, our ceded catastrophe premiums were paid based on the total direct written premiums subject to the catastrophe reinsurance treaty. Effective July 1, 2020, and continuing through June 30, 2021, our ceded catastrophe premiums were paid based on the total insured value of our risks calculated as of August 31, 2020. Effective July 1, 2021, and continuing through June 30, 2022, our ceded catastrophe premiums will be paid based on the total insured value of our risks as of August 31,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premiums earned increased $35,801,000, or 33.1%, to $143,882,000 in Year Ended 2021 from $108,081,000 in Year Ended 2020. The increase was due to the expiration of both the 2019/2020 Treaty on December 30, 2020 on a cut-off basis and the 2019/2020 Run-Off as of June 30,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(14,112)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$90,000 in Year Ended 2021 compared to $14,202,000 in Year Ended 2020. The decrease of $14,112,000 was due to a decrease in both provisional ceding commissions earned and contingent ceding commissions earned. See below for a discussion of provisional ceding commissions earned and contingent ceding commissions earned.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December 30, 2020, we received a provisional ceding commission based on ceded written premiums. The $13,885,000 decrease in provisional ceding commissions earned was due to the expiration of both the 2019/2020 Treaty on December 30, 2020 on a cut-off basis and the 2019/2020 Run-Off as of June 30,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structure of the 2019/2020 Treaty and 2019/2020 Run-Off called for a fixed provisional ceding commission and there was not an opportunity to earn additional contingent ceding commissions under those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Investment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investment income was $6,621,000 in Year Ended 2021compared to $6,506,000 in Year Ended 2020, an increase of $115,000, or 1.8%. The average yield on invested assets was 3.25% as of December 31, 2021 compared to 3.39% as of December 31,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invested assets were $237,885,000 as of December 31, 2021 compared to $222,314,000 as of December 31, 2020. The $15,571,000 increase in cash and invested assets was primarily attributable to an increase in operating cash flows for the Year Ended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on Investments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gains on investments were $9,787,000 in Year Ended 2021 compared to $1,591,000 in Year Ended 2020. Unrealized gains on our equity securities and other investments in Year Ended 2021 were $2,469,000, compared to $758,000 in Year Ended 2020. Realized gains on sales of investments</w:t>
      </w:r>
    </w:p>
    <w:p>
      <w:pPr>
        <w:sectPr>
          <w:pgSz w:w="11900" w:h="16915" w:orient="portrait"/>
          <w:cols w:equalWidth="0" w:num="1">
            <w:col w:w="11240"/>
          </w:cols>
          <w:pgMar w:left="320" w:top="341" w:right="339" w:bottom="0" w:gutter="0" w:footer="0" w:header="0"/>
        </w:sectPr>
      </w:pPr>
    </w:p>
    <w:bookmarkStart w:id="24" w:name="page25"/>
    <w:bookmarkEnd w:id="24"/>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were $7,317,000 in Year Ended 2021 compared to $832,000 in Year Ended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Other income was $851,000 in Year Ended 2021 compared to $990,000 in Year Ended 2020. The decrease of $139,000, or 14.0%, was primarily due to not having any active commercial lines policies in 2021 to generate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Net loss and LAE was $101,973,000 in Year Ended 2021 compared to $66,431,000 in Year Ended 2020. The net loss ratio was 70.9% in Year Ended 2021 compared to 61.5% in Year Ended 2020, an increase of 9.4 percentage points.</w:t>
      </w:r>
    </w:p>
    <w:p>
      <w:pPr>
        <w:spacing w:after="0" w:line="170"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loss ratio during Year Ended 2021 was higher than Year Ended 2020 due to an elevated frequency of liability claims, as well as a higher impact from large fire losses and water damage claims. The elevated reported liability claim frequency began in early 2021 for both Homeowners and Dwelling Fire lines. Liability frequency has improved since June 2021 for Homeowners, our largest line of business. Dwelling Fire Liability frequency was still higher than the historical average in the fourth quarter but has improved compared to the first three quarters of the year. The high liability frequency is suspected to be related to the COVID-19 pandemic and is expected to return to a more typical level as people return to work. The impact of water damage claims during Year Ended 2021 was higher than the prior year, driven by a few large losses that emerged in the fourth quarter.</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impact of catastrophe losses was high for Year Ended 2021. The winter was mild, but there were seven catastrophe events during the second half of 2021, including three named storms, Elsa, Henri and Ida. Ida was one of the largest catastrophe events in the company’s history, resulting in over 1,500 reported claims. The estimated net impact of Ida is $10,300,000, or a 7.1-point impact on the Year Ended 2021 loss ratio. The total impact of all catastrophe events on the loss ratio was 10.3 points for Year Ended 2021. This compares to a 10.7-point impact from catastrophe events for Year Ended 2020, which also had a mild winter but was heavily impacted by Tropical Storm Isaias in the third quarter.</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year development was stable during Year Ended 2021. There was an overall favorable development of $15,000, which had a marginal impact on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781"/>
        <w:spacing w:after="0" w:line="263" w:lineRule="auto"/>
        <w:rPr>
          <w:sz w:val="20"/>
          <w:szCs w:val="20"/>
          <w:color w:val="auto"/>
        </w:rPr>
      </w:pPr>
      <w:r>
        <w:rPr>
          <w:rFonts w:ascii="Arial" w:cs="Arial" w:eastAsia="Arial" w:hAnsi="Arial"/>
          <w:sz w:val="18"/>
          <w:szCs w:val="18"/>
          <w:color w:val="auto"/>
        </w:rPr>
        <w:t>Commission expense was $33,114,000 in Year Ended 2021 or 19.0% of direct earned premiums. Commission expense was $31,828,000 in Year Ended 2020 or 18.8% of direct earned premiums. The increase of $1,286,000 was primarily due to increases in both the annual contingent commissions and direct earned premiums in Year Ended 2021 as compared to Year Ended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ectPr>
          <w:pgSz w:w="11900" w:h="16895" w:orient="portrait"/>
          <w:cols w:equalWidth="0" w:num="1">
            <w:col w:w="11240"/>
          </w:cols>
          <w:pgMar w:left="320" w:top="125" w:right="339" w:bottom="0" w:gutter="0" w:footer="0" w:header="0"/>
        </w:sectPr>
      </w:pPr>
    </w:p>
    <w:bookmarkStart w:id="25" w:name="page26"/>
    <w:bookmarkEnd w:id="25"/>
    <w:p>
      <w:pPr>
        <w:spacing w:after="0" w:line="9" w:lineRule="exact"/>
        <w:rPr>
          <w:sz w:val="20"/>
          <w:szCs w:val="20"/>
          <w:color w:val="auto"/>
        </w:rPr>
      </w:pPr>
    </w:p>
    <w:p>
      <w:pPr>
        <w:jc w:val="both"/>
        <w:ind w:firstLine="948"/>
        <w:spacing w:after="0" w:line="277" w:lineRule="auto"/>
        <w:rPr>
          <w:sz w:val="20"/>
          <w:szCs w:val="20"/>
          <w:color w:val="auto"/>
        </w:rPr>
      </w:pPr>
      <w:r>
        <w:rPr>
          <w:rFonts w:ascii="Arial" w:cs="Arial" w:eastAsia="Arial" w:hAnsi="Arial"/>
          <w:sz w:val="18"/>
          <w:szCs w:val="18"/>
          <w:color w:val="auto"/>
        </w:rPr>
        <w:t>Other underwriting expenses were $26,254,000 in Year Ended 2021 compared to $25,425,000 in Year Ended 2020. The modest increase of $829,000, or 3.3%, was primarily due to an initiative to reduce expenses with the use of technology.</w:t>
      </w:r>
    </w:p>
    <w:p>
      <w:pPr>
        <w:spacing w:after="0" w:line="170" w:lineRule="exact"/>
        <w:rPr>
          <w:sz w:val="20"/>
          <w:szCs w:val="20"/>
          <w:color w:val="auto"/>
        </w:rPr>
      </w:pPr>
    </w:p>
    <w:p>
      <w:pPr>
        <w:jc w:val="both"/>
        <w:ind w:firstLine="846"/>
        <w:spacing w:after="0" w:line="263"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$10,189,000 in Year Ended 2021 compared to $10,830,000 in Year Ended 2020. The decrease of $641,000, or 5.9%, compares favorably with the 7.3% increase in direct written premiums. The decrease in employment costs was attributable to staff reductions.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930"/>
        <w:spacing w:after="0" w:line="277" w:lineRule="auto"/>
        <w:rPr>
          <w:sz w:val="20"/>
          <w:szCs w:val="20"/>
          <w:color w:val="auto"/>
        </w:rPr>
      </w:pPr>
      <w:r>
        <w:rPr>
          <w:rFonts w:ascii="Arial" w:cs="Arial" w:eastAsia="Arial" w:hAnsi="Arial"/>
          <w:sz w:val="18"/>
          <w:szCs w:val="18"/>
          <w:color w:val="auto"/>
        </w:rPr>
        <w:t>Our net underwriting expense ratio in Year Ended 2021 was 40.6% compared to 38.9% in Year Ended 2020.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Years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09"/>
        </w:trPr>
        <w:tc>
          <w:tcPr>
            <w:tcW w:w="7280" w:type="dxa"/>
            <w:vAlign w:val="bottom"/>
            <w:vMerge w:val="restart"/>
          </w:tcPr>
          <w:p>
            <w:pPr>
              <w:spacing w:after="0"/>
              <w:rPr>
                <w:sz w:val="20"/>
                <w:szCs w:val="20"/>
                <w:color w:val="auto"/>
              </w:rPr>
            </w:pPr>
            <w:r>
              <w:rPr>
                <w:rFonts w:ascii="Arial" w:cs="Arial" w:eastAsia="Arial" w:hAnsi="Arial"/>
                <w:sz w:val="18"/>
                <w:szCs w:val="18"/>
                <w:color w:val="auto"/>
              </w:rPr>
              <w:t>Other underwriting expenses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c>
          <w:tcPr>
            <w:tcW w:w="0" w:type="dxa"/>
            <w:vAlign w:val="bottom"/>
          </w:tcPr>
          <w:p>
            <w:pPr>
              <w:spacing w:after="0"/>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Employment costs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Underwriting fees (inspections/surveys)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expenses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Profesional fees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tcPr>
          <w:p>
            <w:pPr>
              <w:ind w:left="180"/>
              <w:spacing w:after="0"/>
              <w:rPr>
                <w:sz w:val="20"/>
                <w:szCs w:val="20"/>
                <w:color w:val="auto"/>
              </w:rPr>
            </w:pPr>
            <w:r>
              <w:rPr>
                <w:rFonts w:ascii="Arial" w:cs="Arial" w:eastAsia="Arial" w:hAnsi="Arial"/>
                <w:sz w:val="18"/>
                <w:szCs w:val="18"/>
                <w:color w:val="auto"/>
              </w:rPr>
              <w:t>Total other underwriting expenses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18.3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Commission expense</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23.0</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Ceding commission revenue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Provisional</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Contingent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ceding commission revenue</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40.6%</w:t>
            </w:r>
          </w:p>
        </w:tc>
        <w:tc>
          <w:tcPr>
            <w:tcW w:w="7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38.9%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076"/>
        <w:spacing w:after="0" w:line="255" w:lineRule="auto"/>
        <w:rPr>
          <w:sz w:val="20"/>
          <w:szCs w:val="20"/>
          <w:color w:val="auto"/>
        </w:rPr>
      </w:pPr>
      <w:r>
        <w:rPr>
          <w:rFonts w:ascii="Arial" w:cs="Arial" w:eastAsia="Arial" w:hAnsi="Arial"/>
          <w:sz w:val="18"/>
          <w:szCs w:val="18"/>
          <w:color w:val="auto"/>
        </w:rPr>
        <w:t>The overall 13.1 percentage point decrease in the benefit from ceding commissions in Year Ended 2021 was driven by the reduction in provisional ceding commission revenue due to the expiration of the 2019/2020 Treaty on December 30, 2020. The components of our net underwriting expense ratio related to other underwriting expenses and commissions decreased in all categories except for IT expenses and professional fees. The components that decreased, did so due to more retention, given the reduction of ceded premiums after the expiration of the 2019/2020 Treaty on December 30, 2020. IT expenses and professional fees increased in Year Ended 2021 due to our Kingstone 2.0 effort to modernize systems and create a more sophisticated suite of products for our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right="20" w:firstLine="103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$4,183,000 for Year Ended 2021 compared to $4,283,000 for Year Ended 2020. The following table shows a breakdown of the significant components of other operating expenses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7"/>
              </w:rPr>
              <w:t>Years ended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20"/>
                <w:szCs w:val="20"/>
                <w:color w:val="auto"/>
              </w:rPr>
            </w:pPr>
          </w:p>
        </w:tc>
        <w:tc>
          <w:tcPr>
            <w:tcW w:w="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Bonuses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Professional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other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4,183</w:t>
            </w:r>
          </w:p>
        </w:tc>
        <w:tc>
          <w:tcPr>
            <w:tcW w:w="22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4,283</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right="160" w:firstLine="810"/>
        <w:spacing w:after="0" w:line="342" w:lineRule="auto"/>
        <w:rPr>
          <w:sz w:val="20"/>
          <w:szCs w:val="20"/>
          <w:color w:val="auto"/>
        </w:rPr>
      </w:pPr>
      <w:r>
        <w:rPr>
          <w:rFonts w:ascii="Arial" w:cs="Arial" w:eastAsia="Arial" w:hAnsi="Arial"/>
          <w:sz w:val="16"/>
          <w:szCs w:val="16"/>
          <w:color w:val="auto"/>
        </w:rPr>
        <w:t>The decrease in Year Ended 2021 of $100,000, or 2.3%, as compared to Year Ended 2020 was primarily due to a decrease in professional fees. This aforementioned decrease was partially offset by an increase in employment costs due to an increase in equity compensation, and compensation paid</w:t>
      </w:r>
    </w:p>
    <w:p>
      <w:pPr>
        <w:sectPr>
          <w:pgSz w:w="11900" w:h="16848" w:orient="portrait"/>
          <w:cols w:equalWidth="0" w:num="1">
            <w:col w:w="11240"/>
          </w:cols>
          <w:pgMar w:left="320" w:top="341" w:right="339" w:bottom="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pursuant to a relinquishment agreement with Dale A. Thatcher, our former Chef Executive Officer (see Note 17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Depreciation and amortization was $3,290,000 in Year Ended 2021 compared to $2,865,000 in Year Ended 2020. The increase of $425,000, or 14.8%, in depreciation and amortization was primarily due to depreciation of new system platforms for policy and claims management and newly purchased assets used to upgrade our other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in Year Ended 2021 and Year Ended 2020 was $1,826,000.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 benefit in Year Ended 2021 was $2,031,000, which resulted in an effective tax expense rate of 21.6%. Income tax benefit in Year Ended 2020 was $2,260,000, which resulted in an effective tax expense rate of 175.5%. Loss before taxes was $9,409,000 in Year Ended 2021 compared to loss before taxes of $1,288,000 in Year Ended 2020. On March 27, 2020, the Coronavirus Aid, Relief, and Economic Security (CARES) Act was signed into law, allowing for a five year carryback of 2020 and 2019 NOLs. We elected on our 2020 and 2019 federal income tax returns to carry back the entire annual 2020 NOL of $5,715,000 to tax year 2015 and to carry back the 2019 NOL of $9,737,000 to tax years 2014 and 2015. The corporate tax rate in 2014 and 2015 was 34%, compared to the corporate tax rate of 21% in 2019 and 2020. The $2,029,000 tax benefit of carrying back these NOLs to 2014 and 2015 was recognized in Year Ended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$7,378,000 in Year Ended 2021 compared to net income of $972,000 in Year Ended 2020. The decrease in net income of $8,350,000 was due to the circumstances described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439"/>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171,719,993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162,184,437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9,716,658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7,055,668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229,383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245,842</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181,666,034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169,485,947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(168,043)</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gross 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181,665,178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169,317,904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118,842,870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120,362,688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9,716,658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7,055,668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196,812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218,853</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128,756,340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127,637,209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(574,688)</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tcPr>
          <w:p>
            <w:pPr>
              <w:ind w:left="220"/>
              <w:spacing w:after="0"/>
              <w:rPr>
                <w:sz w:val="20"/>
                <w:szCs w:val="20"/>
                <w:color w:val="auto"/>
              </w:rPr>
            </w:pPr>
            <w:r>
              <w:rPr>
                <w:rFonts w:ascii="Arial" w:cs="Arial" w:eastAsia="Arial" w:hAnsi="Arial"/>
                <w:sz w:val="18"/>
                <w:szCs w:val="18"/>
                <w:color w:val="auto"/>
              </w:rPr>
              <w:t>Total net 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128,755,484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127,062,521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135,738,484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96,463,184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7,909,791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8,706,984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234,300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198,853</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without commercial lines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143,882,575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105,369,021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2,711,608</w:t>
            </w:r>
          </w:p>
        </w:tc>
        <w:tc>
          <w:tcPr>
            <w:tcW w:w="0" w:type="dxa"/>
            <w:vAlign w:val="bottom"/>
          </w:tcPr>
          <w:p>
            <w:pPr>
              <w:spacing w:after="0"/>
              <w:rPr>
                <w:sz w:val="1"/>
                <w:szCs w:val="1"/>
                <w:color w:val="auto"/>
              </w:rPr>
            </w:pP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8"/>
                <w:szCs w:val="18"/>
                <w:color w:val="auto"/>
              </w:rPr>
              <w:t>Total net premiums earned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143,881,719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108,080,629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92,475,850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56,312,702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4,235,255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2,641,801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1,368,343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27,425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3,696,380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4,304,095</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101,775,828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63,286,023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196,768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3,145,049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101,972,596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66,431,072</w:t>
            </w:r>
          </w:p>
        </w:tc>
        <w:tc>
          <w:tcPr>
            <w:tcW w:w="0" w:type="dxa"/>
            <w:vAlign w:val="bottom"/>
          </w:tcPr>
          <w:p>
            <w:pPr>
              <w:spacing w:after="0"/>
              <w:rPr>
                <w:sz w:val="1"/>
                <w:szCs w:val="1"/>
                <w:color w:val="auto"/>
              </w:rPr>
            </w:pPr>
          </w:p>
        </w:tc>
      </w:tr>
      <w:tr>
        <w:trPr>
          <w:trHeight w:val="226"/>
        </w:trPr>
        <w:tc>
          <w:tcPr>
            <w:tcW w:w="86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3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Personal lines</w:t>
            </w:r>
          </w:p>
        </w:tc>
        <w:tc>
          <w:tcPr>
            <w:tcW w:w="3840" w:type="dxa"/>
            <w:vAlign w:val="bottom"/>
          </w:tcPr>
          <w:p>
            <w:pPr>
              <w:jc w:val="right"/>
              <w:ind w:right="310"/>
              <w:spacing w:after="0"/>
              <w:rPr>
                <w:sz w:val="20"/>
                <w:szCs w:val="20"/>
                <w:color w:val="auto"/>
              </w:rPr>
            </w:pPr>
            <w:r>
              <w:rPr>
                <w:rFonts w:ascii="Arial" w:cs="Arial" w:eastAsia="Arial" w:hAnsi="Arial"/>
                <w:sz w:val="18"/>
                <w:szCs w:val="18"/>
                <w:color w:val="auto"/>
              </w:rPr>
              <w:t>68.1%</w:t>
            </w:r>
          </w:p>
        </w:tc>
        <w:tc>
          <w:tcPr>
            <w:tcW w:w="9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3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Other(1)</w:t>
            </w:r>
          </w:p>
        </w:tc>
        <w:tc>
          <w:tcPr>
            <w:tcW w:w="3840" w:type="dxa"/>
            <w:vAlign w:val="bottom"/>
          </w:tcPr>
          <w:p>
            <w:pPr>
              <w:jc w:val="right"/>
              <w:ind w:right="310"/>
              <w:spacing w:after="0"/>
              <w:rPr>
                <w:sz w:val="20"/>
                <w:szCs w:val="20"/>
                <w:color w:val="auto"/>
              </w:rPr>
            </w:pPr>
            <w:r>
              <w:rPr>
                <w:rFonts w:ascii="Arial" w:cs="Arial" w:eastAsia="Arial" w:hAnsi="Arial"/>
                <w:sz w:val="18"/>
                <w:szCs w:val="18"/>
                <w:color w:val="auto"/>
              </w:rPr>
              <w:t>584.0%</w:t>
            </w: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3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4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3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-22986.9%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Pr>
          <w:p>
            <w:pPr>
              <w:jc w:val="right"/>
              <w:ind w:right="310"/>
              <w:spacing w:after="0"/>
              <w:rPr>
                <w:sz w:val="20"/>
                <w:szCs w:val="20"/>
                <w:color w:val="auto"/>
              </w:rPr>
            </w:pPr>
            <w:r>
              <w:rPr>
                <w:rFonts w:ascii="Arial" w:cs="Arial" w:eastAsia="Arial" w:hAnsi="Arial"/>
                <w:sz w:val="18"/>
                <w:szCs w:val="18"/>
                <w:color w:val="auto"/>
              </w:rPr>
              <w:t>70.9%</w:t>
            </w: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r>
    </w:tbl>
    <w:p>
      <w:pPr>
        <w:spacing w:after="0" w:line="187" w:lineRule="exact"/>
        <w:rPr>
          <w:sz w:val="20"/>
          <w:szCs w:val="20"/>
          <w:color w:val="auto"/>
        </w:rPr>
      </w:pPr>
    </w:p>
    <w:p>
      <w:pPr>
        <w:ind w:left="460" w:right="9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7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spacing w:after="0" w:line="170" w:lineRule="exact"/>
        <w:rPr>
          <w:rFonts w:ascii="Arial" w:cs="Arial" w:eastAsia="Arial" w:hAnsi="Arial"/>
          <w:sz w:val="18"/>
          <w:szCs w:val="18"/>
          <w:color w:val="auto"/>
        </w:rPr>
      </w:pPr>
    </w:p>
    <w:p>
      <w:pPr>
        <w:ind w:left="460" w:right="6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discussions above with regard to “Net Written Premiums and Net Premiums Earned”, as to changes in quota share ceding rates effective December 31, 2021 and 2020, December 15, 2019 and July 1, 2019.</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discussions above with regard to “Net Loss and LAE”, as to catastrophe losses in the years ended December 31, 2021 and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years ended December 31, 2021 and 2020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143,881,719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108,080,629</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Ceding commission revenue</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89,681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14,202,353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6,621,392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6,504,983</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gains on investments</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9,627,948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1,549,099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849,155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161,069,895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131,307,659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101,972,596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66,431,072</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Commission expense</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33,114,103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31,828,174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26,254,143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25,424,779</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3,150,489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2,732,128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164,491,331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126,416,153</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(income) from operations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(3,421,436)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4,891,506</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Income tax (benefit) expense</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(877,002)</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200,339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(2,544,434)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4,691,167</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39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loss ratio</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combined ratio</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59,368,246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57,252,953</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Less: Ceding commission revenue</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(89,681)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(14,202,353)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3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(849,155)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(970,595)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expenses</w:t>
            </w:r>
          </w:p>
        </w:tc>
        <w:tc>
          <w:tcPr>
            <w:tcW w:w="4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58,429,410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42,080,005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premiums earned</w:t>
            </w:r>
          </w:p>
        </w:tc>
        <w:tc>
          <w:tcPr>
            <w:tcW w:w="4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143,881,719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108,080,629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920" w:type="dxa"/>
            <w:vAlign w:val="bottom"/>
            <w:vMerge w:val="restart"/>
          </w:tcPr>
          <w:p>
            <w:pPr>
              <w:jc w:val="right"/>
              <w:ind w:right="2790"/>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3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33" w:lineRule="exact"/>
        <w:rPr>
          <w:sz w:val="20"/>
          <w:szCs w:val="20"/>
          <w:color w:val="auto"/>
        </w:rPr>
      </w:pPr>
    </w:p>
    <w:p>
      <w:pPr>
        <w:ind w:left="6180"/>
        <w:spacing w:after="0"/>
        <w:tabs>
          <w:tab w:leader="none" w:pos="7420" w:val="left"/>
          <w:tab w:leader="none" w:pos="8900" w:val="left"/>
          <w:tab w:leader="none" w:pos="10400" w:val="left"/>
        </w:tabs>
        <w:rPr>
          <w:sz w:val="20"/>
          <w:szCs w:val="20"/>
          <w:color w:val="auto"/>
        </w:rPr>
      </w:pPr>
      <w:r>
        <w:rPr>
          <w:rFonts w:ascii="Arial" w:cs="Arial" w:eastAsia="Arial" w:hAnsi="Arial"/>
          <w:sz w:val="18"/>
          <w:szCs w:val="18"/>
          <w:b w:val="1"/>
          <w:bCs w:val="1"/>
          <w:color w:val="auto"/>
        </w:rPr>
        <w:t>Direct</w:t>
      </w:r>
      <w:r>
        <w:rPr>
          <w:sz w:val="20"/>
          <w:szCs w:val="20"/>
          <w:color w:val="auto"/>
        </w:rPr>
        <w:tab/>
      </w:r>
      <w:r>
        <w:rPr>
          <w:rFonts w:ascii="Arial" w:cs="Arial" w:eastAsia="Arial" w:hAnsi="Arial"/>
          <w:sz w:val="18"/>
          <w:szCs w:val="18"/>
          <w:b w:val="1"/>
          <w:bCs w:val="1"/>
          <w:color w:val="auto"/>
        </w:rPr>
        <w:t>Assumed</w:t>
      </w:r>
      <w:r>
        <w:rPr>
          <w:sz w:val="20"/>
          <w:szCs w:val="20"/>
          <w:color w:val="auto"/>
        </w:rPr>
        <w:tab/>
      </w:r>
      <w:r>
        <w:rPr>
          <w:rFonts w:ascii="Arial" w:cs="Arial" w:eastAsia="Arial" w:hAnsi="Arial"/>
          <w:sz w:val="18"/>
          <w:szCs w:val="18"/>
          <w:b w:val="1"/>
          <w:bCs w:val="1"/>
          <w:color w:val="auto"/>
        </w:rPr>
        <w:t>Ceded</w:t>
      </w:r>
      <w:r>
        <w:rPr>
          <w:sz w:val="20"/>
          <w:szCs w:val="20"/>
          <w:color w:val="auto"/>
        </w:rPr>
        <w:tab/>
      </w:r>
      <w:r>
        <w:rPr>
          <w:rFonts w:ascii="Arial" w:cs="Arial" w:eastAsia="Arial" w:hAnsi="Arial"/>
          <w:sz w:val="16"/>
          <w:szCs w:val="16"/>
          <w:b w:val="1"/>
          <w:bCs w:val="1"/>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17145</wp:posOffset>
            </wp:positionV>
            <wp:extent cx="332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2021</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181,665,178</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(52,909,694)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128,755,484</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(7,750,334)</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22,876,569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15,126,235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173,914,844</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(30,033,125)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143,881,719</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Loss and loss adjustment expenses excluding the effect of catastrophes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87,308,372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87,153,050</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Catastrophe loss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15,632,444</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(812,898)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14,819,546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102,940,816</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101,972,596</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Catastrophe loss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4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4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Written premiums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169,317,904</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(42,255,383)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127,062,521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373,966</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(19,355,858)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(18,981,892)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Earned premiums</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169,691,870</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(61,611,241)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108,080,629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w w:val="90"/>
              </w:rPr>
              <w:t>Loss and loss adjustment expenses excluding the effect of catastrophes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72,841,957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(18,012,645)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54,829,312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21,540,120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(9,938,360)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11,601,760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Loss and loss adjustment expenses</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94,382,077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(27,951,005)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66,431,072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Loss ratio</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years ended December 31, 2021 and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8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8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143,881,719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108,080,629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89,681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14,202,353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849,155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970,595</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101,972,596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66,431,072</w:t>
            </w: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33,114,103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31,828,174</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26,254,143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25,424,779</w:t>
            </w:r>
          </w:p>
        </w:tc>
      </w:tr>
      <w:tr>
        <w:trPr>
          <w:trHeight w:val="20"/>
        </w:trPr>
        <w:tc>
          <w:tcPr>
            <w:tcW w:w="8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color w:val="auto"/>
              </w:rPr>
              <w:t>Total acquisition costs and other underwriting expenses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59,368,246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57,252,953</w:t>
            </w:r>
          </w:p>
        </w:tc>
      </w:tr>
      <w:tr>
        <w:trPr>
          <w:trHeight w:val="210"/>
        </w:trPr>
        <w:tc>
          <w:tcPr>
            <w:tcW w:w="8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Underwriting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(16,520,287)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(430,448)</w:t>
            </w: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Key Measures: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r>
      <w:tr>
        <w:trPr>
          <w:trHeight w:val="209"/>
        </w:trPr>
        <w:tc>
          <w:tcPr>
            <w:tcW w:w="8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Effect of catastrophe loss on net underwriting expense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r>
        <w:trPr>
          <w:trHeight w:val="210"/>
        </w:trPr>
        <w:tc>
          <w:tcPr>
            <w:tcW w:w="8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combined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Effect of catastrophe loss on net combined ratio (1)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w:t>
            </w:r>
          </w:p>
        </w:tc>
      </w:tr>
      <w:tr>
        <w:trPr>
          <w:trHeight w:val="196"/>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59,368,246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57,252,953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Ceding commission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(14,202,353)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Less: Other income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(849,155)</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(970,595)</w:t>
            </w:r>
          </w:p>
        </w:tc>
      </w:tr>
      <w:tr>
        <w:trPr>
          <w:trHeight w:val="20"/>
        </w:trPr>
        <w:tc>
          <w:tcPr>
            <w:tcW w:w="8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86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58,429,410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42,080,005</w:t>
            </w:r>
          </w:p>
        </w:tc>
      </w:tr>
      <w:tr>
        <w:trPr>
          <w:trHeight w:val="196"/>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earned premium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143,881,719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108,080,629</w:t>
            </w:r>
          </w:p>
        </w:tc>
      </w:tr>
      <w:tr>
        <w:trPr>
          <w:trHeight w:val="196"/>
        </w:trPr>
        <w:tc>
          <w:tcPr>
            <w:tcW w:w="8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29" w:name="page30"/>
    <w:bookmarkEnd w:id="29"/>
    <w:p>
      <w:pPr>
        <w:ind w:left="460" w:right="50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years ended December 31, 2021 and 2020, includes the sum of net catastrophe losses and loss adjustment expenses of $14,819,546 and $11,601,760,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aggregate estimated fair value and unrealized gains and losses by investment type as of December 31,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6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6"/>
                <w:szCs w:val="16"/>
                <w:color w:val="auto"/>
              </w:rPr>
            </w:pPr>
          </w:p>
        </w:tc>
        <w:tc>
          <w:tcPr>
            <w:tcW w:w="96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11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425"/>
        </w:trPr>
        <w:tc>
          <w:tcPr>
            <w:tcW w:w="6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1"/>
              </w:rPr>
              <w:t>Political subdivisions of States, Territories and Possessions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17,236,750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246,748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(197,984)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17,285,514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w w:val="93"/>
              </w:rPr>
              <w:t>Corporate and other bonds Industrial and miscellaneous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80,534,769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2,603,411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(126,926)</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83,011,254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Residential mortgage and other asset backed securities (1)</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58,036,959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355,985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(489,258)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57,783,342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3"/>
          </w:tcPr>
          <w:p>
            <w:pPr>
              <w:ind w:left="180"/>
              <w:spacing w:after="0"/>
              <w:rPr>
                <w:sz w:val="20"/>
                <w:szCs w:val="20"/>
                <w:color w:val="auto"/>
              </w:rPr>
            </w:pPr>
            <w:r>
              <w:rPr>
                <w:rFonts w:ascii="Arial" w:cs="Arial" w:eastAsia="Arial" w:hAnsi="Arial"/>
                <w:sz w:val="18"/>
                <w:szCs w:val="18"/>
                <w:color w:val="auto"/>
              </w:rPr>
              <w:t>Total fixed-maturity securities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155,808,478</w:t>
            </w:r>
          </w:p>
        </w:tc>
        <w:tc>
          <w:tcPr>
            <w:tcW w:w="1140" w:type="dxa"/>
            <w:vAlign w:val="bottom"/>
            <w:gridSpan w:val="5"/>
          </w:tcPr>
          <w:p>
            <w:pPr>
              <w:jc w:val="right"/>
              <w:ind w:right="120"/>
              <w:spacing w:after="0"/>
              <w:rPr>
                <w:sz w:val="20"/>
                <w:szCs w:val="20"/>
                <w:color w:val="auto"/>
              </w:rPr>
            </w:pPr>
            <w:r>
              <w:rPr>
                <w:rFonts w:ascii="Arial" w:cs="Arial" w:eastAsia="Arial" w:hAnsi="Arial"/>
                <w:sz w:val="18"/>
                <w:szCs w:val="18"/>
                <w:color w:val="auto"/>
              </w:rPr>
              <w:t>$ 3,206,144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(814,168)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158,080,110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8"/>
              </w:rPr>
              <w:t>Cost 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ind w:left="4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w w:val="84"/>
              </w:rPr>
              <w:t>Amortized</w:t>
            </w:r>
          </w:p>
        </w:tc>
        <w:tc>
          <w:tcPr>
            <w:tcW w:w="1140" w:type="dxa"/>
            <w:vAlign w:val="bottom"/>
            <w:gridSpan w:val="5"/>
          </w:tcPr>
          <w:p>
            <w:pPr>
              <w:ind w:left="40"/>
              <w:spacing w:after="0" w:line="191" w:lineRule="exact"/>
              <w:rPr>
                <w:sz w:val="20"/>
                <w:szCs w:val="20"/>
                <w:color w:val="auto"/>
              </w:rPr>
            </w:pPr>
            <w:r>
              <w:rPr>
                <w:rFonts w:ascii="Arial" w:cs="Arial" w:eastAsia="Arial" w:hAnsi="Arial"/>
                <w:sz w:val="18"/>
                <w:szCs w:val="18"/>
                <w:b w:val="1"/>
                <w:bCs w:val="1"/>
                <w:color w:val="auto"/>
              </w:rPr>
              <w:t>Unrealized</w:t>
            </w:r>
          </w:p>
        </w:tc>
        <w:tc>
          <w:tcPr>
            <w:tcW w:w="1260" w:type="dxa"/>
            <w:vAlign w:val="bottom"/>
            <w:tcBorders>
              <w:top w:val="single" w:sz="8" w:color="auto"/>
            </w:tcBorders>
            <w:gridSpan w:val="4"/>
          </w:tcPr>
          <w:p>
            <w:pPr>
              <w:jc w:val="right"/>
              <w:ind w:right="240"/>
              <w:spacing w:after="0" w:line="191" w:lineRule="exact"/>
              <w:rPr>
                <w:sz w:val="20"/>
                <w:szCs w:val="20"/>
                <w:color w:val="auto"/>
              </w:rPr>
            </w:pPr>
            <w:r>
              <w:rPr>
                <w:rFonts w:ascii="Arial" w:cs="Arial" w:eastAsia="Arial" w:hAnsi="Arial"/>
                <w:sz w:val="18"/>
                <w:szCs w:val="18"/>
                <w:b w:val="1"/>
                <w:bCs w:val="1"/>
                <w:color w:val="auto"/>
                <w:w w:val="91"/>
              </w:rPr>
              <w:t>Less than 12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4200" w:type="dxa"/>
            <w:vAlign w:val="bottom"/>
            <w:gridSpan w:val="3"/>
          </w:tcPr>
          <w:p>
            <w:pPr>
              <w:ind w:left="60"/>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Cos</w:t>
            </w:r>
            <w:r>
              <w:rPr>
                <w:rFonts w:ascii="Arial" w:cs="Arial" w:eastAsia="Arial" w:hAnsi="Arial"/>
                <w:sz w:val="18"/>
                <w:szCs w:val="18"/>
                <w:color w:val="auto"/>
                <w:w w:val="97"/>
              </w:rPr>
              <w:t>t</w:t>
            </w:r>
          </w:p>
        </w:tc>
        <w:tc>
          <w:tcPr>
            <w:tcW w:w="18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Months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6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16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3,020,710</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29,190</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Possessions</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5,287,561</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355,541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Corporate and other bonds Industrial and miscellaneous</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1"/>
              </w:rPr>
              <w:t>108,573,422</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11,634,123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120,194,329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Residential mortgage and other asset backed securities</w:t>
            </w: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28,163,891</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617,368</w:t>
            </w:r>
          </w:p>
        </w:tc>
        <w:tc>
          <w:tcPr>
            <w:tcW w:w="8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(7,371)</w:t>
            </w: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28,661,941</w:t>
            </w: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3"/>
          </w:tcPr>
          <w:p>
            <w:pPr>
              <w:ind w:left="220"/>
              <w:spacing w:after="0"/>
              <w:rPr>
                <w:sz w:val="20"/>
                <w:szCs w:val="20"/>
                <w:color w:val="auto"/>
              </w:rPr>
            </w:pPr>
            <w:r>
              <w:rPr>
                <w:rFonts w:ascii="Arial" w:cs="Arial" w:eastAsia="Arial" w:hAnsi="Arial"/>
                <w:sz w:val="18"/>
                <w:szCs w:val="18"/>
                <w:color w:val="auto"/>
              </w:rPr>
              <w:t>Total fixed-maturity securities</w:t>
            </w: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145,045,584</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87"/>
              </w:rPr>
              <w:t>$ 12,636,222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(20,587)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157,549,272</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60" w:hanging="452"/>
        <w:spacing w:after="0" w:line="27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December 31, 2020, KICO placed certain residential mortgage backed securities as eligible collateral in a designated custodian account related to its membership in the Federal Home Loan Bank of New York (“FHLBNY”) see Note 9, in the accompanying consolidated financial statements following Item 16 of this Annual Report). As of December 31, 2021 KICO did not have any securities pledged to FHLBNY. The eligible collateral would be pledged to FHLBNY if KICO drew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cost, estimated fair value, and gross gains and losses of investments in equity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ind w:left="780"/>
              <w:spacing w:after="0"/>
              <w:rPr>
                <w:sz w:val="20"/>
                <w:szCs w:val="20"/>
                <w:color w:val="auto"/>
              </w:rPr>
            </w:pPr>
            <w:r>
              <w:rPr>
                <w:rFonts w:ascii="Arial" w:cs="Arial" w:eastAsia="Arial" w:hAnsi="Arial"/>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9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 of</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Fair</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$ 22,019,509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$ 1,007,009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(184,617)</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$ 22,841,901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Common stocks and exchange traded mutual funds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15,451,160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1,573,653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(179,712)</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16,845,101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37,470,669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$ 2,580,662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(364,329)</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39,687,002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ind w:left="680"/>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Estimated</w:t>
            </w:r>
          </w:p>
        </w:tc>
        <w:tc>
          <w:tcPr>
            <w:tcW w:w="9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 of</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Fair</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$ 18,097,942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853,277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(426,942)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$ 18,524,277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Common stocks and exchange traded mutual funds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14,473,224</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1,820,512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(404,700)</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15,889,036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32,571,166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2,673,789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(831,642)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34,413,313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Pursuant to the definition of “Fair Value Measurement,” set forth in the Accounting Standards Codification 820 “Fair Value Measurement” (“ASC 820”),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gain of our other investments as of December 31, 2021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December 31, 2021</w:t>
            </w: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$ 3,999,381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$ 3,562,034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$ 7,561,415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$ 3,999,381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$ 3,562,034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$ 7,561,415</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The following table presents a breakdown of the amortized cost, aggregate estimated fair value and unrealized gains and losses by investment type as of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Gross Unrealized Losses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r>
      <w:tr>
        <w:trPr>
          <w:trHeight w:val="191"/>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6"/>
                <w:szCs w:val="16"/>
                <w:color w:val="auto"/>
              </w:rPr>
            </w:pPr>
          </w:p>
        </w:tc>
        <w:tc>
          <w:tcPr>
            <w:tcW w:w="98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14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89"/>
              </w:rPr>
              <w:t>Less than 12</w:t>
            </w:r>
          </w:p>
        </w:tc>
        <w:tc>
          <w:tcPr>
            <w:tcW w:w="80" w:type="dxa"/>
            <w:vAlign w:val="bottom"/>
          </w:tcPr>
          <w:p>
            <w:pPr>
              <w:spacing w:after="0"/>
              <w:rPr>
                <w:sz w:val="16"/>
                <w:szCs w:val="16"/>
                <w:color w:val="auto"/>
              </w:rPr>
            </w:pPr>
          </w:p>
        </w:tc>
        <w:tc>
          <w:tcPr>
            <w:tcW w:w="10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80" w:type="dxa"/>
            <w:vAlign w:val="bottom"/>
            <w:gridSpan w:val="2"/>
          </w:tcPr>
          <w:p>
            <w:pPr>
              <w:ind w:left="60"/>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426"/>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729,642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209,633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939,275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998,239</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1,021,095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304,111</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290,275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6,234,342</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6,502,514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r>
      <w:tr>
        <w:trPr>
          <w:trHeight w:val="210"/>
        </w:trPr>
        <w:tc>
          <w:tcPr>
            <w:tcW w:w="4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$ 8,266,334</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513,525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(26,700)</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$ 8,753,159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9"/>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Cost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Gross Unrealized Losses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8"/>
                <w:szCs w:val="18"/>
                <w:color w:val="auto"/>
              </w:rPr>
            </w:pPr>
          </w:p>
        </w:tc>
      </w:tr>
      <w:tr>
        <w:trPr>
          <w:trHeight w:val="191"/>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14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89"/>
              </w:rPr>
              <w:t>Less than 12</w:t>
            </w:r>
          </w:p>
        </w:tc>
        <w:tc>
          <w:tcPr>
            <w:tcW w:w="80" w:type="dxa"/>
            <w:vAlign w:val="bottom"/>
          </w:tcPr>
          <w:p>
            <w:pPr>
              <w:spacing w:after="0"/>
              <w:rPr>
                <w:sz w:val="16"/>
                <w:szCs w:val="16"/>
                <w:color w:val="auto"/>
              </w:rPr>
            </w:pPr>
          </w:p>
        </w:tc>
        <w:tc>
          <w:tcPr>
            <w:tcW w:w="10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More than 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6"/>
              </w:rPr>
              <w:t>Fair</w:t>
            </w:r>
          </w:p>
        </w:tc>
        <w:tc>
          <w:tcPr>
            <w:tcW w:w="104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4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729,595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$ 1,049,309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Political subdivisions of States, Territories and Possessions</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998,428</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1,049,345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r>
      <w:tr>
        <w:trPr>
          <w:trHeight w:val="21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5,640,792</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6,096,170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r>
      <w:tr>
        <w:trPr>
          <w:trHeight w:val="209"/>
        </w:trPr>
        <w:tc>
          <w:tcPr>
            <w:tcW w:w="4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45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$ 7,368,815</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$ 8,194,824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amortized cost and estimated fair value of our investments in held-to-maturity securities by contractual maturity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1,290,465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2,777,936</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1,648,808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1,502,603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1,727,316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4,805,706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3,268,019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3,689,572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credit quality of our available-for-sale fixed-maturity securities as of December 31, 2021 and 2020 as rated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Standard and Poor’s (or, if unavailable from Standard and Poor’s, then Moody’s or Fitch):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20"/>
                <w:szCs w:val="20"/>
                <w:color w:val="auto"/>
              </w:rPr>
            </w:pP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1,321,809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1,453,924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11,532,572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3,572,164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36,693,911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23,989,619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47,844,195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95,814,824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1,026,001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1,006,901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98,418,488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125,837,432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17,350,192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5,467,075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34,241,907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18,865,749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4,053,981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2,451,635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CCC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664,628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960,042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CC</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119,144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Non rated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3,145,942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670,829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residential mortgage backed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59,661,622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28,661,940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158,080,110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157,549,272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details the average yield by type of fixed-maturity security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1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418"/>
        </w:trPr>
        <w:tc>
          <w:tcPr>
            <w:tcW w:w="11240" w:type="dxa"/>
            <w:vAlign w:val="bottom"/>
            <w:gridSpan w:val="10"/>
          </w:tcPr>
          <w:p>
            <w:pPr>
              <w:ind w:left="660"/>
              <w:spacing w:after="0"/>
              <w:rPr>
                <w:sz w:val="20"/>
                <w:szCs w:val="20"/>
                <w:color w:val="auto"/>
              </w:rPr>
            </w:pPr>
            <w:r>
              <w:rPr>
                <w:rFonts w:ascii="Arial" w:cs="Arial" w:eastAsia="Arial" w:hAnsi="Arial"/>
                <w:sz w:val="18"/>
                <w:szCs w:val="18"/>
                <w:color w:val="auto"/>
                <w:w w:val="92"/>
              </w:rPr>
              <w:t>The table below lists the weighted average maturity and effective duration in years on our fixed-maturity securities as of December 31, 2021 and</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6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40"/>
          </w:cols>
          <w:pgMar w:left="320" w:top="125" w:right="339" w:bottom="0" w:gutter="0" w:footer="0" w:header="0"/>
        </w:sectPr>
      </w:pPr>
    </w:p>
    <w:bookmarkStart w:id="32" w:name="page33"/>
    <w:bookmarkEnd w:id="32"/>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4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10.2</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16"/>
        </w:trPr>
        <w:tc>
          <w:tcPr>
            <w:tcW w:w="58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4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4.8</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2021 and December 31, 2020, 62% and 81%, respectively, of the investment portfolio recorded at fair value was priced based upon quoted market prices.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by length of time the security has continuously been in an unrealized loss position as of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December 31, 2021</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b w:val="1"/>
                <w:bCs w:val="1"/>
                <w:color w:val="auto"/>
                <w:w w:val="87"/>
              </w:rPr>
              <w:t>Less than 12 months</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ind w:left="620"/>
              <w:spacing w:after="0"/>
              <w:rPr>
                <w:sz w:val="20"/>
                <w:szCs w:val="20"/>
                <w:color w:val="auto"/>
              </w:rPr>
            </w:pPr>
            <w:r>
              <w:rPr>
                <w:rFonts w:ascii="Arial" w:cs="Arial" w:eastAsia="Arial" w:hAnsi="Arial"/>
                <w:sz w:val="18"/>
                <w:szCs w:val="18"/>
                <w:b w:val="1"/>
                <w:bCs w:val="1"/>
                <w:color w:val="auto"/>
                <w:w w:val="88"/>
              </w:rPr>
              <w:t>12 months or more</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Categor</w:t>
            </w:r>
            <w:r>
              <w:rPr>
                <w:rFonts w:ascii="Arial" w:cs="Arial" w:eastAsia="Arial" w:hAnsi="Arial"/>
                <w:sz w:val="18"/>
                <w:szCs w:val="18"/>
                <w:color w:val="auto"/>
              </w:rPr>
              <w:t>y</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5"/>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3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6,768,123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(197,984)</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(197,984)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Corporate and other bonds industrial</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17,593,707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(126,926)</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(126,926)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Residential mortgage and other asset</w:t>
            </w:r>
          </w:p>
        </w:tc>
        <w:tc>
          <w:tcPr>
            <w:tcW w:w="1140" w:type="dxa"/>
            <w:vAlign w:val="bottom"/>
            <w:gridSpan w:val="6"/>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45,399,451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(489,258)</w:t>
            </w:r>
          </w:p>
        </w:tc>
        <w:tc>
          <w:tcPr>
            <w:tcW w:w="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2,923,182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(120,344)</w:t>
            </w:r>
          </w:p>
        </w:tc>
        <w:tc>
          <w:tcPr>
            <w:tcW w:w="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48,322,633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(609,602)</w:t>
            </w: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140" w:type="dxa"/>
            <w:vAlign w:val="bottom"/>
            <w:gridSpan w:val="6"/>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69,761,281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(814,168)</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6"/>
              </w:rPr>
              <w:t>$ 2,923,182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(120,344)</w:t>
            </w:r>
          </w:p>
        </w:tc>
        <w:tc>
          <w:tcPr>
            <w:tcW w:w="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72,684,463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(934,512)</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December 31, 2020</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9"/>
          </w:tcPr>
          <w:p>
            <w:pPr>
              <w:ind w:left="56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7"/>
          </w:tcPr>
          <w:p>
            <w:pPr>
              <w:ind w:left="620"/>
              <w:spacing w:after="0"/>
              <w:rPr>
                <w:sz w:val="20"/>
                <w:szCs w:val="20"/>
                <w:color w:val="auto"/>
              </w:rPr>
            </w:pPr>
            <w:r>
              <w:rPr>
                <w:rFonts w:ascii="Arial" w:cs="Arial" w:eastAsia="Arial" w:hAnsi="Arial"/>
                <w:sz w:val="18"/>
                <w:szCs w:val="18"/>
                <w:b w:val="1"/>
                <w:bCs w:val="1"/>
                <w:color w:val="auto"/>
                <w:w w:val="88"/>
              </w:rPr>
              <w:t>12 months or more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25"/>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Corporate and other bonds industrial</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Residential mortgage and other asset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6,137,522</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3,735,732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(111,947)</w:t>
            </w:r>
          </w:p>
        </w:tc>
        <w:tc>
          <w:tcPr>
            <w:tcW w:w="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(119,318)</w:t>
            </w: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1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$ 7,144,423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6"/>
              </w:rPr>
              <w:t>$ 3,735,732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(111,947)</w:t>
            </w:r>
          </w:p>
        </w:tc>
        <w:tc>
          <w:tcPr>
            <w:tcW w:w="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(132,534)</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18" w:orient="portrait"/>
          <w:cols w:equalWidth="0" w:num="1">
            <w:col w:w="11240"/>
          </w:cols>
          <w:pgMar w:left="320" w:top="355" w:right="339" w:bottom="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r>
        <w:rPr>
          <w:rFonts w:ascii="Arial" w:cs="Arial" w:eastAsia="Arial" w:hAnsi="Arial"/>
          <w:sz w:val="18"/>
          <w:szCs w:val="18"/>
          <w:i w:val="1"/>
          <w:i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were 48 securities at December 31, 2021 that accounted for the gross unrealized loss, none of which were deemed by us to be other than temporarily impaired. There were 16 securities at December 31, 2020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2021, the primary source of cash flow for our holding company was the dividends received from KICO, subject to statutory restrictions. For the year ended December 31, 2021, KICO paid dividends of $3,500,000 to 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KICO currently does not have any securities pledged to FHLBNY; as such, there were no borrowings under this facility during the years ended December 31, 2021 and 2020.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19, 2017, we issued $30 million of our 5.50% Senior Unsecured Notes due December 30, 2022. As of December 31, 2021, invested assets and cash in our holding company was approximately $1,108,000. If the aforementioned sources of cash flow currently available are insufficient to cover our holding company debt service and other cash requirements, we will seek to obtain additional financing.See Notes 2 and 9 to our Consolidated Financial Statements included in this Annual Report for a discussion of our plans in this regard.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i w:val="1"/>
                <w:iCs w:val="1"/>
                <w:color w:val="auto"/>
              </w:rPr>
              <w:t>Years ended December 31,</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$ 24,346,237</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$(10,234,626)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(15,947,862)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581,293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(3,571,519)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(3,274,410)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4,826,856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(12,927,743)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19,463,742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$ 24,290,598</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$ 19,463,742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$24,346,000 in Year Ended 2021 as compared to $10,235,000 used in operating activities in Year Ended 2020. The $34,581,000 increase in cash flows provided by operating activities in Year Ended 2021 was primarily the result of an increase in cash arising from net fluctuations in assets and liabilities, partially offset by our net loss (adjusted for non-cash items) of $21,618,000. The net fluctuations in assets and liabilities are related to operating activities of KICO as affected by growth or declines in its operations, changes to its personal lines quota share, payments on claims, and other changes, which are described above.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$15,948,000 in Year Ended 2021 compared to $581,000 provided by investing activities in Year Ended 2020. The $16,529,000 increase in net cash used in investing activities was the result of a $72,048,000 increase in the acquisition of invested assets, partially offset by a $56,691,000 increase in disposals of invested assets in Year Ended 2021.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$3,572,000 in Year Ended 2021 compared to $3,274,000 used in Year Ended 2020. The $298,000 increase in net cash used in financing activities was attributable to a $488,000 increase in purchases of treasury stock offset by a $263,000 reduction in dividends paid in Year Ended 2021 compared to Year Ended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summary information with respect to each reinsurer that accounted for more than 10% of our reinsurance recoverables on paid and unpaid losses and loss adjustment expenses as of December 31, 2021:</w:t>
      </w:r>
    </w:p>
    <w:p>
      <w:pPr>
        <w:sectPr>
          <w:pgSz w:w="11900" w:h="16838" w:orient="portrait"/>
          <w:cols w:equalWidth="0" w:num="1">
            <w:col w:w="11240"/>
          </w:cols>
          <w:pgMar w:left="320" w:top="341" w:right="339"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A.M.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5"/>
          <w:szCs w:val="15"/>
          <w:b w:val="1"/>
          <w:bCs w:val="1"/>
          <w:color w:val="auto"/>
        </w:rPr>
        <w:t>Recoverable</w:t>
      </w:r>
    </w:p>
    <w:p>
      <w:pPr>
        <w:spacing w:after="0" w:line="44"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as of</w:t>
      </w:r>
    </w:p>
    <w:p>
      <w:pPr>
        <w:sectPr>
          <w:pgSz w:w="11900" w:h="16838" w:orient="portrait"/>
          <w:cols w:equalWidth="0" w:num="2">
            <w:col w:w="7900" w:space="660"/>
            <w:col w:w="2680"/>
          </w:cols>
          <w:pgMar w:left="320" w:top="341" w:right="339" w:bottom="0" w:gutter="0" w:footer="0" w:header="0"/>
          <w:type w:val="continuous"/>
        </w:sectPr>
      </w:pPr>
    </w:p>
    <w:bookmarkStart w:id="34" w:name="page35"/>
    <w:bookmarkEnd w:id="34"/>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Best Rating</w:t>
            </w:r>
          </w:p>
        </w:tc>
        <w:tc>
          <w:tcPr>
            <w:tcW w:w="12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2021</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0"/>
        </w:trPr>
        <w:tc>
          <w:tcPr>
            <w:tcW w:w="7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Cavello Bay Reinsurance Ltd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Swiss Reinsurance America Corporation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Hannover Rueck 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r>
        <w:trPr>
          <w:trHeight w:val="20"/>
        </w:trPr>
        <w:tc>
          <w:tcPr>
            <w:tcW w:w="7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13,729</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0"/>
        </w:trPr>
        <w:tc>
          <w:tcPr>
            <w:tcW w:w="7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17,134</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recoverable from Cavello Bay Reinsurance Limited is secured pursuant to a collateralized trust agreement. Assets held in the trust are not included in our invested assets and investment income earned on this asset is credited to the reinsurer.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which primarily consisted of homeowners’ and dwelling fire policies, covering the period from December 31, 2021 through January 1, 2023 (“2021/2023 Treaty”). Effective December 15, 2019, we entered into a quota share reinsurance treaty for our personal lines business covering the period from December 15, 2019 through December 30, 2020 (“2019/2020 Treaty”). Effective December 31, 2020, the 2019/2020 Treaty expired on a cut off basis; this treaty was not renewed. In addition to the 2019/2020 Treaty, our personal lines quota share reinsurance treaty in effect for Year Ended 2020 also included the run-off of the personal lines quota share treaty (“2018/2019 Treaty”) that expired on June 30, 2019. The run-off covered the period from July 1, 2019 through June 30, 2020 (“2019/2020 Run-off”).</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new excess of loss and catastrophe reinsurance treaties effective July 1, 2021. Effective October 18, 2021, we entered into a stub catastrophe reinsurance treaty covering the period from October 18, 2021 through December 31, 2021. The treaty provides reinsurance coverage for catastrophe losses of $5,000,000 in excess of $5,000,000.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our reinsurance treaties in effect for the treaty years shown below are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4"/>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Treaty Year</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(2021/2023 Treaty)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22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(2019/2020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December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December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January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40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gridSpan w:val="4"/>
          </w:tcPr>
          <w:p>
            <w:pPr>
              <w:spacing w:after="0"/>
              <w:rPr>
                <w:sz w:val="20"/>
                <w:szCs w:val="20"/>
                <w:color w:val="auto"/>
              </w:rPr>
            </w:pPr>
            <w:r>
              <w:rPr>
                <w:rFonts w:ascii="Arial" w:cs="Arial" w:eastAsia="Arial" w:hAnsi="Arial"/>
                <w:sz w:val="18"/>
                <w:szCs w:val="18"/>
                <w:color w:val="auto"/>
                <w:w w:val="99"/>
              </w:rPr>
              <w:t>Homeowners, dwelling fire and and canine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4"/>
          </w:tcPr>
          <w:p>
            <w:pPr>
              <w:spacing w:after="0"/>
              <w:rPr>
                <w:sz w:val="20"/>
                <w:szCs w:val="20"/>
                <w:color w:val="auto"/>
              </w:rPr>
            </w:pPr>
            <w:r>
              <w:rPr>
                <w:rFonts w:ascii="Arial" w:cs="Arial" w:eastAsia="Arial" w:hAnsi="Arial"/>
                <w:sz w:val="18"/>
                <w:szCs w:val="18"/>
                <w:color w:val="auto"/>
              </w:rPr>
              <w:t>legal liability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34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Risk retained on intial $1,000,000 of</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ind w:left="220"/>
              <w:spacing w:after="0"/>
              <w:rPr>
                <w:sz w:val="20"/>
                <w:szCs w:val="20"/>
                <w:color w:val="auto"/>
              </w:rPr>
            </w:pPr>
            <w:r>
              <w:rPr>
                <w:rFonts w:ascii="Arial" w:cs="Arial" w:eastAsia="Arial" w:hAnsi="Arial"/>
                <w:sz w:val="18"/>
                <w:szCs w:val="18"/>
                <w:color w:val="auto"/>
              </w:rPr>
              <w:t>losses (7) (9)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Losses per occurrence subject to quota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share reinsurance coverage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3400" w:type="dxa"/>
            <w:vAlign w:val="bottom"/>
            <w:gridSpan w:val="4"/>
          </w:tcPr>
          <w:p>
            <w:pPr>
              <w:ind w:left="420"/>
              <w:spacing w:after="0" w:line="201" w:lineRule="exact"/>
              <w:rPr>
                <w:sz w:val="20"/>
                <w:szCs w:val="20"/>
                <w:color w:val="auto"/>
              </w:rPr>
            </w:pPr>
            <w:r>
              <w:rPr>
                <w:rFonts w:ascii="Arial" w:cs="Arial" w:eastAsia="Arial" w:hAnsi="Arial"/>
                <w:sz w:val="18"/>
                <w:szCs w:val="18"/>
                <w:color w:val="auto"/>
              </w:rPr>
              <w:t>Expiration date</w:t>
            </w: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January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December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NA(7)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NA(7)</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30, 2020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30, 2020</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Excess of loss coverage and facultative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facility coverage (1) (9) (10)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in excess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2"/>
              </w:rPr>
              <w:t>in excess of</w:t>
            </w:r>
          </w:p>
        </w:tc>
        <w:tc>
          <w:tcPr>
            <w:tcW w:w="120" w:type="dxa"/>
            <w:vAlign w:val="bottom"/>
          </w:tcPr>
          <w:p>
            <w:pPr>
              <w:spacing w:after="0"/>
              <w:rPr>
                <w:sz w:val="17"/>
                <w:szCs w:val="17"/>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2"/>
              </w:rPr>
              <w:t>in excess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2"/>
              </w:rPr>
              <w:t>in excess of</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4"/>
              </w:rPr>
              <w:t>in excess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2"/>
              </w:rPr>
              <w:t>in excess of</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Total reinsurance coverage per occurrence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 (9) (10)</w:t>
            </w: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9,250,000</w:t>
            </w:r>
          </w:p>
        </w:tc>
        <w:tc>
          <w:tcPr>
            <w:tcW w:w="0" w:type="dxa"/>
            <w:vAlign w:val="bottom"/>
          </w:tcPr>
          <w:p>
            <w:pPr>
              <w:spacing w:after="0"/>
              <w:rPr>
                <w:sz w:val="1"/>
                <w:szCs w:val="1"/>
                <w:color w:val="auto"/>
              </w:rPr>
            </w:pPr>
          </w:p>
        </w:tc>
      </w:tr>
      <w:tr>
        <w:trPr>
          <w:trHeight w:val="202"/>
        </w:trPr>
        <w:tc>
          <w:tcPr>
            <w:tcW w:w="34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Losses per occurrence subject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4"/>
          </w:tcPr>
          <w:p>
            <w:pPr>
              <w:ind w:left="220"/>
              <w:spacing w:after="0"/>
              <w:rPr>
                <w:sz w:val="20"/>
                <w:szCs w:val="20"/>
                <w:color w:val="auto"/>
              </w:rPr>
            </w:pPr>
            <w:r>
              <w:rPr>
                <w:rFonts w:ascii="Arial" w:cs="Arial" w:eastAsia="Arial" w:hAnsi="Arial"/>
                <w:sz w:val="18"/>
                <w:szCs w:val="18"/>
                <w:color w:val="auto"/>
              </w:rPr>
              <w:t>reinsurance coverage (7) (10)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02"/>
        </w:trPr>
        <w:tc>
          <w:tcPr>
            <w:tcW w:w="340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Expiration date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June 30,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June 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June 30,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June 30,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41" w:orient="portrait"/>
          <w:cols w:equalWidth="0" w:num="1">
            <w:col w:w="11240"/>
          </w:cols>
          <w:pgMar w:left="320" w:top="121" w:right="3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Reinsurance:</w:t>
      </w:r>
    </w:p>
    <w:p>
      <w:pPr>
        <w:spacing w:after="0" w:line="23" w:lineRule="exact"/>
        <w:rPr>
          <w:sz w:val="20"/>
          <w:szCs w:val="20"/>
          <w:color w:val="auto"/>
        </w:rPr>
      </w:pPr>
    </w:p>
    <w:p>
      <w:pPr>
        <w:ind w:left="220"/>
        <w:spacing w:after="0" w:line="250" w:lineRule="auto"/>
        <w:rPr>
          <w:sz w:val="20"/>
          <w:szCs w:val="20"/>
          <w:color w:val="auto"/>
        </w:rPr>
      </w:pPr>
      <w:r>
        <w:rPr>
          <w:rFonts w:ascii="Arial" w:cs="Arial" w:eastAsia="Arial" w:hAnsi="Arial"/>
          <w:sz w:val="18"/>
          <w:szCs w:val="18"/>
          <w:color w:val="auto"/>
        </w:rPr>
        <w:t>Initial loss subject to personal lines quota share treaty</w:t>
      </w:r>
    </w:p>
    <w:p>
      <w:pPr>
        <w:spacing w:after="0" w:line="1" w:lineRule="exact"/>
        <w:rPr>
          <w:sz w:val="20"/>
          <w:szCs w:val="20"/>
          <w:color w:val="auto"/>
        </w:rPr>
      </w:pPr>
    </w:p>
    <w:p>
      <w:pPr>
        <w:ind w:left="220" w:right="40"/>
        <w:spacing w:after="0" w:line="250" w:lineRule="auto"/>
        <w:rPr>
          <w:sz w:val="20"/>
          <w:szCs w:val="20"/>
          <w:color w:val="auto"/>
        </w:rPr>
      </w:pPr>
      <w:r>
        <w:rPr>
          <w:rFonts w:ascii="Arial" w:cs="Arial" w:eastAsia="Arial" w:hAnsi="Arial"/>
          <w:sz w:val="18"/>
          <w:szCs w:val="18"/>
          <w:color w:val="auto"/>
        </w:rPr>
        <w:t>Risk retained per catastrophe occurrence (2) (7) (11)</w:t>
      </w:r>
    </w:p>
    <w:p>
      <w:pPr>
        <w:spacing w:after="0" w:line="1" w:lineRule="exact"/>
        <w:rPr>
          <w:sz w:val="20"/>
          <w:szCs w:val="20"/>
          <w:color w:val="auto"/>
        </w:rPr>
      </w:pPr>
    </w:p>
    <w:p>
      <w:pPr>
        <w:ind w:left="220" w:right="200"/>
        <w:spacing w:after="0" w:line="323" w:lineRule="auto"/>
        <w:rPr>
          <w:sz w:val="20"/>
          <w:szCs w:val="20"/>
          <w:color w:val="auto"/>
        </w:rPr>
      </w:pPr>
      <w:r>
        <w:rPr>
          <w:rFonts w:ascii="Arial" w:cs="Arial" w:eastAsia="Arial" w:hAnsi="Arial"/>
          <w:sz w:val="16"/>
          <w:szCs w:val="16"/>
          <w:color w:val="auto"/>
        </w:rPr>
        <w:t>Catastrophe loss coverage in excess of quota share coverage (3) (7)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w w:val="86"/>
              </w:rPr>
              <w:t>10,000,000</w:t>
            </w:r>
          </w:p>
        </w:tc>
        <w:tc>
          <w:tcPr>
            <w:tcW w:w="160" w:type="dxa"/>
            <w:vAlign w:val="bottom"/>
          </w:tcPr>
          <w:p>
            <w:pPr>
              <w:spacing w:after="0"/>
              <w:rPr>
                <w:sz w:val="20"/>
                <w:szCs w:val="20"/>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10,000,000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None(7)</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None(7)</w:t>
            </w:r>
          </w:p>
        </w:tc>
        <w:tc>
          <w:tcPr>
            <w:tcW w:w="160" w:type="dxa"/>
            <w:vAlign w:val="bottom"/>
          </w:tcPr>
          <w:p>
            <w:pPr>
              <w:spacing w:after="0"/>
              <w:rPr>
                <w:sz w:val="20"/>
                <w:szCs w:val="20"/>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7,500,000</w:t>
            </w:r>
          </w:p>
        </w:tc>
        <w:tc>
          <w:tcPr>
            <w:tcW w:w="2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08"/>
        </w:trPr>
        <w:tc>
          <w:tcPr>
            <w:tcW w:w="1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60" w:type="dxa"/>
            <w:vAlign w:val="bottom"/>
          </w:tcPr>
          <w:p>
            <w:pPr>
              <w:ind w:left="420"/>
              <w:spacing w:after="0"/>
              <w:rPr>
                <w:sz w:val="20"/>
                <w:szCs w:val="20"/>
                <w:color w:val="auto"/>
              </w:rPr>
            </w:pPr>
            <w:r>
              <w:rPr>
                <w:rFonts w:ascii="Arial" w:cs="Arial" w:eastAsia="Arial" w:hAnsi="Arial"/>
                <w:sz w:val="18"/>
                <w:szCs w:val="18"/>
                <w:color w:val="auto"/>
                <w:w w:val="95"/>
              </w:rPr>
              <w:t>None(10)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7"/>
              </w:rPr>
              <w:t>10,000,000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9"/>
              </w:rPr>
              <w:t>10,000,000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8,125,000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5,625,000</w:t>
            </w:r>
          </w:p>
        </w:tc>
        <w:tc>
          <w:tcPr>
            <w:tcW w:w="0" w:type="dxa"/>
            <w:vAlign w:val="bottom"/>
          </w:tcPr>
          <w:p>
            <w:pPr>
              <w:spacing w:after="0"/>
              <w:rPr>
                <w:sz w:val="1"/>
                <w:szCs w:val="1"/>
                <w:color w:val="auto"/>
              </w:rPr>
            </w:pPr>
          </w:p>
        </w:tc>
      </w:tr>
      <w:tr>
        <w:trPr>
          <w:trHeight w:val="432"/>
        </w:trPr>
        <w:tc>
          <w:tcPr>
            <w:tcW w:w="1160" w:type="dxa"/>
            <w:vAlign w:val="bottom"/>
          </w:tcPr>
          <w:p>
            <w:pPr>
              <w:ind w:left="420"/>
              <w:spacing w:after="0"/>
              <w:rPr>
                <w:sz w:val="20"/>
                <w:szCs w:val="20"/>
                <w:color w:val="auto"/>
              </w:rPr>
            </w:pPr>
            <w:r>
              <w:rPr>
                <w:rFonts w:ascii="Arial" w:cs="Arial" w:eastAsia="Arial" w:hAnsi="Arial"/>
                <w:sz w:val="18"/>
                <w:szCs w:val="18"/>
                <w:color w:val="auto"/>
                <w:w w:val="95"/>
              </w:rPr>
              <w:t>None(10)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89"/>
              </w:rPr>
              <w:t>490,000,000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87"/>
              </w:rPr>
              <w:t>490,000,000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89"/>
              </w:rPr>
              <w:t>475,000,000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89"/>
              </w:rPr>
              <w:t>475,000,000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602,500,000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-959485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-548005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0</wp:posOffset>
            </wp:positionV>
            <wp:extent cx="713232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941" w:orient="portrait"/>
          <w:cols w:equalWidth="0" w:num="2">
            <w:col w:w="3180" w:space="420"/>
            <w:col w:w="7640"/>
          </w:cols>
          <w:pgMar w:left="320" w:top="121" w:right="339" w:bottom="0" w:gutter="0" w:footer="0" w:header="0"/>
          <w:type w:val="continuous"/>
        </w:sectPr>
      </w:pPr>
    </w:p>
    <w:bookmarkStart w:id="35" w:name="page36"/>
    <w:bookmarkEnd w:id="35"/>
    <w:p>
      <w:pPr>
        <w:ind w:left="220" w:right="180"/>
        <w:spacing w:after="0" w:line="263" w:lineRule="auto"/>
        <w:rPr>
          <w:sz w:val="20"/>
          <w:szCs w:val="20"/>
          <w:color w:val="auto"/>
        </w:rPr>
      </w:pPr>
      <w:r>
        <w:rPr>
          <w:rFonts w:ascii="Arial" w:cs="Arial" w:eastAsia="Arial" w:hAnsi="Arial"/>
          <w:sz w:val="18"/>
          <w:szCs w:val="18"/>
          <w:color w:val="auto"/>
        </w:rPr>
        <w:t>Catastrophe stub coverage for the period from October 18, 2021 through December 31, 2021 (8)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Reinstatement premium protection (4) (5)</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 (10)</w:t>
      </w:r>
    </w:p>
    <w:p>
      <w:pPr>
        <w:spacing w:after="0" w:line="20" w:lineRule="exact"/>
        <w:rPr>
          <w:sz w:val="20"/>
          <w:szCs w:val="20"/>
          <w:color w:val="auto"/>
        </w:rPr>
      </w:pPr>
      <w:r>
        <w:rPr>
          <w:sz w:val="20"/>
          <w:szCs w:val="20"/>
          <w:color w:val="auto"/>
        </w:rPr>
        <w:br w:type="column"/>
      </w:r>
    </w:p>
    <w:p>
      <w:pPr>
        <w:spacing w:after="0"/>
        <w:tabs>
          <w:tab w:leader="none" w:pos="1420" w:val="left"/>
          <w:tab w:leader="none" w:pos="1960" w:val="left"/>
          <w:tab w:leader="none" w:pos="2240" w:val="left"/>
          <w:tab w:leader="none" w:pos="4040" w:val="left"/>
          <w:tab w:leader="none" w:pos="5380" w:val="left"/>
          <w:tab w:leader="none" w:pos="6660" w:val="left"/>
        </w:tabs>
        <w:rPr>
          <w:sz w:val="20"/>
          <w:szCs w:val="20"/>
          <w:color w:val="auto"/>
        </w:rPr>
      </w:pP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w:t>
        <w:tab/>
        <w:t>5,000,000</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-121920</wp:posOffset>
            </wp:positionV>
            <wp:extent cx="71323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120"/>
        <w:spacing w:after="0"/>
        <w:rPr>
          <w:sz w:val="20"/>
          <w:szCs w:val="20"/>
          <w:color w:val="auto"/>
        </w:rPr>
      </w:pPr>
      <w:r>
        <w:rPr>
          <w:rFonts w:ascii="Arial" w:cs="Arial" w:eastAsia="Arial" w:hAnsi="Arial"/>
          <w:sz w:val="18"/>
          <w:szCs w:val="18"/>
          <w:color w:val="auto"/>
        </w:rPr>
        <w:t>in excess</w:t>
      </w:r>
    </w:p>
    <w:p>
      <w:pPr>
        <w:spacing w:after="0" w:line="23" w:lineRule="exact"/>
        <w:rPr>
          <w:sz w:val="20"/>
          <w:szCs w:val="20"/>
          <w:color w:val="auto"/>
        </w:rPr>
      </w:pPr>
    </w:p>
    <w:p>
      <w:pPr>
        <w:jc w:val="right"/>
        <w:ind w:right="416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2260" w:hanging="290"/>
        <w:spacing w:after="0"/>
        <w:tabs>
          <w:tab w:leader="none" w:pos="2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5715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3" w:lineRule="exact"/>
        <w:rPr>
          <w:sz w:val="20"/>
          <w:szCs w:val="20"/>
          <w:color w:val="auto"/>
        </w:rPr>
      </w:pPr>
    </w:p>
    <w:p>
      <w:pPr>
        <w:spacing w:after="0"/>
        <w:tabs>
          <w:tab w:leader="none" w:pos="1420" w:val="left"/>
          <w:tab w:leader="none" w:pos="2700" w:val="left"/>
          <w:tab w:leader="none" w:pos="4040" w:val="left"/>
          <w:tab w:leader="none" w:pos="5380" w:val="left"/>
          <w:tab w:leader="none" w:pos="66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5"/>
          <w:szCs w:val="15"/>
          <w:color w:val="auto"/>
        </w:rPr>
        <w:t>Yes</w:t>
      </w:r>
    </w:p>
    <w:p>
      <w:pPr>
        <w:spacing w:after="0" w:line="322" w:lineRule="exact"/>
        <w:rPr>
          <w:sz w:val="20"/>
          <w:szCs w:val="20"/>
          <w:color w:val="auto"/>
        </w:rPr>
      </w:pPr>
    </w:p>
    <w:p>
      <w:pPr>
        <w:sectPr>
          <w:pgSz w:w="11900" w:h="16838" w:orient="portrait"/>
          <w:cols w:equalWidth="0" w:num="2">
            <w:col w:w="3420" w:space="720"/>
            <w:col w:w="7100"/>
          </w:cols>
          <w:pgMar w:left="320" w:top="125" w:right="339" w:bottom="0" w:gutter="0" w:footer="0" w:header="0"/>
        </w:sectPr>
      </w:pPr>
    </w:p>
    <w:p>
      <w:pPr>
        <w:spacing w:after="0" w:line="11" w:lineRule="exact"/>
        <w:rPr>
          <w:sz w:val="20"/>
          <w:szCs w:val="20"/>
          <w:color w:val="auto"/>
        </w:rPr>
      </w:pPr>
    </w:p>
    <w:p>
      <w:pPr>
        <w:jc w:val="both"/>
        <w:ind w:left="900" w:hanging="447"/>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(“Facultative Facility”) allowing KICO to obtain homeowners single risk coverage up to $10,000,000 in total insured value, which covers direct losses from $3,500,000 to $10,000,000 through June 30, 2020. For the period July 1, 2020 through June 30, 2022, the Facultative Facility covers direct losses from $3,500,000 to $9,000,000.</w:t>
      </w:r>
    </w:p>
    <w:p>
      <w:pPr>
        <w:spacing w:after="0" w:line="165" w:lineRule="exact"/>
        <w:rPr>
          <w:rFonts w:ascii="Arial" w:cs="Arial" w:eastAsia="Arial" w:hAnsi="Arial"/>
          <w:sz w:val="17"/>
          <w:szCs w:val="17"/>
          <w:color w:val="auto"/>
        </w:rPr>
      </w:pPr>
    </w:p>
    <w:p>
      <w:pPr>
        <w:ind w:left="900" w:hanging="447"/>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spacing w:after="0" w:line="123" w:lineRule="exact"/>
        <w:rPr>
          <w:rFonts w:ascii="Arial" w:cs="Arial" w:eastAsia="Arial" w:hAnsi="Arial"/>
          <w:sz w:val="16"/>
          <w:szCs w:val="16"/>
          <w:color w:val="auto"/>
        </w:rPr>
      </w:pPr>
    </w:p>
    <w:p>
      <w:pPr>
        <w:ind w:left="900" w:hanging="447"/>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right="2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25"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Excess of loss and catastrophe reinsurance treaties will expire on June 30, 2022; reinsurance coverage in effect from July 1, 2022 through January 1, 2023 is only for personal lines quota share (homeowners, dwelling fire and canine legal liability) and underlying excess of loss reinsurance.</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8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2019</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2021</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2020</w:t>
            </w:r>
          </w:p>
        </w:tc>
        <w:tc>
          <w:tcPr>
            <w:tcW w:w="160" w:type="dxa"/>
            <w:vAlign w:val="bottom"/>
          </w:tcPr>
          <w:p>
            <w:pPr>
              <w:spacing w:after="0"/>
              <w:rPr>
                <w:sz w:val="20"/>
                <w:szCs w:val="20"/>
                <w:color w:val="auto"/>
              </w:rPr>
            </w:pPr>
          </w:p>
        </w:tc>
      </w:tr>
      <w:tr>
        <w:trPr>
          <w:trHeight w:val="385"/>
        </w:trPr>
        <w:tc>
          <w:tcPr>
            <w:tcW w:w="722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7220" w:type="dxa"/>
            <w:vAlign w:val="bottom"/>
            <w:gridSpan w:val="4"/>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7220" w:type="dxa"/>
            <w:vAlign w:val="bottom"/>
            <w:gridSpan w:val="4"/>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4"/>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2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7220" w:type="dxa"/>
            <w:vAlign w:val="bottom"/>
            <w:gridSpan w:val="4"/>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72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4"/>
          </w:tcPr>
          <w:p>
            <w:pPr>
              <w:ind w:left="4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2022</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2021</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7220" w:type="dxa"/>
            <w:vAlign w:val="bottom"/>
            <w:gridSpan w:val="4"/>
          </w:tcPr>
          <w:p>
            <w:pPr>
              <w:spacing w:after="0" w:line="176" w:lineRule="exact"/>
              <w:rPr>
                <w:sz w:val="20"/>
                <w:szCs w:val="20"/>
                <w:color w:val="auto"/>
              </w:rPr>
            </w:pPr>
            <w:r>
              <w:rPr>
                <w:rFonts w:ascii="Arial" w:cs="Arial" w:eastAsia="Arial" w:hAnsi="Arial"/>
                <w:sz w:val="18"/>
                <w:szCs w:val="18"/>
                <w:color w:val="auto"/>
              </w:rPr>
              <w:t>Commercial Lines (1):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2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4"/>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72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4"/>
          </w:tcPr>
          <w:p>
            <w:pPr>
              <w:ind w:left="42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in excess of</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7220" w:type="dxa"/>
            <w:vAlign w:val="bottom"/>
            <w:gridSpan w:val="4"/>
          </w:tcPr>
          <w:p>
            <w:pPr>
              <w:ind w:left="42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216"/>
        </w:trPr>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4"/>
          </w:tcPr>
          <w:p>
            <w:pPr>
              <w:ind w:left="220"/>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240"/>
          </w:cols>
          <w:pgMar w:left="320" w:top="125" w:right="339" w:bottom="0" w:gutter="0" w:footer="0" w:header="0"/>
          <w:type w:val="continuous"/>
        </w:sectPr>
      </w:pPr>
    </w:p>
    <w:bookmarkStart w:id="36" w:name="page37"/>
    <w:bookmarkEnd w:id="36"/>
    <w:p>
      <w:pPr>
        <w:ind w:left="900" w:hanging="44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Coverage on all commercial lines policies expired in September 2020; reinsurance coverage is based on treaties in effect on the date of loss.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95"/>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The impact of COVID-19 on our results for the year ended December 31, 2021 may not be indicative of its impact on our future results. For additional information on the risks posed by COVID-19, see “The impact of COVID-19 and related risks could materially affect our results of operations, financial position and/or liquidity” included in Part I, Item 1A— “Risk Factors” in this Annual Report.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center"/>
        <w:ind w:right="5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required by this Item 8 are included in this Annual Report following Item 16 hereof. As a smaller reporting company, we are not required to provide supplementary financial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Except for the steps taken to remediate the material weakness identified below, there have not been any changes in our internal control over financial reporting (as such term is defined in Rules 13a-15(f) and 15d-15(f) under the Exchange Act) during the fourth fiscal quarter to which this report relates that materially affected, or are reasonably likely to materially affect, our internal control over financial reporting.</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630"/>
        <w:spacing w:after="0" w:line="31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Principal Financial Officer, we conducted an evaluation of the effectiveness of our internal control over financial reporting based on criteria established in </w:t>
      </w:r>
      <w:r>
        <w:rPr>
          <w:rFonts w:ascii="Arial" w:cs="Arial" w:eastAsia="Arial" w:hAnsi="Arial"/>
          <w:sz w:val="16"/>
          <w:szCs w:val="16"/>
          <w:i w:val="1"/>
          <w:iCs w:val="1"/>
          <w:color w:val="auto"/>
        </w:rPr>
        <w:t>Internal Control —</w:t>
      </w:r>
    </w:p>
    <w:p>
      <w:pPr>
        <w:sectPr>
          <w:pgSz w:w="11900" w:h="16838" w:orient="portrait"/>
          <w:cols w:equalWidth="0" w:num="1">
            <w:col w:w="11240"/>
          </w:cols>
          <w:pgMar w:left="320" w:top="125" w:right="339" w:bottom="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 on our evaluation,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Inherent Limitation on Effectiveness of Controls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DISCLOSURES REGARDING FOREIGN JURISDITIONS THAT PREVENT INSPECTIONS.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positions and offices presently held by each of our current directors and executive officers and their 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88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Positions and Offices Held</w:t>
            </w:r>
          </w:p>
        </w:tc>
      </w:tr>
      <w:tr>
        <w:trPr>
          <w:trHeight w:val="209"/>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3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69</w:t>
            </w: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President, Executive Chairman of the Board and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Meryl S. Golden</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w:t>
            </w: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Sarah (Minlei) Chen</w:t>
            </w:r>
          </w:p>
        </w:tc>
        <w:tc>
          <w:tcPr>
            <w:tcW w:w="13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39</w:t>
            </w: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Actuary, Kingstone Insurance Company</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Floyd R. Tupper</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67</w:t>
            </w: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Secretary and Director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13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62</w:t>
            </w: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Carla A. D’Andre</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66</w:t>
            </w: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13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59</w:t>
            </w: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Goldstein has served as our Chief Executive Officer and President, as well as Chief Executive Officer and President of Kingstone Insurance Company, our wholly-owned New York property and casualty insurer (“KICO”), since July 2019. He previously served as our Chief Executive Officer, President and Chairman of the Board from March 2001 through December 31, 2018 and as Chief Executive Officer and President of KICO from January 2012 through December 31, 2018. Mr. Goldstein has served as our Executive Chairman of the Board since January 1,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S. Golden</w:t>
      </w:r>
    </w:p>
    <w:p>
      <w:pPr>
        <w:spacing w:after="0" w:line="225" w:lineRule="exact"/>
        <w:rPr>
          <w:sz w:val="20"/>
          <w:szCs w:val="20"/>
          <w:color w:val="auto"/>
        </w:rPr>
      </w:pPr>
    </w:p>
    <w:p>
      <w:pPr>
        <w:jc w:val="both"/>
        <w:ind w:firstLine="580"/>
        <w:spacing w:after="0" w:line="291" w:lineRule="auto"/>
        <w:rPr>
          <w:sz w:val="20"/>
          <w:szCs w:val="20"/>
          <w:color w:val="auto"/>
        </w:rPr>
      </w:pPr>
      <w:r>
        <w:rPr>
          <w:rFonts w:ascii="Arial" w:cs="Arial" w:eastAsia="Arial" w:hAnsi="Arial"/>
          <w:sz w:val="16"/>
          <w:szCs w:val="16"/>
          <w:color w:val="auto"/>
        </w:rPr>
        <w:t>Ms. Golden has served as our Chief Operating Officer since September 2019 and as one of our directors since March 2020. She has also served as Chief Operating Officer, a director and a member of the Executive Committee of KICO since September 2019 and as its President since October, 2021.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w:t>
      </w:r>
    </w:p>
    <w:p>
      <w:pPr>
        <w:sectPr>
          <w:pgSz w:w="11900" w:h="16838" w:orient="portrait"/>
          <w:cols w:equalWidth="0" w:num="1">
            <w:col w:w="11240"/>
          </w:cols>
          <w:pgMar w:left="320" w:top="125" w:right="339" w:bottom="0" w:gutter="0" w:footer="0" w:header="0"/>
        </w:sectPr>
      </w:pPr>
    </w:p>
    <w:bookmarkStart w:id="38" w:name="page39"/>
    <w:bookmarkEnd w:id="38"/>
    <w:p>
      <w:pPr>
        <w:jc w:val="both"/>
        <w:ind w:right="20"/>
        <w:spacing w:after="0" w:line="308" w:lineRule="auto"/>
        <w:rPr>
          <w:sz w:val="20"/>
          <w:szCs w:val="20"/>
          <w:color w:val="auto"/>
        </w:rPr>
      </w:pPr>
      <w:r>
        <w:rPr>
          <w:rFonts w:ascii="Arial" w:cs="Arial" w:eastAsia="Arial" w:hAnsi="Arial"/>
          <w:sz w:val="17"/>
          <w:szCs w:val="17"/>
          <w:color w:val="auto"/>
        </w:rPr>
        <w:t>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Sarah (Minlei) Chen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Ms. Chen has served as KICO’s Chief Actuary since November 2020.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L. Yankus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Carla A. D’Andre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Chair of our Finance Committee. Ms. D’Andre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Timothy P. McFadden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McFadden has more than 30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sectPr>
          <w:pgSz w:w="11900" w:h="16838" w:orient="portrait"/>
          <w:cols w:equalWidth="0" w:num="1">
            <w:col w:w="11240"/>
          </w:cols>
          <w:pgMar w:left="320" w:top="125" w:right="339" w:bottom="0" w:gutter="0" w:footer="0" w:header="0"/>
        </w:sectPr>
      </w:pPr>
    </w:p>
    <w:p>
      <w:pPr>
        <w:spacing w:after="0" w:line="17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Family Relationships</w:t>
      </w:r>
    </w:p>
    <w:p>
      <w:pPr>
        <w:sectPr>
          <w:pgSz w:w="11900" w:h="16838" w:orient="portrait"/>
          <w:cols w:equalWidth="0" w:num="1">
            <w:col w:w="11240"/>
          </w:cols>
          <w:pgMar w:left="320" w:top="125" w:right="339" w:bottom="0" w:gutter="0" w:footer="0" w:header="0"/>
          <w:type w:val="continuous"/>
        </w:sectPr>
      </w:pPr>
    </w:p>
    <w:bookmarkStart w:id="39" w:name="page40"/>
    <w:bookmarkEnd w:id="39"/>
    <w:p>
      <w:pPr>
        <w:spacing w:after="0" w:line="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no family relationships among any of our executive officers and directors; however, see Item 13 (“Certain Relationships and Related Transactions, and Director Independence - Other”) of this Annual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members of the Audit Committee are Messrs. Tupper, Yankus and McFadden.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Delinquent Section 16(a) Reports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 Section 16 on a timely basis during the fiscal year ended December 31, 2021. To our knowledge, based solely on a review of copies of Forms 3, 4 and 5 filed with the SEC and written representations that no other reports were required, during the fiscal year ended December 31, 2021, our officers, directors and 10% stockholders complied with all Section 16(a) filing requirements applicable to them, except that Richard Swartz, our Chief Accounting Officer, filed one Form 4 late, reporting one transaction, and Sarah (Minlei) Chen, KICO’s Chief Actuary, filed one Form 4 late, reporting one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Code of Ethics; Officer and Director Trading Restrictions Policy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www.kingstonecompanies.com.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2021 and 2020 for certain executive officers, including our Chief Executive Officer: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9"/>
              </w:rPr>
              <w:t>Incentive Plan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20" w:type="dxa"/>
            <w:vAlign w:val="bottom"/>
          </w:tcPr>
          <w:p>
            <w:pPr>
              <w:ind w:left="60"/>
              <w:spacing w:after="0"/>
              <w:rPr>
                <w:sz w:val="20"/>
                <w:szCs w:val="20"/>
                <w:color w:val="auto"/>
              </w:rPr>
            </w:pPr>
            <w:r>
              <w:rPr>
                <w:rFonts w:ascii="Arial" w:cs="Arial" w:eastAsia="Arial" w:hAnsi="Arial"/>
                <w:sz w:val="18"/>
                <w:szCs w:val="18"/>
                <w:b w:val="1"/>
                <w:bCs w:val="1"/>
                <w:color w:val="auto"/>
                <w:w w:val="92"/>
              </w:rPr>
              <w:t>Name and Principal Position</w:t>
            </w:r>
          </w:p>
        </w:tc>
        <w:tc>
          <w:tcPr>
            <w:tcW w:w="10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Salary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Bonus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Awards(1)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Awards(1)</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Compensation</w:t>
            </w:r>
          </w:p>
        </w:tc>
        <w:tc>
          <w:tcPr>
            <w:tcW w:w="164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
        </w:trPr>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1,386,500(2)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1,921,435</w:t>
            </w:r>
          </w:p>
        </w:tc>
      </w:tr>
      <w:tr>
        <w:trPr>
          <w:trHeight w:val="202"/>
        </w:trPr>
        <w:tc>
          <w:tcPr>
            <w:tcW w:w="2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 Chairman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Board</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1,386,500(3)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1,919,109</w:t>
            </w: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Meryl S. Golden</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211,020(4)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734,620</w:t>
            </w:r>
          </w:p>
        </w:tc>
      </w:tr>
      <w:tr>
        <w:trPr>
          <w:trHeight w:val="202"/>
        </w:trPr>
        <w:tc>
          <w:tcPr>
            <w:tcW w:w="2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Chief Operating Officer;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Kingstone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Company</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73,646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597,046</w:t>
            </w: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Sarah (Minlei) Chen</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267,515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36,520(5)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6,588(10)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350,623</w:t>
            </w:r>
          </w:p>
        </w:tc>
      </w:tr>
      <w:tr>
        <w:trPr>
          <w:trHeight w:val="202"/>
        </w:trPr>
        <w:tc>
          <w:tcPr>
            <w:tcW w:w="2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Chief Actuary, Kingstone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 Company</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8"/>
        </w:trPr>
        <w:tc>
          <w:tcPr>
            <w:tcW w:w="2320" w:type="dxa"/>
            <w:vAlign w:val="bottom"/>
          </w:tcPr>
          <w:p>
            <w:pPr>
              <w:spacing w:after="0"/>
              <w:rPr>
                <w:sz w:val="20"/>
                <w:szCs w:val="20"/>
                <w:color w:val="auto"/>
              </w:rPr>
            </w:pPr>
            <w:r>
              <w:rPr>
                <w:rFonts w:ascii="Arial" w:cs="Arial" w:eastAsia="Arial" w:hAnsi="Arial"/>
                <w:sz w:val="18"/>
                <w:szCs w:val="18"/>
                <w:color w:val="auto"/>
              </w:rPr>
              <w:t>______________</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460" w:right="8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90"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January 2021, Mr. Goldstein was granted an aggregate of 251,769 shares of restricted common stock under the 2014 Plan. Such grant vested to the extent of 125,885 shares as of the first anniversary of the date of grant and vests to the extent of 125,884 shares as of December 31, 2022. See</w:t>
      </w:r>
    </w:p>
    <w:p>
      <w:pPr>
        <w:sectPr>
          <w:pgSz w:w="11900" w:h="16848" w:orient="portrait"/>
          <w:cols w:equalWidth="0" w:num="1">
            <w:col w:w="11240"/>
          </w:cols>
          <w:pgMar w:left="320" w:top="341" w:right="339" w:bottom="0" w:gutter="0" w:footer="0" w:header="0"/>
        </w:sectPr>
      </w:pPr>
    </w:p>
    <w:bookmarkStart w:id="40" w:name="page41"/>
    <w:bookmarkEnd w:id="40"/>
    <w:p>
      <w:pPr>
        <w:ind w:left="460" w:right="20"/>
        <w:spacing w:after="0" w:line="277" w:lineRule="auto"/>
        <w:rPr>
          <w:sz w:val="20"/>
          <w:szCs w:val="20"/>
          <w:color w:val="auto"/>
        </w:rPr>
      </w:pPr>
      <w:r>
        <w:rPr>
          <w:rFonts w:ascii="Arial" w:cs="Arial" w:eastAsia="Arial" w:hAnsi="Arial"/>
          <w:sz w:val="18"/>
          <w:szCs w:val="18"/>
          <w:color w:val="auto"/>
        </w:rPr>
        <w:t>“Termination of Employment and Change-in-Control Arrangements – Barry B. Goldstein” below for a discussion of certain provisions relating to the restricted stock granted to Mr. Goldstein.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460" w:right="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2020, Mr. Goldstein was granted an aggregate of 174,622 shares of restricted common stock under the 2014 Plan. Such grant vested to the extent of 58,208 shares as of the first anniversary of the date of grant and vests to the extent of 58,207 shares as of each of the second anniversary of the date of grant and December 31, 2022. See “Termination of Employment and Change-in-Control Arrangements – Barry B. Goldstein” below for a discussion of certain provisions relating to the restricted stock granted to Mr. Goldstein.</w:t>
      </w:r>
    </w:p>
    <w:p>
      <w:pPr>
        <w:spacing w:after="0" w:line="18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2021, Ms. Golden was granted 30,000 shares of restricted common stock under the 2014 Plan. Such grant vested to the extent of 10,000 shares as of the first anniversary of the date of grant and vests to the extent of 10,000 shares as of each of the second and third anniversaries of the date of grant. See “Termination of Employment and Change-in-Control Arrangements – Meryl Golden” below for a discussion of certain provisions relating to the restricted stock granted to Ms. Golden.</w:t>
      </w:r>
    </w:p>
    <w:p>
      <w:pPr>
        <w:spacing w:after="0" w:line="186" w:lineRule="exact"/>
        <w:rPr>
          <w:rFonts w:ascii="Arial" w:cs="Arial" w:eastAsia="Arial" w:hAnsi="Arial"/>
          <w:sz w:val="18"/>
          <w:szCs w:val="18"/>
          <w:color w:val="auto"/>
        </w:rPr>
      </w:pPr>
    </w:p>
    <w:p>
      <w:pPr>
        <w:ind w:left="460" w:hanging="452"/>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January 2021, Ms. Chen was granted 3,572 shares of restricted common stock under our 2014 Plan. Such grant vested to the extent of 1,191 shares as of the first anniversary of the date of grant and vests to the extent of 1,191 and 1,190 shares as of the second and third anniversaries of the date of grant, respectively. In addition, in December 2021, Ms. Chen was granted 2,400 shares of restricted stock under our 2014 Plan. Such grant vests to the extent of 800 shares as of each of the first, second and third anniversaries of the date of grant.</w:t>
      </w:r>
    </w:p>
    <w:p>
      <w:pPr>
        <w:spacing w:after="0" w:line="171" w:lineRule="exact"/>
        <w:rPr>
          <w:rFonts w:ascii="Arial" w:cs="Arial" w:eastAsia="Arial" w:hAnsi="Arial"/>
          <w:sz w:val="17"/>
          <w:szCs w:val="17"/>
          <w:color w:val="auto"/>
        </w:rPr>
      </w:pPr>
    </w:p>
    <w:p>
      <w:pPr>
        <w:ind w:left="460" w:right="1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deferred compensation plan of $11,335, employer matching contributions under our defined contribution plan of $11,600 and a car allowance of $12,000.</w:t>
      </w:r>
    </w:p>
    <w:p>
      <w:pPr>
        <w:spacing w:after="0" w:line="170"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deferred compensation plan of $11,909, employer matching contributions under our defined contribution plan of $8,700 and a car allowance of $12,000.</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 of $11,600 and a car allowance of $12,000.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 of $11,400 and a car allowance of $12,000.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employer matching contributions under our defined contribution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14, 2019, we entered into a second amended and restated employment agreement with Mr. Goldstein which took effect as of January 1, 2020 and expires on December 31, 2022 (the “Second Amended and Restated Goldstein Employment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the Second Amended and Restated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and Restated Goldstein Employment Agreement, Mr. Goldstein is entitled to receive a long-term compensation (“LTC”) payment of between $945,000 and $2,835,000 based on a specified minimum increase in our adjusted book value per share (as defined in the Second Amended and Restated Goldstein Employment Agreement) as of December 31, 2022 as compared to December 31, 2019 (with the maximum LTC payment being due if the average per annum increase is at least 14%).</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Second Amended and Restated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one-third of the award on December 31, 2022 based on the continued provision of services through such date. Also pursuant to the Second Amended and Restated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one-half of the award on December 31, 2022 based on the continued provision of services such date. Further, pursuant to the Second Amended and Restated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one-third of the award on December 31, 2022 based on the continued provision of services through such date. The 2021 grant vested with respect to one-half of the award on the first anniversary of the grant date and will vest with respect to one-half of the award on December 31, 2022 based on the continued provision of services through such date. The 2022 grant will vest on December 31, 2022 based on the continued provision of services through such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“Termination of Employment and Change-in-Control Arrangements – Barry B. Goldstein” below for a discussion of the provisions of the Second Amended and Restated Goldstein Employment Agreement with regard to payments due in the event of the termination of Mr. Goldstein’s employment.</w:t>
      </w:r>
    </w:p>
    <w:p>
      <w:pPr>
        <w:sectPr>
          <w:pgSz w:w="11900" w:h="16838" w:orient="portrait"/>
          <w:cols w:equalWidth="0" w:num="1">
            <w:col w:w="11240"/>
          </w:cols>
          <w:pgMar w:left="320" w:top="125" w:right="339" w:bottom="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Meryl S. Golden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and Ms. Golden are parties to an employment agreement dated as of August 27, 2019 (as amended, the “Golden Employment Agreement”). Pursuant to the Golden Employment Agreement, which expires on December 31, 2022, Ms. Golden serves as our Chief Operating Officer and is entitled to receive an annual base salary of $500,000. In addition, pursuant to the Golden Employment Agreement and the 2014 Plan, in September 2019, Ms. Golden was granted an option to purchase 50,000 shares of common stock which has vested to the extent of 12,500 shares on each of the date of grant and each of the first and second anniversaries of the date of grant and will vest to the extent of 12,500 shares on the third anniversary of the date of grant. Further, pursuant to the Golden Employment Agreement and the 2014 Plan, in each of January 2021 and January 2022, Ms. Golden was granted 30,000 shares of restricted stock. Each such grant vests to the extent of 10,000 shares on each of the first, second and third anniversaries of the date of grant.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“Termination of Employment and Change-in-Control Arrangements – Meryl S. Golden” below for a discussion of the provisions of the Golden Employment Agreement with regard to payments due in the event of the termination of Ms. Golden’s employment.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exercisable and unexercisable stock options and unvested stock grants held by the above Named Executive Officers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Stock Awards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6"/>
                <w:szCs w:val="16"/>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Market</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Unexercised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Stock</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6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That Have</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That Have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2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Unexercisable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Not Vested</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Not Vested</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 Vested</w:t>
            </w:r>
          </w:p>
        </w:tc>
        <w:tc>
          <w:tcPr>
            <w:tcW w:w="10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Not Vested</w:t>
            </w:r>
          </w:p>
        </w:tc>
      </w:tr>
      <w:tr>
        <w:trPr>
          <w:trHeight w:val="20"/>
        </w:trPr>
        <w:tc>
          <w:tcPr>
            <w:tcW w:w="2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368,183(1)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1,840,915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Meryl S. Golden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(Minlei) Chen</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8,836(4)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23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460" w:right="26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shares vested to the extent of 58,207 shares on January 3, 2022 and 125,885 shares on January 4, 2022 and will vest to the extent of 184,091 shares on December 31, 2022.</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option is exercisable on September 25, 2022.</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shares vested to the extent of 10,000 shares on January 4, 2022 and will vest to the extent of 10,000 shares on each of January 4, 2023 and 2024 and 800 shares on each of December 13, 2022, 2023 and 2024.</w:t>
      </w:r>
    </w:p>
    <w:p>
      <w:pPr>
        <w:spacing w:after="0" w:line="170" w:lineRule="exact"/>
        <w:rPr>
          <w:rFonts w:ascii="Arial" w:cs="Arial" w:eastAsia="Arial" w:hAnsi="Arial"/>
          <w:sz w:val="18"/>
          <w:szCs w:val="18"/>
          <w:color w:val="auto"/>
        </w:rPr>
      </w:pPr>
    </w:p>
    <w:p>
      <w:pPr>
        <w:ind w:left="460" w:right="300" w:hanging="452"/>
        <w:spacing w:after="0" w:line="34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shares vested to the extent of 1,191 shares on January 28, 2022 and will vest to the extent of 1,432 shares on each of November 2, 2022 and 2023, 1,191 shares on January 28, 2023, 1,190 shares on January 28, 2024 and 800 shares on each of December 13, 2022, 2023 and 2024.</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Termination of Employment and </w:t>
      </w:r>
      <w:r>
        <w:rPr>
          <w:rFonts w:ascii="Arial" w:cs="Arial" w:eastAsia="Arial" w:hAnsi="Arial"/>
          <w:sz w:val="18"/>
          <w:szCs w:val="18"/>
          <w:b w:val="1"/>
          <w:bCs w:val="1"/>
          <w:i w:val="1"/>
          <w:iCs w:val="1"/>
          <w:color w:val="auto"/>
        </w:rPr>
        <w:t>Change-in-Control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the Second Amended and Restated Goldstein Employment Agreement, in the event that Mr. Goldstein’s employment is terminated by us without cause or he resigns for good reason (each as defined in the Second Amended and Restated Goldstein Employment Agreement), Mr. Goldstein would be entitled to receive his annual base salary, bonus and LTC payment for the remainder of the term. In addition, in the event of Mr. Goldstein’s death, his estate would be entitled to receive his annual base salary, accrued bonus and accrued LTC payment through the date of death. Further, in the event that Mr. Goldstein’s employment is terminated by us without cause or he resigns for good reason, or, in the event of the termination of Mr. Goldstein’s employment due to disability or death, Mr. Goldstein’s granted but unvested restricted stock awards will vest.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Goldstein would be entitled to receive, under certain circumstances, a payment equal to 3.82 times his then annual base salary, the target LTC payment of $1,890,000 and his accrued bonus in the event of the termination of his employment within eighteen months following a change of control of our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Meryl S. Golden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the Golden Employment Agreement, in the event that Ms. Golden’s employment is terminated by us without cause or she resigns for good reason (each as defined in the Golden Employment Agreement), Ms. Golden would be entitled to receive her annual base salary for the remainder of the term or for twelve months, whichever is sooner. In addition, pursuant to the 2014 Plan, in the event of a termination of employment due to the death or disability of Ms. Golden or following a change of control of our company, the option and stock grants scheduled to vest on the next vesting date following</w:t>
      </w:r>
    </w:p>
    <w:p>
      <w:pPr>
        <w:sectPr>
          <w:pgSz w:w="11900" w:h="16838" w:orient="portrait"/>
          <w:cols w:equalWidth="0" w:num="1">
            <w:col w:w="11240"/>
          </w:cols>
          <w:pgMar w:left="320" w:top="179" w:right="339" w:bottom="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color w:val="auto"/>
        </w:rPr>
        <w:t>such event shall vest under certain circumstance notwithstanding such event. Further, in the event that Ms. Golden’s employment is terminated by us without cause or she resigns for good reason, Ms. Golden’s granted but unvested restricted stock awards will vest.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Ms. Golden would be entitled to receive, under certain circumstances, a payment equal to 1.5 times her then annual base salary in the event of the termination of her employment within eighteen months following a change in control of our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of our non-employee directors for the fiscal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2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DIRECTOR COMPENSATION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42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87"/>
              </w:rPr>
              <w:t>Fees Earned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or</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Stock</w:t>
            </w:r>
          </w:p>
        </w:tc>
        <w:tc>
          <w:tcPr>
            <w:tcW w:w="2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2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0"/>
              </w:rPr>
              <w:t>Paid in Cash</w:t>
            </w:r>
          </w:p>
        </w:tc>
        <w:tc>
          <w:tcPr>
            <w:tcW w:w="22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Awards(1)</w:t>
            </w:r>
          </w:p>
        </w:tc>
        <w:tc>
          <w:tcPr>
            <w:tcW w:w="2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Awards</w:t>
            </w:r>
          </w:p>
        </w:tc>
        <w:tc>
          <w:tcPr>
            <w:tcW w:w="3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0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3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Floyd R. Tupper</w:t>
            </w:r>
          </w:p>
        </w:tc>
        <w:tc>
          <w:tcPr>
            <w:tcW w:w="3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128,000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3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118,000</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Timothy P. McFadden</w:t>
            </w:r>
          </w:p>
        </w:tc>
        <w:tc>
          <w:tcPr>
            <w:tcW w:w="3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118,000</w:t>
            </w:r>
          </w:p>
        </w:tc>
      </w:tr>
    </w:tbl>
    <w:p>
      <w:pPr>
        <w:spacing w:after="0" w:line="187" w:lineRule="exact"/>
        <w:rPr>
          <w:sz w:val="20"/>
          <w:szCs w:val="20"/>
          <w:color w:val="auto"/>
        </w:rPr>
      </w:pPr>
    </w:p>
    <w:p>
      <w:pPr>
        <w:ind w:left="900" w:right="40" w:hanging="447"/>
        <w:spacing w:after="0" w:line="27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 The aggregate number of unvested restricted stock awards outstanding as of fiscal year end for each non-employee director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tcPr>
          <w:p>
            <w:pPr>
              <w:spacing w:after="0"/>
              <w:rPr>
                <w:sz w:val="18"/>
                <w:szCs w:val="18"/>
                <w:color w:val="auto"/>
              </w:rPr>
            </w:pPr>
          </w:p>
        </w:tc>
        <w:tc>
          <w:tcPr>
            <w:tcW w:w="182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Unvested</w:t>
            </w:r>
          </w:p>
        </w:tc>
      </w:tr>
      <w:tr>
        <w:trPr>
          <w:trHeight w:val="216"/>
        </w:trPr>
        <w:tc>
          <w:tcPr>
            <w:tcW w:w="9420" w:type="dxa"/>
            <w:vAlign w:val="bottom"/>
          </w:tcPr>
          <w:p>
            <w:pPr>
              <w:spacing w:after="0"/>
              <w:rPr>
                <w:sz w:val="18"/>
                <w:szCs w:val="18"/>
                <w:color w:val="auto"/>
              </w:rPr>
            </w:pPr>
          </w:p>
        </w:tc>
        <w:tc>
          <w:tcPr>
            <w:tcW w:w="182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0"/>
              </w:rPr>
              <w:t>Restricted</w:t>
            </w:r>
          </w:p>
        </w:tc>
      </w:tr>
      <w:tr>
        <w:trPr>
          <w:trHeight w:val="216"/>
        </w:trPr>
        <w:tc>
          <w:tcPr>
            <w:tcW w:w="9420" w:type="dxa"/>
            <w:vAlign w:val="bottom"/>
          </w:tcPr>
          <w:p>
            <w:pPr>
              <w:spacing w:after="0"/>
              <w:rPr>
                <w:sz w:val="18"/>
                <w:szCs w:val="18"/>
                <w:color w:val="auto"/>
              </w:rPr>
            </w:pPr>
          </w:p>
        </w:tc>
        <w:tc>
          <w:tcPr>
            <w:tcW w:w="18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Stock Awards</w:t>
            </w:r>
          </w:p>
        </w:tc>
      </w:tr>
      <w:tr>
        <w:trPr>
          <w:trHeight w:val="234"/>
        </w:trPr>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9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6,154</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William L. Yankus</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6,154</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6,154</w:t>
            </w:r>
          </w:p>
        </w:tc>
      </w:t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Timothy P. McFadden</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6,154</w:t>
            </w:r>
          </w:p>
        </w:tc>
      </w:tr>
      <w:tr>
        <w:trPr>
          <w:trHeight w:val="418"/>
        </w:trPr>
        <w:tc>
          <w:tcPr>
            <w:tcW w:w="9420" w:type="dxa"/>
            <w:vAlign w:val="bottom"/>
          </w:tcPr>
          <w:p>
            <w:pPr>
              <w:ind w:left="660"/>
              <w:spacing w:after="0"/>
              <w:rPr>
                <w:sz w:val="20"/>
                <w:szCs w:val="20"/>
                <w:color w:val="auto"/>
              </w:rPr>
            </w:pPr>
            <w:r>
              <w:rPr>
                <w:rFonts w:ascii="Arial" w:cs="Arial" w:eastAsia="Arial" w:hAnsi="Arial"/>
                <w:sz w:val="18"/>
                <w:szCs w:val="18"/>
                <w:color w:val="auto"/>
                <w:w w:val="97"/>
              </w:rPr>
              <w:t>Our non-employee directors are entitled to receive annual compensation for their services as directors as follows: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$63,000;</w:t>
      </w:r>
    </w:p>
    <w:p>
      <w:pPr>
        <w:spacing w:after="0" w:line="225" w:lineRule="exact"/>
        <w:rPr>
          <w:rFonts w:ascii="Arial" w:cs="Arial" w:eastAsia="Arial" w:hAnsi="Arial"/>
          <w:sz w:val="18"/>
          <w:szCs w:val="18"/>
          <w:color w:val="auto"/>
        </w:rPr>
      </w:pPr>
    </w:p>
    <w:p>
      <w:pPr>
        <w:ind w:left="900" w:right="240" w:hanging="447"/>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additional $25,000 for service as audit committee chair, an additional $20,000 for service as compensation committee chair, an additional $10,000 for service as investment committee chair, and an additional $15,000 for service as chair of other committees; and</w:t>
      </w:r>
    </w:p>
    <w:p>
      <w:pPr>
        <w:spacing w:after="0" w:line="146" w:lineRule="exact"/>
        <w:rPr>
          <w:rFonts w:ascii="Arial" w:cs="Arial" w:eastAsia="Arial" w:hAnsi="Arial"/>
          <w:sz w:val="17"/>
          <w:szCs w:val="17"/>
          <w:color w:val="auto"/>
        </w:rPr>
      </w:pPr>
    </w:p>
    <w:p>
      <w:pPr>
        <w:ind w:left="900" w:right="80" w:hanging="44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$40,000 of our common stock determined by the closing stock price on the first business day of the year, which vest on the first anniversary of the grant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certain information as of March 21, 2022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520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520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5200" w:type="dxa"/>
            <w:vAlign w:val="bottom"/>
            <w:gridSpan w:val="2"/>
          </w:tcPr>
          <w:p>
            <w:pPr>
              <w:jc w:val="center"/>
              <w:ind w:left="205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of Beneficial Owner</w:t>
            </w:r>
          </w:p>
        </w:tc>
        <w:tc>
          <w:tcPr>
            <w:tcW w:w="520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3"/>
              </w:rPr>
              <w:t>Owned</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Class</w:t>
            </w:r>
          </w:p>
        </w:tc>
      </w:tr>
      <w:tr>
        <w:trPr>
          <w:trHeight w:val="210"/>
        </w:trPr>
        <w:tc>
          <w:tcPr>
            <w:tcW w:w="478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Barry B. Goldstein</w:t>
            </w:r>
          </w:p>
        </w:tc>
        <w:tc>
          <w:tcPr>
            <w:tcW w:w="4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15 Joys Lane</w:t>
            </w:r>
          </w:p>
        </w:tc>
        <w:tc>
          <w:tcPr>
            <w:tcW w:w="4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Kingston, New York</w:t>
            </w:r>
          </w:p>
        </w:tc>
        <w:tc>
          <w:tcPr>
            <w:tcW w:w="5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832,076(1)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47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Floyd R. Tupper</w:t>
            </w:r>
          </w:p>
        </w:tc>
        <w:tc>
          <w:tcPr>
            <w:tcW w:w="5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79,576(2)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5" w:right="3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Meryl S. Golden</w:t>
            </w:r>
          </w:p>
        </w:tc>
        <w:tc>
          <w:tcPr>
            <w:tcW w:w="41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47,500(3)</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412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29,945</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Carla A. D’Andre</w:t>
            </w:r>
          </w:p>
        </w:tc>
        <w:tc>
          <w:tcPr>
            <w:tcW w:w="41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28,095(4)</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412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27,740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(Minlei) Chen</w:t>
            </w:r>
          </w:p>
        </w:tc>
        <w:tc>
          <w:tcPr>
            <w:tcW w:w="412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1,578</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6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TCW Group, Inc.</w:t>
            </w:r>
          </w:p>
        </w:tc>
        <w:tc>
          <w:tcPr>
            <w:tcW w:w="4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behalf of the TCW Business Unit</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865 South Figueroa Street</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California</w:t>
            </w:r>
          </w:p>
        </w:tc>
        <w:tc>
          <w:tcPr>
            <w:tcW w:w="41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743,903(5)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6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Doak</w:t>
            </w:r>
          </w:p>
        </w:tc>
        <w:tc>
          <w:tcPr>
            <w:tcW w:w="4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Griffin Highline Capital LLC</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4514 Cole Avenue</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Texas</w:t>
            </w:r>
          </w:p>
        </w:tc>
        <w:tc>
          <w:tcPr>
            <w:tcW w:w="412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595,238(6)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6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Punch &amp; Associates</w:t>
            </w:r>
          </w:p>
        </w:tc>
        <w:tc>
          <w:tcPr>
            <w:tcW w:w="4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Management, Inc.</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7701 France Avenue South, Suite 300</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Edina, Minnesota</w:t>
            </w:r>
          </w:p>
        </w:tc>
        <w:tc>
          <w:tcPr>
            <w:tcW w:w="412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584,000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240" w:type="dxa"/>
            <w:vAlign w:val="bottom"/>
            <w:gridSpan w:val="2"/>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4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1,046,510(1)(2)(3)(4)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2"/>
        </w:trPr>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w:t>
            </w:r>
          </w:p>
        </w:tc>
        <w:tc>
          <w:tcPr>
            <w:tcW w:w="4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960" w:type="dxa"/>
            <w:vAlign w:val="bottom"/>
          </w:tcPr>
          <w:p>
            <w:pPr>
              <w:ind w:left="180"/>
              <w:spacing w:after="0"/>
              <w:rPr>
                <w:sz w:val="20"/>
                <w:szCs w:val="20"/>
                <w:color w:val="auto"/>
              </w:rPr>
            </w:pPr>
            <w:r>
              <w:rPr>
                <w:rFonts w:ascii="Arial" w:cs="Arial" w:eastAsia="Arial" w:hAnsi="Arial"/>
                <w:sz w:val="18"/>
                <w:szCs w:val="18"/>
                <w:color w:val="auto"/>
              </w:rPr>
              <w:t>Less than 1%.</w:t>
            </w:r>
          </w:p>
        </w:tc>
        <w:tc>
          <w:tcPr>
            <w:tcW w:w="41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460" w:hanging="452"/>
        <w:spacing w:after="0" w:line="27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758,908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76" w:lineRule="exact"/>
        <w:rPr>
          <w:rFonts w:ascii="Arial" w:cs="Arial" w:eastAsia="Arial" w:hAnsi="Arial"/>
          <w:sz w:val="17"/>
          <w:szCs w:val="17"/>
          <w:color w:val="auto"/>
        </w:rPr>
      </w:pPr>
    </w:p>
    <w:p>
      <w:pPr>
        <w:jc w:val="both"/>
        <w:ind w:left="46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(i) 32,395 shares owned by Mr. Tupper’s wife (ii) 6,675 shares held in a retirement trust for the benefit of Mr. Tupper and (iii) 810 shares held in a retirement trust for the benefit of Mr. Tupper’s wife. Mr. Tupper has sole voting and dispositive power over 46,371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187"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37,500 shares issuable upon the exercise of options that are exercisable currently.</w:t>
      </w:r>
    </w:p>
    <w:p>
      <w:pPr>
        <w:spacing w:after="0" w:line="22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(i) 1,400 shares held in a retirement trust for the benefit of Ms. D’Andre and (ii) 10,000 shares held in a retirement trust for the benefit of Ms. D’Andre’s husband. Ms. D’Andre has sole voting and dispositive power over 18,095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7"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regarding The TCW Group, Inc. on behalf of the TCW Business Unit is based solely on Amendment No. 2 to Schedule 13G filed by such reporting person with the SEC on February 9, 2022 (the “TCW 13G/A”). According to the TCW 13G/A, such reporting person has shared voting and dispositive power over the 743,903 shares of common stock.</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regarding Michael Doak (“Doak”) and Griffin Highline Capital LLC (“Griffin”) is based solely on Amendment No. 1 to Schedule 13D filed by such reporting persons with the SEC on January 19, 2022 (the “Doak/Griffin 13D/A”). According to the Doak/Griffin 13D/A, each of Doak and Griffin has shared voting and dispositive power over the 595,238 shares of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as of December 31, 2021 with respect to compensation plans (including individual compensation arrangements) under which our common stock is authorized for issuance, aggregated as follows:</w:t>
      </w:r>
    </w:p>
    <w:p>
      <w:pPr>
        <w:spacing w:after="0" w:line="170" w:lineRule="exact"/>
        <w:rPr>
          <w:sz w:val="20"/>
          <w:szCs w:val="20"/>
          <w:color w:val="auto"/>
        </w:rPr>
      </w:pPr>
    </w:p>
    <w:p>
      <w:pPr>
        <w:ind w:left="920" w:hanging="467"/>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compensation plans previously approved by security holders; and</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compensation plans not previously approved by security 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356" w:right="3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ind w:left="3880"/>
              <w:spacing w:after="0"/>
              <w:rPr>
                <w:sz w:val="20"/>
                <w:szCs w:val="20"/>
                <w:color w:val="auto"/>
              </w:rPr>
            </w:pPr>
            <w:r>
              <w:rPr>
                <w:rFonts w:ascii="Arial" w:cs="Arial" w:eastAsia="Arial" w:hAnsi="Arial"/>
                <w:sz w:val="18"/>
                <w:szCs w:val="18"/>
                <w:b w:val="1"/>
                <w:bCs w:val="1"/>
                <w:color w:val="auto"/>
              </w:rPr>
              <w:t>EQUITY COMPENSATION PLAN INFORMATION</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5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86"/>
              </w:rPr>
              <w:t>securities to</w:t>
            </w:r>
          </w:p>
        </w:tc>
        <w:tc>
          <w:tcPr>
            <w:tcW w:w="22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average</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4"/>
              </w:rPr>
              <w:t>be issued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85"/>
              </w:rPr>
              <w:t>upon exercise</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2"/>
              </w:rPr>
              <w:t>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7"/>
              </w:rPr>
              <w:t>of outstanding</w:t>
            </w:r>
          </w:p>
        </w:tc>
        <w:tc>
          <w:tcPr>
            <w:tcW w:w="22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outstanding</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85"/>
              </w:rPr>
              <w:t>options,</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options,</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2"/>
              </w:rPr>
              <w:t>warrants and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warrants and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r>
      <w:tr>
        <w:trPr>
          <w:trHeight w:val="216"/>
        </w:trPr>
        <w:tc>
          <w:tcPr>
            <w:tcW w:w="5820" w:type="dxa"/>
            <w:vAlign w:val="bottom"/>
          </w:tcPr>
          <w:p>
            <w:pPr>
              <w:spacing w:after="0"/>
              <w:rPr>
                <w:sz w:val="18"/>
                <w:szCs w:val="18"/>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87"/>
              </w:rPr>
              <w:t>rights</w:t>
            </w: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rights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820" w:type="dxa"/>
            <w:vAlign w:val="bottom"/>
          </w:tcPr>
          <w:p>
            <w:pPr>
              <w:spacing w:after="0"/>
              <w:rPr>
                <w:sz w:val="20"/>
                <w:szCs w:val="20"/>
                <w:color w:val="auto"/>
              </w:rPr>
            </w:pP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1,069,305(1)</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1,069,305</w:t>
            </w:r>
          </w:p>
        </w:tc>
      </w:tr>
    </w:tbl>
    <w:p>
      <w:pPr>
        <w:spacing w:after="0" w:line="202"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628,531 shares reserved for issuance pursuant to unvested restricted stock grants.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members of our Board’s Audit Committee currently are Messrs. Tupper, Yankus and McFadden, each of whom is independent under applicable Nasdaq listing standards and federal securities rules and regulations on independence of Audit Committee members.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members of our Board’s Compensation Committee currently are Messrs. Yankus and Tupper and Ms. D’Andre, each of whom is independent under applicable Nasdaq listing standards and federal securities rules and regulations on independence.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Victor Brodsky</w:t>
      </w:r>
    </w:p>
    <w:p>
      <w:pPr>
        <w:spacing w:after="0" w:line="225" w:lineRule="exact"/>
        <w:rPr>
          <w:sz w:val="20"/>
          <w:szCs w:val="20"/>
          <w:color w:val="auto"/>
        </w:rPr>
      </w:pPr>
    </w:p>
    <w:p>
      <w:pPr>
        <w:jc w:val="both"/>
        <w:ind w:firstLine="846"/>
        <w:spacing w:after="0" w:line="255" w:lineRule="auto"/>
        <w:rPr>
          <w:sz w:val="20"/>
          <w:szCs w:val="20"/>
          <w:color w:val="auto"/>
        </w:rPr>
      </w:pPr>
      <w:r>
        <w:rPr>
          <w:rFonts w:ascii="Arial" w:cs="Arial" w:eastAsia="Arial" w:hAnsi="Arial"/>
          <w:sz w:val="18"/>
          <w:szCs w:val="18"/>
          <w:color w:val="auto"/>
        </w:rPr>
        <w:t>In connection with the cessation of employment of Victor Brodsky as our Chief Financial Officer effective September 30, 2020 (the “Brodsky Separation Date”), we entered into an Agreement and General Release (the “Brodsky Separation Agreement”) with Mr. Brodsky. Pursuant to the Brodsky Separation Agreement, we agreed to provide the following payments and benefits to Mr. Brodsky in full satisfaction of all payments and benefits and other amounts due to him upon his cessation of employment: (i) $155,969 (representing five months of base salary); (ii) continuing group health coverage commencing on October 1, 2020 and ending no later than February 28, 2021; and (iii) continued vesting of all granted but unvested stock and option awards as if Mr. Brodsky had remained in our employ.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Benjamin Walden</w:t>
      </w:r>
    </w:p>
    <w:p>
      <w:pPr>
        <w:spacing w:after="0" w:line="225" w:lineRule="exact"/>
        <w:rPr>
          <w:sz w:val="20"/>
          <w:szCs w:val="20"/>
          <w:color w:val="auto"/>
        </w:rPr>
      </w:pPr>
    </w:p>
    <w:p>
      <w:pPr>
        <w:jc w:val="both"/>
        <w:ind w:firstLine="966"/>
        <w:spacing w:after="0" w:line="272" w:lineRule="auto"/>
        <w:rPr>
          <w:sz w:val="20"/>
          <w:szCs w:val="20"/>
          <w:color w:val="auto"/>
        </w:rPr>
      </w:pPr>
      <w:r>
        <w:rPr>
          <w:rFonts w:ascii="Arial" w:cs="Arial" w:eastAsia="Arial" w:hAnsi="Arial"/>
          <w:sz w:val="17"/>
          <w:szCs w:val="17"/>
          <w:color w:val="auto"/>
        </w:rPr>
        <w:t>In connection with the cessation of employment of Benjamin Walden as Executive Vice President and Chief of Actuary of KICO effective September 30, 2020 (the “Walden Separation Date”), we entered into an Agreement and General Release (the “Walden Separation Agreement”) with Mr. Walden. Pursuant to the Walden Separation Agreement, we agreed to provide the following payments and benefits to Mr. Walden in full satisfaction of all payments and benefits and other amounts due to him upon his cessation of employment: (i) an amount equal to the base salary he would have received had he remained employed through November 30, 2020 (with an extension thereof to December 31, 2020 under certain circumstances); (ii) continuing group health coverage commencing on the Walden Separation Date and ending no later than December 31, 2020; and (iii) the grant to Mr. Walden of an option to purchase 19,207 shares of common stock, which option vests two years from the date of grant.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w:t>
      </w:r>
    </w:p>
    <w:p>
      <w:pPr>
        <w:sectPr>
          <w:pgSz w:w="11900" w:h="16838" w:orient="portrait"/>
          <w:cols w:equalWidth="0" w:num="1">
            <w:col w:w="11240"/>
          </w:cols>
          <w:pgMar w:left="320" w:top="337" w:right="339" w:bottom="0" w:gutter="0" w:footer="0" w:header="0"/>
        </w:sectPr>
      </w:pPr>
    </w:p>
    <w:bookmarkStart w:id="45" w:name="page46"/>
    <w:bookmarkEnd w:id="45"/>
    <w:p>
      <w:pPr>
        <w:ind w:firstLine="648"/>
        <w:spacing w:after="0" w:line="277" w:lineRule="auto"/>
        <w:rPr>
          <w:sz w:val="20"/>
          <w:szCs w:val="20"/>
          <w:color w:val="auto"/>
        </w:rPr>
      </w:pPr>
      <w:r>
        <w:rPr>
          <w:rFonts w:ascii="Arial" w:cs="Arial" w:eastAsia="Arial" w:hAnsi="Arial"/>
          <w:sz w:val="18"/>
          <w:szCs w:val="18"/>
          <w:color w:val="auto"/>
        </w:rPr>
        <w:t>The daughter of Barry Goldstein, Amanda Rofsky, is employed as our Investor Relations Director and serves as Vice President of Cosi Agency, Inc., one of our subsidiaries. For the fiscal year ended December 31, 2021, she earned $166,188 in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25" w:lineRule="exact"/>
        <w:rPr>
          <w:sz w:val="20"/>
          <w:szCs w:val="20"/>
          <w:color w:val="auto"/>
        </w:rPr>
      </w:pPr>
    </w:p>
    <w:p>
      <w:pPr>
        <w:ind w:firstLine="868"/>
        <w:spacing w:after="0" w:line="342" w:lineRule="auto"/>
        <w:rPr>
          <w:sz w:val="20"/>
          <w:szCs w:val="20"/>
          <w:color w:val="auto"/>
        </w:rPr>
      </w:pPr>
      <w:r>
        <w:rPr>
          <w:rFonts w:ascii="Arial" w:cs="Arial" w:eastAsia="Arial" w:hAnsi="Arial"/>
          <w:sz w:val="16"/>
          <w:szCs w:val="16"/>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summary of the fees billed to us by Marcum LLP, our independent auditors, for professional services rendered for the fiscal years ended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Fiscal 2021</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2020</w:t>
            </w:r>
          </w:p>
        </w:tc>
      </w:tr>
      <w:tr>
        <w:trPr>
          <w:trHeight w:val="234"/>
        </w:trPr>
        <w:tc>
          <w:tcPr>
            <w:tcW w:w="270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Fee Category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Fees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Fees</w:t>
            </w:r>
          </w:p>
        </w:tc>
        <w:tc>
          <w:tcPr>
            <w:tcW w:w="100" w:type="dxa"/>
            <w:vAlign w:val="bottom"/>
          </w:tcPr>
          <w:p>
            <w:pPr>
              <w:spacing w:after="0"/>
              <w:rPr>
                <w:sz w:val="20"/>
                <w:szCs w:val="20"/>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241,535</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Tax Fees(2)</w:t>
            </w: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Fees(3)</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All Other Fees(4)</w:t>
            </w:r>
          </w:p>
        </w:tc>
        <w:tc>
          <w:tcPr>
            <w:tcW w:w="60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0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308,350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241,535</w:t>
            </w:r>
          </w:p>
        </w:tc>
      </w:tr>
    </w:tbl>
    <w:p>
      <w:pPr>
        <w:spacing w:after="0" w:line="202" w:lineRule="exact"/>
        <w:rPr>
          <w:sz w:val="20"/>
          <w:szCs w:val="20"/>
          <w:color w:val="auto"/>
        </w:rPr>
      </w:pPr>
    </w:p>
    <w:p>
      <w:pPr>
        <w:ind w:left="460" w:right="140" w:hanging="452"/>
        <w:spacing w:after="0" w:line="26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 S-8, and services provided in connection with other statutory or regulatory filings.</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Marcum did not provide any tax services during the fiscal year.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Marcum did not provide any “Audit-Related” services during the fiscal year.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Marcum did not provide any other services during the fiscal year.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5715</wp:posOffset>
            </wp:positionV>
            <wp:extent cx="6574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4" w:lineRule="exact"/>
        <w:rPr>
          <w:sz w:val="20"/>
          <w:szCs w:val="20"/>
          <w:color w:val="auto"/>
        </w:rPr>
      </w:pPr>
    </w:p>
    <w:p>
      <w:pPr>
        <w:jc w:val="both"/>
        <w:ind w:left="8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3(a)</w:t>
      </w:r>
      <w:r>
        <w:rPr>
          <w:sz w:val="20"/>
          <w:szCs w:val="20"/>
          <w:color w:val="auto"/>
        </w:rPr>
        <w:tab/>
      </w:r>
      <w:hyperlink r:id="rId90">
        <w:r>
          <w:rPr>
            <w:rFonts w:ascii="Arial" w:cs="Arial" w:eastAsia="Arial" w:hAnsi="Arial"/>
            <w:sz w:val="18"/>
            <w:szCs w:val="18"/>
            <w:u w:val="single" w:color="auto"/>
            <w:color w:val="0000EE"/>
          </w:rPr>
          <w:t>Restated Certificate of Incorporation, as amended (incorporated by reference to Exhibit 3(a) to the Company’s Quarterly Report on Form 10-Q</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for the period ended March 31, 2014 filed on May 15,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3(b)</w:t>
      </w:r>
      <w:r>
        <w:rPr>
          <w:sz w:val="20"/>
          <w:szCs w:val="20"/>
          <w:color w:val="auto"/>
        </w:rPr>
        <w:tab/>
      </w:r>
      <w:hyperlink r:id="rId92">
        <w:r>
          <w:rPr>
            <w:rFonts w:ascii="Arial" w:cs="Arial" w:eastAsia="Arial" w:hAnsi="Arial"/>
            <w:sz w:val="16"/>
            <w:szCs w:val="16"/>
            <w:u w:val="single" w:color="auto"/>
            <w:color w:val="0000EE"/>
          </w:rPr>
          <w:t>By-laws, as amended (incorporated by reference to Exhibit 3.1 to the Company’s Current Report on Form 8-K filed on November 9,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jc w:val="both"/>
        <w:ind w:left="8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4(a)</w:t>
      </w:r>
      <w:r>
        <w:rPr>
          <w:sz w:val="20"/>
          <w:szCs w:val="20"/>
          <w:color w:val="auto"/>
        </w:rPr>
        <w:tab/>
      </w:r>
      <w:hyperlink r:id="rId94">
        <w:r>
          <w:rPr>
            <w:rFonts w:ascii="Arial" w:cs="Arial" w:eastAsia="Arial" w:hAnsi="Arial"/>
            <w:sz w:val="18"/>
            <w:szCs w:val="18"/>
            <w:u w:val="single" w:color="auto"/>
            <w:color w:val="0000EE"/>
          </w:rPr>
          <w:t>Indenture, dated as of December 19, 2017, between Kingstone Companies, Inc. and Wilmington Trust, National Association (incorporated by</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reference to Exhibit 4.1 to the Company’s Current Report on Form 8-K filed on December 20,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jc w:val="both"/>
        <w:ind w:left="880" w:hanging="879"/>
        <w:spacing w:after="0" w:line="308" w:lineRule="auto"/>
        <w:tabs>
          <w:tab w:leader="none" w:pos="86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4(b)</w:t>
      </w:r>
      <w:r>
        <w:rPr>
          <w:sz w:val="20"/>
          <w:szCs w:val="20"/>
          <w:color w:val="auto"/>
        </w:rPr>
        <w:tab/>
      </w:r>
      <w:hyperlink r:id="rId96">
        <w:r>
          <w:rPr>
            <w:rFonts w:ascii="Arial" w:cs="Arial" w:eastAsia="Arial" w:hAnsi="Arial"/>
            <w:sz w:val="17"/>
            <w:szCs w:val="17"/>
            <w:u w:val="single" w:color="auto"/>
            <w:color w:val="0000EE"/>
          </w:rPr>
          <w:t>First Supplemental Indenture, dated as of December 19, 2017, between Kingstone Companies, Inc. and Wilmington Trust, National</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Association (incorporated by reference to Exhibit 4.2 to the Company’s Current Report on Form 8-K filed on December 20,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6" w:lineRule="exact"/>
        <w:rPr>
          <w:sz w:val="20"/>
          <w:szCs w:val="20"/>
          <w:color w:val="auto"/>
        </w:rPr>
      </w:pPr>
    </w:p>
    <w:p>
      <w:pPr>
        <w:jc w:val="both"/>
        <w:ind w:left="8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4(c)</w:t>
      </w:r>
      <w:r>
        <w:rPr>
          <w:sz w:val="20"/>
          <w:szCs w:val="20"/>
          <w:color w:val="auto"/>
        </w:rPr>
        <w:tab/>
      </w:r>
      <w:hyperlink r:id="rId98">
        <w:r>
          <w:rPr>
            <w:rFonts w:ascii="Arial" w:cs="Arial" w:eastAsia="Arial" w:hAnsi="Arial"/>
            <w:sz w:val="18"/>
            <w:szCs w:val="18"/>
            <w:u w:val="single" w:color="auto"/>
            <w:color w:val="0000EE"/>
          </w:rPr>
          <w:t>Form of Global Note representing $30,000,000 aggregate principal amount of 5.50% Senior Unsecured Notes due 2022 (incorporated by</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reference to Exhibit 4.3 to the Company’s Current Report on Form 8-K filed on December 20,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jc w:val="both"/>
        <w:ind w:left="8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10(a)</w:t>
      </w:r>
      <w:r>
        <w:rPr>
          <w:sz w:val="20"/>
          <w:szCs w:val="20"/>
          <w:color w:val="auto"/>
        </w:rPr>
        <w:tab/>
      </w:r>
      <w:hyperlink r:id="rId100">
        <w:r>
          <w:rPr>
            <w:rFonts w:ascii="Arial" w:cs="Arial" w:eastAsia="Arial" w:hAnsi="Arial"/>
            <w:sz w:val="18"/>
            <w:szCs w:val="18"/>
            <w:u w:val="single" w:color="auto"/>
            <w:color w:val="0000EE"/>
          </w:rPr>
          <w:t>Amended and Restated 2014 Equity Participation Plan (incorporated by reference to Exhibit 10.1 to the Company’s Current Report on Form 8-</w:t>
        </w:r>
      </w:hyperlink>
      <w:hyperlink r:id="rId100">
        <w:r>
          <w:rPr>
            <w:rFonts w:ascii="Arial" w:cs="Arial" w:eastAsia="Arial" w:hAnsi="Arial"/>
            <w:sz w:val="18"/>
            <w:szCs w:val="18"/>
            <w:u w:val="single" w:color="auto"/>
            <w:color w:val="0000EE"/>
          </w:rPr>
          <w:t>K filed on June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10(b)</w:t>
      </w:r>
      <w:r>
        <w:rPr>
          <w:sz w:val="20"/>
          <w:szCs w:val="20"/>
          <w:color w:val="auto"/>
        </w:rPr>
        <w:tab/>
      </w:r>
      <w:hyperlink r:id="rId102">
        <w:r>
          <w:rPr>
            <w:rFonts w:ascii="Arial" w:cs="Arial" w:eastAsia="Arial" w:hAnsi="Arial"/>
            <w:sz w:val="16"/>
            <w:szCs w:val="16"/>
            <w:u w:val="single" w:color="auto"/>
            <w:color w:val="0000EE"/>
          </w:rPr>
          <w:t>Second Amended and Restated Employment Agreement, dated October 14, 2019, by and between Kingstone Companies, Inc. and Barry 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 w:lineRule="exact"/>
        <w:rPr>
          <w:sz w:val="20"/>
          <w:szCs w:val="20"/>
          <w:color w:val="auto"/>
        </w:rPr>
      </w:pPr>
    </w:p>
    <w:p>
      <w:pPr>
        <w:ind w:left="880"/>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Goldstein (incorporated by reference to Exhibit 10.1 to the Company’s Current Report on Form 8-K filed on October 18, 2019).</w:t>
        </w:r>
      </w:hyperlink>
    </w:p>
    <w:p>
      <w:pPr>
        <w:spacing w:after="0" w:line="211" w:lineRule="exact"/>
        <w:rPr>
          <w:sz w:val="20"/>
          <w:szCs w:val="20"/>
          <w:color w:val="auto"/>
        </w:rPr>
      </w:pPr>
    </w:p>
    <w:p>
      <w:pPr>
        <w:jc w:val="both"/>
        <w:ind w:left="880" w:hanging="879"/>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10(c)</w:t>
      </w:r>
      <w:r>
        <w:rPr>
          <w:sz w:val="20"/>
          <w:szCs w:val="20"/>
          <w:color w:val="auto"/>
        </w:rPr>
        <w:tab/>
      </w:r>
      <w:hyperlink r:id="rId104">
        <w:r>
          <w:rPr>
            <w:rFonts w:ascii="Arial" w:cs="Arial" w:eastAsia="Arial" w:hAnsi="Arial"/>
            <w:sz w:val="18"/>
            <w:szCs w:val="18"/>
            <w:u w:val="single" w:color="auto"/>
            <w:color w:val="0000EE"/>
          </w:rPr>
          <w:t>Stock Grant Agreement, dated as of January 3, 2020, between Kingstone Companies, Inc. and Barry B. Goldstein (157,431 shares)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(incorporated by reference to Exhibit 10(c) to the Company’s Annual Report on Form 10-K for the year ended December 31, 2019 filed on</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March 16,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rFonts w:ascii="Arial" w:cs="Arial" w:eastAsia="Arial" w:hAnsi="Arial"/>
          <w:sz w:val="18"/>
          <w:szCs w:val="18"/>
          <w:u w:val="single" w:color="auto"/>
          <w:color w:val="0000EE"/>
        </w:rPr>
      </w:pPr>
    </w:p>
    <w:p>
      <w:pPr>
        <w:jc w:val="both"/>
        <w:ind w:left="880" w:right="20" w:hanging="879"/>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10(d)</w:t>
      </w:r>
      <w:r>
        <w:rPr>
          <w:sz w:val="20"/>
          <w:szCs w:val="20"/>
          <w:color w:val="auto"/>
        </w:rPr>
        <w:tab/>
      </w:r>
      <w:hyperlink r:id="rId106">
        <w:r>
          <w:rPr>
            <w:rFonts w:ascii="Arial" w:cs="Arial" w:eastAsia="Arial" w:hAnsi="Arial"/>
            <w:sz w:val="16"/>
            <w:szCs w:val="16"/>
            <w:u w:val="single" w:color="auto"/>
            <w:color w:val="0000EE"/>
          </w:rPr>
          <w:t>Stock Grant Agreement, dated as of January 3, 2020, between Kingstone Companies, Inc. and Barry B. Goldstein (17,191 shares) (incorporated</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by reference to Exhibit 10(d) to the Company’s Annual Report on Form 10-K for the year ended December 31, 2019 filed on March 16,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0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10(e)</w:t>
      </w:r>
      <w:r>
        <w:rPr>
          <w:sz w:val="20"/>
          <w:szCs w:val="20"/>
          <w:color w:val="auto"/>
        </w:rPr>
        <w:tab/>
      </w:r>
      <w:r>
        <w:rPr>
          <w:rFonts w:ascii="Arial" w:cs="Arial" w:eastAsia="Arial" w:hAnsi="Arial"/>
          <w:sz w:val="17"/>
          <w:szCs w:val="17"/>
          <w:color w:val="auto"/>
        </w:rPr>
        <w:t>Stock Grant Agreement, dated as of January 4, 2021, between Kingstone Companies, Inc. and Barry B. Goldstein (230,769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46" w:name="page47"/>
    <w:bookmarkEnd w:id="46"/>
    <w:p>
      <w:pPr>
        <w:spacing w:after="0"/>
        <w:tabs>
          <w:tab w:leader="none" w:pos="860" w:val="left"/>
        </w:tabs>
        <w:rPr>
          <w:sz w:val="20"/>
          <w:szCs w:val="20"/>
          <w:color w:val="auto"/>
        </w:rPr>
      </w:pPr>
      <w:r>
        <w:rPr>
          <w:rFonts w:ascii="Arial" w:cs="Arial" w:eastAsia="Arial" w:hAnsi="Arial"/>
          <w:sz w:val="17"/>
          <w:szCs w:val="17"/>
          <w:color w:val="auto"/>
        </w:rPr>
        <w:t>10(f)</w:t>
      </w:r>
      <w:r>
        <w:rPr>
          <w:sz w:val="20"/>
          <w:szCs w:val="20"/>
          <w:color w:val="auto"/>
        </w:rPr>
        <w:tab/>
      </w:r>
      <w:r>
        <w:rPr>
          <w:rFonts w:ascii="Arial" w:cs="Arial" w:eastAsia="Arial" w:hAnsi="Arial"/>
          <w:sz w:val="17"/>
          <w:szCs w:val="17"/>
          <w:color w:val="auto"/>
        </w:rPr>
        <w:t>Stock Grant Agreement, dated as of January 4, 2021, between Kingstone Companies, Inc. and Barry B. Goldstein (21,000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10(g)</w:t>
      </w:r>
      <w:r>
        <w:rPr>
          <w:sz w:val="20"/>
          <w:szCs w:val="20"/>
          <w:color w:val="auto"/>
        </w:rPr>
        <w:tab/>
      </w:r>
      <w:r>
        <w:rPr>
          <w:rFonts w:ascii="Arial" w:cs="Arial" w:eastAsia="Arial" w:hAnsi="Arial"/>
          <w:sz w:val="18"/>
          <w:szCs w:val="18"/>
          <w:color w:val="auto"/>
        </w:rPr>
        <w:t>Stock Grant Agreement, dated as of January 3, 2022, between Kingstone Companies, Inc. and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00" w:hanging="899"/>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10(h)</w:t>
      </w:r>
      <w:r>
        <w:rPr>
          <w:sz w:val="20"/>
          <w:szCs w:val="20"/>
          <w:color w:val="auto"/>
        </w:rPr>
        <w:tab/>
      </w:r>
      <w:hyperlink r:id="rId112">
        <w:r>
          <w:rPr>
            <w:rFonts w:ascii="Arial" w:cs="Arial" w:eastAsia="Arial" w:hAnsi="Arial"/>
            <w:sz w:val="18"/>
            <w:szCs w:val="18"/>
            <w:u w:val="single" w:color="auto"/>
            <w:color w:val="0000EE"/>
          </w:rPr>
          <w:t>Employment Agreement, dated as of August 27, 2019, by and between Kingstone Companies, Inc. and Meryl S. Golden (incorporated by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reference to Exhibit 99.1 to the Company’s Current Report on Form 8-K filed on September 17,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Stock Grant Agreement, dated as of January 4, 2021, between Kingstone Companies, Inc. and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10(j)</w:t>
      </w:r>
      <w:r>
        <w:rPr>
          <w:sz w:val="20"/>
          <w:szCs w:val="20"/>
          <w:color w:val="auto"/>
        </w:rPr>
        <w:tab/>
      </w:r>
      <w:r>
        <w:rPr>
          <w:rFonts w:ascii="Arial" w:cs="Arial" w:eastAsia="Arial" w:hAnsi="Arial"/>
          <w:sz w:val="18"/>
          <w:szCs w:val="18"/>
          <w:color w:val="auto"/>
        </w:rPr>
        <w:t>Stock Grant Agreement, dated as of January 3, 2022, between Kingstone Companies, Inc. and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00" w:hanging="899"/>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10(k)</w:t>
      </w:r>
      <w:r>
        <w:rPr>
          <w:sz w:val="20"/>
          <w:szCs w:val="20"/>
          <w:color w:val="auto"/>
        </w:rPr>
        <w:tab/>
      </w:r>
      <w:hyperlink r:id="rId116">
        <w:r>
          <w:rPr>
            <w:rFonts w:ascii="Arial" w:cs="Arial" w:eastAsia="Arial" w:hAnsi="Arial"/>
            <w:sz w:val="18"/>
            <w:szCs w:val="18"/>
            <w:u w:val="single" w:color="auto"/>
            <w:color w:val="0000EE"/>
          </w:rPr>
          <w:t>Deferred Compensation Plan, dated as of June 18, 2018 (incorporated by reference to Exhibit 10.1 to the Company’s Current Report on Form</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8-K filed on June 20,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900" w:hanging="892"/>
        <w:spacing w:after="0" w:line="277" w:lineRule="auto"/>
        <w:tabs>
          <w:tab w:leader="none" w:pos="900" w:val="left"/>
        </w:tabs>
        <w:numPr>
          <w:ilvl w:val="0"/>
          <w:numId w:val="30"/>
        </w:numPr>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Subsidiaries (incorporated by reference to Exhibit 21 to the Company’s Annual Report on Form 10-K for the year ended December 31, 2016</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filed on March 16,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rFonts w:ascii="Arial" w:cs="Arial" w:eastAsia="Arial" w:hAnsi="Arial"/>
          <w:sz w:val="18"/>
          <w:szCs w:val="18"/>
          <w:u w:val="single" w:color="auto"/>
          <w:color w:val="0000EE"/>
        </w:rPr>
      </w:pPr>
    </w:p>
    <w:p>
      <w:pPr>
        <w:spacing w:after="0"/>
        <w:tabs>
          <w:tab w:leader="none" w:pos="8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23</w:t>
      </w:r>
      <w:r>
        <w:rPr>
          <w:sz w:val="20"/>
          <w:szCs w:val="20"/>
          <w:color w:val="auto"/>
        </w:rPr>
        <w:tab/>
      </w:r>
      <w:hyperlink w:anchor="page96">
        <w:r>
          <w:rPr>
            <w:rFonts w:ascii="Arial" w:cs="Arial" w:eastAsia="Arial" w:hAnsi="Arial"/>
            <w:sz w:val="18"/>
            <w:szCs w:val="18"/>
            <w:u w:val="single" w:color="auto"/>
            <w:color w:val="0000EE"/>
          </w:rPr>
          <w:t>Consent of Marcum LLP.*</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31(a)</w:t>
      </w:r>
      <w:r>
        <w:rPr>
          <w:sz w:val="20"/>
          <w:szCs w:val="20"/>
          <w:color w:val="auto"/>
        </w:rPr>
        <w:tab/>
      </w:r>
      <w:hyperlink w:anchor="page83">
        <w:r>
          <w:rPr>
            <w:rFonts w:ascii="Arial" w:cs="Arial" w:eastAsia="Arial" w:hAnsi="Arial"/>
            <w:sz w:val="16"/>
            <w:szCs w:val="16"/>
            <w:u w:val="single" w:color="auto"/>
            <w:color w:val="0000EE"/>
          </w:rPr>
          <w:t>Rule 13a-14(a)/15d-14(a) Certification of Chief Executive Officer as Adopted Pursuant to Section 302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rFonts w:ascii="Arial" w:cs="Arial" w:eastAsia="Arial" w:hAnsi="Arial"/>
          <w:sz w:val="18"/>
          <w:szCs w:val="18"/>
          <w:u w:val="single" w:color="auto"/>
          <w:color w:val="0000EE"/>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31(b)</w:t>
      </w:r>
      <w:r>
        <w:rPr>
          <w:sz w:val="20"/>
          <w:szCs w:val="20"/>
          <w:color w:val="auto"/>
        </w:rPr>
        <w:tab/>
      </w:r>
      <w:hyperlink w:anchor="page84">
        <w:r>
          <w:rPr>
            <w:rFonts w:ascii="Arial" w:cs="Arial" w:eastAsia="Arial" w:hAnsi="Arial"/>
            <w:sz w:val="16"/>
            <w:szCs w:val="16"/>
            <w:u w:val="single" w:color="auto"/>
            <w:color w:val="0000EE"/>
          </w:rPr>
          <w:t>Rule 13a-14(a)/15d-14(a) Certification of Principal Financial Officer as Adopted Pursuant to Section 302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rFonts w:ascii="Arial" w:cs="Arial" w:eastAsia="Arial" w:hAnsi="Arial"/>
          <w:sz w:val="18"/>
          <w:szCs w:val="18"/>
          <w:u w:val="single" w:color="auto"/>
          <w:color w:val="0000EE"/>
        </w:rPr>
      </w:pPr>
    </w:p>
    <w:p>
      <w:pPr>
        <w:ind w:left="900" w:hanging="892"/>
        <w:spacing w:after="0" w:line="277" w:lineRule="auto"/>
        <w:tabs>
          <w:tab w:leader="none" w:pos="900" w:val="left"/>
        </w:tabs>
        <w:numPr>
          <w:ilvl w:val="0"/>
          <w:numId w:val="31"/>
        </w:numPr>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Certification of Chief Executive Officer and Principal Financial Officer Pursuant to 18 U.S.C. Section 1350, as Adopted Pursuant to Section</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101.SCH XBRL Taxonomy Extension Schema.*</w:t>
            </w:r>
          </w:p>
        </w:tc>
      </w:tr>
      <w:tr>
        <w:trPr>
          <w:trHeight w:val="216"/>
        </w:trPr>
        <w:tc>
          <w:tcPr>
            <w:tcW w:w="8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101.CAL XBRL Taxonomy Extension Calculation Linkbase.*</w:t>
            </w:r>
          </w:p>
        </w:tc>
      </w:tr>
      <w:tr>
        <w:trPr>
          <w:trHeight w:val="216"/>
        </w:trPr>
        <w:tc>
          <w:tcPr>
            <w:tcW w:w="8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101.DEF XBRL Taxonomy Extension Definition Linkbase.*</w:t>
            </w:r>
          </w:p>
        </w:tc>
      </w:tr>
      <w:tr>
        <w:trPr>
          <w:trHeight w:val="216"/>
        </w:trPr>
        <w:tc>
          <w:tcPr>
            <w:tcW w:w="8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101.LAB XBRL Taxonomy Extension Label Linkbase.*</w:t>
            </w:r>
          </w:p>
        </w:tc>
      </w:tr>
      <w:tr>
        <w:trPr>
          <w:trHeight w:val="216"/>
        </w:trPr>
        <w:tc>
          <w:tcPr>
            <w:tcW w:w="8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101.PRE XBRL Taxonomy Extension Presentation Linkbase.*</w:t>
            </w:r>
          </w:p>
        </w:tc>
      </w:tr>
    </w:tbl>
    <w:p>
      <w:pPr>
        <w:spacing w:after="0" w:line="20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**Furnished herewith</w:t>
      </w:r>
    </w:p>
    <w:p>
      <w:pPr>
        <w:spacing w:after="0" w:line="20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2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rFonts w:ascii="Arial" w:cs="Arial" w:eastAsia="Arial" w:hAnsi="Arial"/>
          <w:sz w:val="18"/>
          <w:szCs w:val="18"/>
          <w:u w:val="single" w:color="auto"/>
          <w:color w:val="0000EE"/>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rFonts w:ascii="Arial" w:cs="Arial" w:eastAsia="Arial" w:hAnsi="Arial"/>
          <w:sz w:val="18"/>
          <w:szCs w:val="18"/>
          <w:u w:val="single" w:color="auto"/>
          <w:color w:val="0000EE"/>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6340" w:type="dxa"/>
            <w:vAlign w:val="bottom"/>
            <w:gridSpan w:val="2"/>
          </w:tcPr>
          <w:p>
            <w:pPr>
              <w:ind w:left="2080"/>
              <w:spacing w:after="0"/>
              <w:rPr>
                <w:sz w:val="20"/>
                <w:szCs w:val="20"/>
                <w:color w:val="auto"/>
              </w:rPr>
            </w:pPr>
            <w:r>
              <w:rPr>
                <w:rFonts w:ascii="Arial" w:cs="Arial" w:eastAsia="Arial" w:hAnsi="Arial"/>
                <w:sz w:val="18"/>
                <w:szCs w:val="18"/>
                <w:b w:val="1"/>
                <w:bCs w:val="1"/>
                <w:color w:val="auto"/>
              </w:rPr>
              <w:t>KINGSTONE COMPANIES,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April 1, 2022</w:t>
            </w:r>
          </w:p>
        </w:tc>
        <w:tc>
          <w:tcPr>
            <w:tcW w:w="6340" w:type="dxa"/>
            <w:vAlign w:val="bottom"/>
            <w:gridSpan w:val="2"/>
          </w:tcPr>
          <w:p>
            <w:pPr>
              <w:ind w:left="2080"/>
              <w:spacing w:after="0"/>
              <w:rPr>
                <w:sz w:val="20"/>
                <w:szCs w:val="20"/>
                <w:color w:val="auto"/>
              </w:rPr>
            </w:pPr>
            <w:r>
              <w:rPr>
                <w:rFonts w:ascii="Arial" w:cs="Arial" w:eastAsia="Arial" w:hAnsi="Arial"/>
                <w:sz w:val="18"/>
                <w:szCs w:val="18"/>
                <w:color w:val="auto"/>
              </w:rPr>
              <w:t>By: /s/ Barry B. Goldstein</w:t>
            </w:r>
          </w:p>
        </w:tc>
      </w:tr>
      <w:tr>
        <w:trPr>
          <w:trHeight w:val="195"/>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rFonts w:ascii="Arial" w:cs="Arial" w:eastAsia="Arial" w:hAnsi="Arial"/>
          <w:sz w:val="18"/>
          <w:szCs w:val="18"/>
          <w:u w:val="single" w:color="auto"/>
          <w:color w:val="0000EE"/>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Signature</w:t>
            </w:r>
          </w:p>
        </w:tc>
        <w:tc>
          <w:tcPr>
            <w:tcW w:w="540" w:type="dxa"/>
            <w:vAlign w:val="bottom"/>
          </w:tcPr>
          <w:p>
            <w:pPr>
              <w:spacing w:after="0"/>
              <w:rPr>
                <w:sz w:val="20"/>
                <w:szCs w:val="20"/>
                <w:color w:val="auto"/>
              </w:rPr>
            </w:pPr>
          </w:p>
        </w:tc>
        <w:tc>
          <w:tcPr>
            <w:tcW w:w="454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Capacity</w:t>
            </w:r>
          </w:p>
        </w:tc>
        <w:tc>
          <w:tcPr>
            <w:tcW w:w="540" w:type="dxa"/>
            <w:vAlign w:val="bottom"/>
          </w:tcPr>
          <w:p>
            <w:pPr>
              <w:spacing w:after="0"/>
              <w:rPr>
                <w:sz w:val="20"/>
                <w:szCs w:val="20"/>
                <w:color w:val="auto"/>
              </w:rPr>
            </w:pPr>
          </w:p>
        </w:tc>
        <w:tc>
          <w:tcPr>
            <w:tcW w:w="16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r>
      <w:tr>
        <w:trPr>
          <w:trHeight w:val="426"/>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c>
          <w:tcPr>
            <w:tcW w:w="54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Executive Officer, President</w:t>
            </w:r>
          </w:p>
        </w:tc>
        <w:tc>
          <w:tcPr>
            <w:tcW w:w="54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Barry B. Goldstein</w:t>
            </w:r>
          </w:p>
        </w:tc>
        <w:tc>
          <w:tcPr>
            <w:tcW w:w="54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and Executive Chairman of the Board</w:t>
            </w:r>
          </w:p>
        </w:tc>
        <w:tc>
          <w:tcPr>
            <w:tcW w:w="5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c>
          <w:tcPr>
            <w:tcW w:w="54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Chief Accounting Officer (Principal Financial</w:t>
            </w:r>
          </w:p>
        </w:tc>
        <w:tc>
          <w:tcPr>
            <w:tcW w:w="54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April 1, 2022</w:t>
            </w:r>
          </w:p>
        </w:tc>
      </w:tr>
    </w:tbl>
    <w:p>
      <w:pPr>
        <w:sectPr>
          <w:pgSz w:w="11900" w:h="16838" w:orient="portrait"/>
          <w:cols w:equalWidth="0" w:num="1">
            <w:col w:w="11240"/>
          </w:cols>
          <w:pgMar w:left="320" w:top="341" w:right="339" w:bottom="0" w:gutter="0" w:footer="0" w:header="0"/>
        </w:sectPr>
      </w:pPr>
    </w:p>
    <w:bookmarkStart w:id="47" w:name="page48"/>
    <w:bookmarkEnd w:id="4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Richard Swartz</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Officer and Principal Accounting Officer)</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Meryl S. Golden</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Chief Operating Officer and Director</w:t>
            </w:r>
          </w:p>
        </w:tc>
        <w:tc>
          <w:tcPr>
            <w:tcW w:w="2260" w:type="dxa"/>
            <w:vAlign w:val="bottom"/>
            <w:gridSpan w:val="3"/>
          </w:tcPr>
          <w:p>
            <w:pPr>
              <w:ind w:left="580"/>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Meryl S. Golden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Floyd R. Tupper</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580"/>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Floyd R. Tupper</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L. Yankus</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580"/>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William L. Yankus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Carla A. D’Andre</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580"/>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Carla A. D’Andre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Timothy P. McFadden</w:t>
            </w:r>
          </w:p>
        </w:tc>
        <w:tc>
          <w:tcPr>
            <w:tcW w:w="5040" w:type="dxa"/>
            <w:vAlign w:val="bottom"/>
            <w:gridSpan w:val="5"/>
          </w:tcPr>
          <w:p>
            <w:pPr>
              <w:ind w:left="560"/>
              <w:spacing w:after="0"/>
              <w:rPr>
                <w:sz w:val="20"/>
                <w:szCs w:val="20"/>
                <w:color w:val="auto"/>
              </w:rPr>
            </w:pPr>
            <w:r>
              <w:rPr>
                <w:rFonts w:ascii="Arial" w:cs="Arial" w:eastAsia="Arial" w:hAnsi="Arial"/>
                <w:sz w:val="18"/>
                <w:szCs w:val="18"/>
                <w:color w:val="auto"/>
              </w:rPr>
              <w:t>Director</w:t>
            </w:r>
          </w:p>
        </w:tc>
        <w:tc>
          <w:tcPr>
            <w:tcW w:w="2260" w:type="dxa"/>
            <w:vAlign w:val="bottom"/>
            <w:gridSpan w:val="3"/>
          </w:tcPr>
          <w:p>
            <w:pPr>
              <w:ind w:left="580"/>
              <w:spacing w:after="0"/>
              <w:rPr>
                <w:sz w:val="20"/>
                <w:szCs w:val="20"/>
                <w:color w:val="auto"/>
              </w:rPr>
            </w:pPr>
            <w:r>
              <w:rPr>
                <w:rFonts w:ascii="Arial" w:cs="Arial" w:eastAsia="Arial" w:hAnsi="Arial"/>
                <w:sz w:val="18"/>
                <w:szCs w:val="18"/>
                <w:color w:val="auto"/>
              </w:rPr>
              <w:t>April 1,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Timothy P. McFadden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4"/>
        </w:trPr>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9"/>
              </w:rPr>
              <w:t>76</w:t>
            </w:r>
          </w:p>
        </w:tc>
        <w:tc>
          <w:tcPr>
            <w:tcW w:w="6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844"/>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40" w:type="dxa"/>
            <w:vAlign w:val="bottom"/>
            <w:gridSpan w:val="5"/>
          </w:tcPr>
          <w:p>
            <w:pPr>
              <w:jc w:val="center"/>
              <w:ind w:right="168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c>
          <w:tcPr>
            <w:tcW w:w="100" w:type="dxa"/>
            <w:vAlign w:val="bottom"/>
          </w:tcPr>
          <w:p>
            <w:pPr>
              <w:spacing w:after="0"/>
              <w:rPr>
                <w:sz w:val="24"/>
                <w:szCs w:val="24"/>
                <w:color w:val="auto"/>
              </w:rPr>
            </w:pPr>
          </w:p>
        </w:tc>
      </w:tr>
      <w:tr>
        <w:trPr>
          <w:trHeight w:val="189"/>
        </w:trPr>
        <w:tc>
          <w:tcPr>
            <w:tcW w:w="8980" w:type="dxa"/>
            <w:vAlign w:val="bottom"/>
            <w:gridSpan w:val="8"/>
            <w:shd w:val="clear" w:color="auto" w:fill="CCEEFF"/>
          </w:tcPr>
          <w:p>
            <w:pPr>
              <w:spacing w:after="0" w:line="169" w:lineRule="exact"/>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 (PCAOB - 688)</w:t>
              </w:r>
            </w:hyperlink>
          </w:p>
        </w:tc>
        <w:tc>
          <w:tcPr>
            <w:tcW w:w="1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40"/>
              <w:spacing w:after="0" w:line="169" w:lineRule="exact"/>
              <w:rPr>
                <w:sz w:val="20"/>
                <w:szCs w:val="20"/>
                <w:color w:val="auto"/>
              </w:rPr>
            </w:pPr>
            <w:r>
              <w:rPr>
                <w:rFonts w:ascii="Arial" w:cs="Arial" w:eastAsia="Arial" w:hAnsi="Arial"/>
                <w:sz w:val="18"/>
                <w:szCs w:val="18"/>
                <w:color w:val="auto"/>
              </w:rPr>
              <w:t>F-2</w:t>
            </w:r>
          </w:p>
        </w:tc>
      </w:tr>
      <w:tr>
        <w:trPr>
          <w:trHeight w:val="176"/>
        </w:trPr>
        <w:tc>
          <w:tcPr>
            <w:tcW w:w="54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2021 and 2020</w:t>
              </w:r>
            </w:hyperlink>
          </w:p>
        </w:tc>
        <w:tc>
          <w:tcPr>
            <w:tcW w:w="3580" w:type="dxa"/>
            <w:vAlign w:val="bottom"/>
            <w:tcBorders>
              <w:top w:val="single" w:sz="8" w:color="CCEEFF"/>
            </w:tcBorders>
            <w:gridSpan w:val="3"/>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F-4</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8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Operations and Comprehensive Income (Loss) for the years ended December 31, 2021 and 2020</w:t>
              </w:r>
            </w:hyperlink>
          </w:p>
        </w:tc>
        <w:tc>
          <w:tcPr>
            <w:tcW w:w="1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F-5</w:t>
            </w:r>
          </w:p>
        </w:tc>
      </w:tr>
      <w:tr>
        <w:trPr>
          <w:trHeight w:val="175"/>
        </w:trPr>
        <w:tc>
          <w:tcPr>
            <w:tcW w:w="8980" w:type="dxa"/>
            <w:vAlign w:val="bottom"/>
            <w:tcBorders>
              <w:top w:val="single" w:sz="8" w:color="CCEEFF"/>
            </w:tcBorders>
            <w:gridSpan w:val="8"/>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Stockholders’ Equity for the years ended December 31, 2021 and 2020</w:t>
              </w:r>
            </w:hyperlink>
          </w:p>
        </w:tc>
        <w:tc>
          <w:tcPr>
            <w:tcW w:w="116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F-6</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980" w:type="dxa"/>
            <w:vAlign w:val="bottom"/>
            <w:gridSpan w:val="8"/>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years ended December 31, 2021 and 2020</w:t>
              </w:r>
            </w:hyperlink>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F-7</w:t>
            </w:r>
          </w:p>
        </w:tc>
      </w:tr>
      <w:tr>
        <w:trPr>
          <w:trHeight w:val="176"/>
        </w:trPr>
        <w:tc>
          <w:tcPr>
            <w:tcW w:w="39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7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84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F-8</w:t>
            </w:r>
          </w:p>
        </w:tc>
      </w:tr>
      <w:tr>
        <w:trPr>
          <w:trHeight w:val="668"/>
        </w:trPr>
        <w:tc>
          <w:tcPr>
            <w:tcW w:w="128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3140"/>
              <w:spacing w:after="0"/>
              <w:rPr>
                <w:sz w:val="20"/>
                <w:szCs w:val="20"/>
                <w:color w:val="auto"/>
              </w:rPr>
            </w:pPr>
            <w:r>
              <w:rPr>
                <w:rFonts w:ascii="Arial" w:cs="Arial" w:eastAsia="Arial" w:hAnsi="Arial"/>
                <w:sz w:val="18"/>
                <w:szCs w:val="18"/>
                <w:color w:val="auto"/>
                <w:w w:val="88"/>
              </w:rPr>
              <w:t>F-1</w:t>
            </w: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26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Kingstone Companies,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Kingstone Companies, Inc. (the “Company”) as of December 31, 2021 and 2020, the related consolidated statements of operations and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sectPr>
          <w:pgSz w:w="11900" w:h="16851" w:orient="portrait"/>
          <w:cols w:equalWidth="0" w:num="1">
            <w:col w:w="11240"/>
          </w:cols>
          <w:pgMar w:left="320" w:top="125" w:right="339" w:bottom="0" w:gutter="0" w:footer="0" w:header="0"/>
        </w:sectPr>
      </w:pPr>
    </w:p>
    <w:bookmarkStart w:id="48" w:name="page49"/>
    <w:bookmarkEnd w:id="4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the Estimate of Loss and Loss Adjustment Expense (“LAE”) Reserves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2021, the Company’s loss and LAE reserves balance was approximately $94.9 million.</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Due to the significance of the reserves to the Company’s financial statements and the inherent judgment necessary to estimate reserves, we determined that the liability for loss and LAE reserves was a critical audit matter, which required significant auditor judgment and specialized skill and knowledge.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primary procedures we performed to address the Company’s loss and LAE reserves included, but were not limited to, testing the Company’s reserving process, including the actuarial analyses and the determination of the Company’s estimate of the loss and LAE reserves as follows:</w:t>
      </w:r>
    </w:p>
    <w:p>
      <w:pPr>
        <w:spacing w:after="0" w:line="146" w:lineRule="exact"/>
        <w:rPr>
          <w:sz w:val="20"/>
          <w:szCs w:val="20"/>
          <w:color w:val="auto"/>
        </w:rPr>
      </w:pPr>
    </w:p>
    <w:p>
      <w:pPr>
        <w:ind w:left="920" w:hanging="467"/>
        <w:spacing w:after="0" w:line="263"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Utilizing consulting actuarial professionals with specialized skills and knowledge to analyze the appropriateness of the methodologies utilized by the Company to estimate reserves and to determine the reasonableness of the gross and net loss and LAE reserves recorded by the Company as of December 31, 2021.</w:t>
      </w:r>
    </w:p>
    <w:p>
      <w:pPr>
        <w:spacing w:after="0" w:line="183" w:lineRule="exact"/>
        <w:rPr>
          <w:rFonts w:ascii="Arial" w:cs="Arial" w:eastAsia="Arial" w:hAnsi="Arial"/>
          <w:sz w:val="18"/>
          <w:szCs w:val="18"/>
          <w:color w:val="auto"/>
        </w:rPr>
      </w:pPr>
    </w:p>
    <w:p>
      <w:pPr>
        <w:ind w:left="920" w:right="180" w:hanging="467"/>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consulting actuarial professionals also analyze the approach, methodology, assumptions, and ultimate losses and LAE documented in the actuarial reports prepared by the independent actuarial firm engaged by the Company.</w:t>
      </w:r>
    </w:p>
    <w:p>
      <w:pPr>
        <w:spacing w:after="0" w:line="170" w:lineRule="exact"/>
        <w:rPr>
          <w:rFonts w:ascii="Arial" w:cs="Arial" w:eastAsia="Arial" w:hAnsi="Arial"/>
          <w:sz w:val="18"/>
          <w:szCs w:val="18"/>
          <w:color w:val="auto"/>
        </w:rPr>
      </w:pPr>
    </w:p>
    <w:p>
      <w:pPr>
        <w:ind w:left="920" w:right="700" w:hanging="467"/>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Analyzing the consistency of the Company’s recorded reserves relative to the central estimates of the reserve range determined by the Company’s independent actuarial firm at December 31, 2021 in comparison to December 31, 2020.</w:t>
      </w:r>
    </w:p>
    <w:p>
      <w:pPr>
        <w:spacing w:after="0" w:line="170" w:lineRule="exact"/>
        <w:rPr>
          <w:rFonts w:ascii="Arial" w:cs="Arial" w:eastAsia="Arial" w:hAnsi="Arial"/>
          <w:sz w:val="18"/>
          <w:szCs w:val="18"/>
          <w:color w:val="auto"/>
        </w:rPr>
      </w:pPr>
    </w:p>
    <w:p>
      <w:pPr>
        <w:ind w:left="920" w:right="340" w:hanging="467"/>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Performing hindsight analysis to determine the completeness and accuracy of reserves recorded in the prior year and performing analytical procedures on current year reserves.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Analyzing the 2021 quarterly actuarial reports prepared by the Company’s Chief Actuary.</w:t>
      </w:r>
    </w:p>
    <w:p>
      <w:pPr>
        <w:spacing w:after="0" w:line="225" w:lineRule="exact"/>
        <w:rPr>
          <w:rFonts w:ascii="Arial" w:cs="Arial" w:eastAsia="Arial" w:hAnsi="Arial"/>
          <w:sz w:val="18"/>
          <w:szCs w:val="18"/>
          <w:color w:val="auto"/>
        </w:rPr>
      </w:pPr>
    </w:p>
    <w:p>
      <w:pPr>
        <w:ind w:left="920" w:right="60" w:hanging="467"/>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Analyzing the 2021 quarterly reports on claims quality assurance prepared by the Company’s external claims consultant and the December 31, 2021 reports on unpaid claim liabilities prepared by the independent actuarial firm engaged by the Company.</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Testing the claims handling process, including the establishment of individual case reserves and the settlement of claims.</w:t>
      </w:r>
    </w:p>
    <w:p>
      <w:pPr>
        <w:spacing w:after="0" w:line="225" w:lineRule="exact"/>
        <w:rPr>
          <w:rFonts w:ascii="Arial" w:cs="Arial" w:eastAsia="Arial" w:hAnsi="Arial"/>
          <w:sz w:val="18"/>
          <w:szCs w:val="18"/>
          <w:color w:val="auto"/>
        </w:rPr>
      </w:pPr>
    </w:p>
    <w:p>
      <w:pPr>
        <w:ind w:left="920" w:right="280" w:hanging="467"/>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Verifying the accuracy and completeness of the data provided to the independent actuarial firm engaged by the Company for the purpose of preparing the actuarial report at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20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220" w:type="dxa"/>
            <w:vAlign w:val="bottom"/>
            <w:tcBorders>
              <w:top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w w:val="99"/>
              </w:rPr>
              <w:t>December 31,</w:t>
            </w:r>
          </w:p>
        </w:tc>
      </w:tr>
      <w:tr>
        <w:trPr>
          <w:trHeight w:val="234"/>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8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Fixed-maturity securities, held-to-maturity, at amortized cost (fair value of $8,753,159 at December 31, 2021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$8,194,824 at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7,368,815</w:t>
            </w:r>
          </w:p>
        </w:tc>
      </w:tr>
      <w:tr>
        <w:trPr>
          <w:trHeight w:val="202"/>
        </w:trPr>
        <w:tc>
          <w:tcPr>
            <w:tcW w:w="8600" w:type="dxa"/>
            <w:vAlign w:val="bottom"/>
          </w:tcPr>
          <w:p>
            <w:pPr>
              <w:ind w:left="220"/>
              <w:spacing w:after="0" w:line="201" w:lineRule="exact"/>
              <w:rPr>
                <w:sz w:val="20"/>
                <w:szCs w:val="20"/>
                <w:color w:val="auto"/>
              </w:rPr>
            </w:pPr>
            <w:r>
              <w:rPr>
                <w:rFonts w:ascii="Arial" w:cs="Arial" w:eastAsia="Arial" w:hAnsi="Arial"/>
                <w:sz w:val="18"/>
                <w:szCs w:val="18"/>
                <w:color w:val="auto"/>
                <w:w w:val="93"/>
              </w:rPr>
              <w:t>Fixed-maturity securities, available-for-sale, at fair value (amortized cost of $155,808,478 at December 31, 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and $145,045,584 at 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158,080,110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Equity securities, at fair value (cost of $37,470,669 at December 31, 2021 and $32,571,166 at December 31, 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7,561,415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3,518,626</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213,594,861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202,850,026</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22,238,987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20,142,515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76"/>
        </w:trPr>
        <w:tc>
          <w:tcPr>
            <w:tcW w:w="8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557" w:right="3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9,291,597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8,083,123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192,253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8,593,205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9,262,493</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331,312,275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317,582,267</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94,948,745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82,801,228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97,759,607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90,009,272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2,693,466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2,660,354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9,748,508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93,519</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7,704,396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8,433,233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4,156,913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Debt,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29,823,791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29,647,611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255,640,081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224,781,865</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Preferred stock, $0.01 par value; authorized 2,500,000 shares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$0.01 par value; authorized 20,000,000 shares; issued 11,955,660 shares at December 31, 2021 and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11,871,307 shares at December 31, 2020; outstanding 10,484,254 shares at December 31, 2021 and 10,616,815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at December 31, 2020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119,557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72,467,483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70,769,165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1,796,739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9,880,062</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6,855,896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15,928,345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81,239,675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96,696,285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w w:val="96"/>
              </w:rPr>
              <w:t>Treasury stock, at cost, 1,471,406 shares at December 31, 2021 and 1,254,492 shares at December 31, 2020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(3,895,883)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75,672,194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92,800,402</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331,312,275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317,582,267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68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r>
      <w:tr>
        <w:trPr>
          <w:trHeight w:val="425"/>
        </w:trPr>
        <w:tc>
          <w:tcPr>
            <w:tcW w:w="87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143,881,719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108,080,629</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89,681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14,202,353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6,621,392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6,505,603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gains on investments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9,786,955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1,590,616</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851,494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990,550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161,231,241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131,369,751</w:t>
            </w:r>
          </w:p>
        </w:tc>
      </w:tr>
      <w:tr>
        <w:trPr>
          <w:trHeight w:val="210"/>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101,972,596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66,431,072</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33,114,103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31,828,174</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26,254,143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25,424,779</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4,183,211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4,282,773</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3,290,445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2,864,583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1,826,180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1,826,180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170,640,678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132,657,561</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before taxes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(9,409,437)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(1,287,810)</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(2,031,136)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(2,260,200)</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(7,378,301)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972,390</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Gross change in unrealized (losses) gains on available-for-sale-securities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(5,111,234)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7,148,205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for gains included in net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(5,120,822)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(678,343)</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620"/>
              <w:spacing w:after="0"/>
              <w:rPr>
                <w:sz w:val="20"/>
                <w:szCs w:val="20"/>
                <w:color w:val="auto"/>
              </w:rPr>
            </w:pPr>
            <w:r>
              <w:rPr>
                <w:rFonts w:ascii="Arial" w:cs="Arial" w:eastAsia="Arial" w:hAnsi="Arial"/>
                <w:sz w:val="18"/>
                <w:szCs w:val="18"/>
                <w:color w:val="auto"/>
              </w:rPr>
              <w:t>Net change in unrealized (losses) gains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(10,232,056)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6,469,862</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(expense) related to items of other comprehensive (loss)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2,148,733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(1,358,670)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(8,083,323)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5,111,192</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Comprehensive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(15,461,624)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6,083,582</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40" w:right="3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700" w:type="dxa"/>
            <w:vAlign w:val="bottom"/>
          </w:tcPr>
          <w:p>
            <w:pPr>
              <w:ind w:left="22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(0.70)</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10,587,912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10,721,342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700" w:type="dxa"/>
            <w:vAlign w:val="bottom"/>
          </w:tcPr>
          <w:p>
            <w:pPr>
              <w:ind w:left="22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10,587,912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10,730,737</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0.1825</w:t>
            </w:r>
          </w:p>
        </w:tc>
      </w:tr>
      <w:tr>
        <w:trPr>
          <w:trHeight w:val="20"/>
        </w:trPr>
        <w:tc>
          <w:tcPr>
            <w:tcW w:w="8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89"/>
              </w:rPr>
              <w:t>Preferred Stock</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vMerge w:val="restart"/>
          </w:tcPr>
          <w:p>
            <w:pPr>
              <w:jc w:val="right"/>
              <w:ind w:right="500"/>
              <w:spacing w:after="0"/>
              <w:rPr>
                <w:sz w:val="20"/>
                <w:szCs w:val="20"/>
                <w:color w:val="auto"/>
              </w:rPr>
            </w:pPr>
            <w:r>
              <w:rPr>
                <w:rFonts w:ascii="Arial" w:cs="Arial" w:eastAsia="Arial" w:hAnsi="Arial"/>
                <w:sz w:val="18"/>
                <w:szCs w:val="18"/>
                <w:b w:val="1"/>
                <w:bCs w:val="1"/>
                <w:color w:val="auto"/>
              </w:rPr>
              <w:t>Treasury Stock</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20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2020" w:type="dxa"/>
            <w:vAlign w:val="bottom"/>
            <w:gridSpan w:val="4"/>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 Par</w:t>
            </w: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(Loss)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Earnings</w:t>
            </w: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Balance, January</w:t>
            </w: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1, 2020</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11,824,889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$ 118,248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$ 69,133,918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4,768,870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16,913,097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1,027,439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(2,712,552)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88,221,581</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compensation</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1,769,649</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1,769,649</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7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67,686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w w:val="96"/>
              </w:rPr>
              <w:t>Shares deducted</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from restricted</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stock awards for</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payment of</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withholding</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(21,268)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(133,726)</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(133,937)</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7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227,053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(1,183,331)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(1,183,331)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(1,957,142)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(1,957,142)</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972,390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972,390</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unrealized gains</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on available-for-</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sale securities,</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5,111,192</w:t>
            </w:r>
          </w:p>
        </w:tc>
        <w:tc>
          <w:tcPr>
            <w:tcW w:w="1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5,111,192</w:t>
            </w: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net of tax</w:t>
            </w:r>
          </w:p>
        </w:tc>
        <w:tc>
          <w:tcPr>
            <w:tcW w:w="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7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11,871,307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70,769,165</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9,880,062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15,928,345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1,254,492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(3,895,883)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92,800,402</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compensation</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1,904,935</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1,904,935</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7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114,432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w w:val="96"/>
              </w:rPr>
              <w:t>Shares deducted</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from restricted</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stock awards for</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payment of</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withholding</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taxes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(30,079)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(205,473)</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(205,773)</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7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216,914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(1,671,598)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(1,671,598)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(1,694,148)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(1,694,148)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(7,378,301)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(7,378,301)</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4"/>
              </w:rPr>
              <w:t>unrealized losses</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on available-for-</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sale securities,</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(8,083,323)</w:t>
            </w:r>
          </w:p>
        </w:tc>
        <w:tc>
          <w:tcPr>
            <w:tcW w:w="1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(8,083,323)</w:t>
            </w:r>
          </w:p>
        </w:tc>
        <w:tc>
          <w:tcPr>
            <w:tcW w:w="0" w:type="dxa"/>
            <w:vAlign w:val="bottom"/>
          </w:tcPr>
          <w:p>
            <w:pPr>
              <w:spacing w:after="0"/>
              <w:rPr>
                <w:sz w:val="1"/>
                <w:szCs w:val="1"/>
                <w:color w:val="auto"/>
              </w:rPr>
            </w:pPr>
          </w:p>
        </w:tc>
      </w:tr>
      <w:tr>
        <w:trPr>
          <w:trHeight w:val="217"/>
        </w:trPr>
        <w:tc>
          <w:tcPr>
            <w:tcW w:w="1340" w:type="dxa"/>
            <w:vAlign w:val="bottom"/>
          </w:tcPr>
          <w:p>
            <w:pPr>
              <w:spacing w:after="0"/>
              <w:rPr>
                <w:sz w:val="20"/>
                <w:szCs w:val="20"/>
                <w:color w:val="auto"/>
              </w:rPr>
            </w:pPr>
            <w:r>
              <w:rPr>
                <w:rFonts w:ascii="Arial" w:cs="Arial" w:eastAsia="Arial" w:hAnsi="Arial"/>
                <w:sz w:val="18"/>
                <w:szCs w:val="18"/>
                <w:color w:val="auto"/>
              </w:rPr>
              <w:t>net of tax</w:t>
            </w:r>
          </w:p>
        </w:tc>
        <w:tc>
          <w:tcPr>
            <w:tcW w:w="7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70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vMerge w:val="restart"/>
            <w:shd w:val="clear" w:color="auto" w:fill="CCEEFF"/>
          </w:tcPr>
          <w:p>
            <w:pPr>
              <w:spacing w:after="0"/>
              <w:rPr>
                <w:sz w:val="18"/>
                <w:szCs w:val="18"/>
                <w:color w:val="auto"/>
              </w:rPr>
            </w:pPr>
          </w:p>
        </w:tc>
        <w:tc>
          <w:tcPr>
            <w:tcW w:w="10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11,955,660</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119,557</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72,467,483</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1,796,739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9"/>
              </w:rPr>
              <w:t>6,855,896</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1,471,406</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(5,567,481)</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75,672,194</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2021</w:t>
            </w: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(7,378,301)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972,390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flows provided by operating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on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(7,234,028)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(832,418)</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unrealized (gains) losses on equity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(276,340)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175,515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on other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(2,276,587)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(933,713)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3,290,445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2,864,583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Amortization of bond premium,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260,343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614,307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 and issuance costs on debt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176,180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1,904,935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1,769,649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(2,200,433)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3,109,295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Decrease (increase) in operating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(659,066)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758,187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5,168,291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(4,710,191)</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(2,096,472)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491,863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667,952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(2,286,399)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12,147,517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2,302,617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7,750,335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(373,966)</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Advance premiums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33,112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(531,158)</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5,981,833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(4,734,989)</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9,654,989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(7,641,879)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(728,837)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(1,553,084)</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provided by (used in) operating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24,346,237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(10,234,626)</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(3,175,686)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(4,041,750)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(91,210,388)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(18,524,314)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(19,195,630)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(20,967,535)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other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Sale and redemption - fixed-maturity securities held-to-maturity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2,217,428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85,347,589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35,845,934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Sale - equity 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16,333,946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11,096,028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Sale - real estate partnership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233,798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(4,498,919)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(3,327,070)</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(used in) provided by investing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(15,947,862)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581,293</w:t>
            </w:r>
          </w:p>
        </w:tc>
      </w:tr>
      <w:tr>
        <w:trPr>
          <w:trHeight w:val="209"/>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(205,773)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(133,937)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(1,671,598)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(1,183,331)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(1,694,148)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(1,957,142)</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(3,571,519)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(3,274,410)</w:t>
            </w:r>
          </w:p>
        </w:tc>
      </w:tr>
      <w:tr>
        <w:trPr>
          <w:trHeight w:val="210"/>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4,826,856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(12,927,743)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19,463,742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32,391,485</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382,437</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1,650,000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ectPr>
          <w:pgSz w:w="11900" w:h="16838" w:orient="portrait"/>
          <w:cols w:equalWidth="0" w:num="1">
            <w:col w:w="11240"/>
          </w:cols>
          <w:pgMar w:left="320" w:top="355" w:right="339" w:bottom="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79.5% and 80.0% of KICO’s direct written premiums for the years ended December 31, 2021 and 2020,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Going Concern</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Company’s $30,000,000 5.5% Senior Unsecured Notes (the “Notes”) are due on December 30, 2022. The Company’s continuation as a going concern is dependent on its ability to obtain financing and/or other funds to satisfy such obligation. Management believes that KICO’s insurance operations would be able to continue in the unlikely event that financing is not obtained.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ASU 2014-15, Presentation of Financial Statements—Going Concern (Subtopic 205-40) (“ASC 205-40”), the Company has the responsibility to evaluate whether conditions and/or events raise substantial doubt about its ability to meet its future financial 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consolidated financial statements are required if management concludes that substantial doubt exists or that its plans alleviate the substantial doubt that was raised.</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Plan Related to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continue as a going concern, the Company will need to obtain financing and/or other funds to satisfy its debt obligation on December 30, 2022. Management plans to refinance the Notes with a new issue of investment grade debt securities of similar or longer maturity that would result in net proceeds equal to or greater than the principal amount of the Notes.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The Company also will receive dividends paid to it by KICO, its insurance subsidiary, that could be utilized to repay the Notes. Without the prior approval of the New York State Department of Financial Services, dividends are restricted to the lesser of 10% of surplus or 100% of investment income (on a statutory accounting basis) for the trailing 36 months, less dividends paid by KICO to the Company during such period. As of December 31, 2021, the maximum distribution that KICO could pay the Company without prior regulatory approval was approximately $3,448,000. Further, the Company plans to use available invested assets and cash to repay the Notes. As of December 31, 2021, invested assets and cash was approximately $1,108,000.</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ability of the Company to continue as a going concern is dependent upon its ability to successfully accomplish the plan described above. The Company believes that its plan is probable of being implemented and that such plan would alleviate any adverse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consolidated financial statements include the accounts of Kingstone and its wholly owned subsidiaries: (1) KICO and its wholly owned subsidiaries, CMIC Properties, Inc. (“Properties”) and 15 Joys Lane, LLC (“15 Joys Lane”), which together own the land and building from which KICO operates, and</w:t>
      </w:r>
    </w:p>
    <w:p>
      <w:pPr>
        <w:ind w:right="3140" w:firstLine="8"/>
        <w:spacing w:after="0" w:line="492"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Cosi. All significant inter-company account balances and transactions have been eliminated in consolidation. </w:t>
      </w:r>
      <w:r>
        <w:rPr>
          <w:rFonts w:ascii="Arial" w:cs="Arial" w:eastAsia="Arial" w:hAnsi="Arial"/>
          <w:sz w:val="18"/>
          <w:szCs w:val="18"/>
          <w:u w:val="single" w:color="auto"/>
          <w:color w:val="auto"/>
        </w:rPr>
        <w:t>Revenue Recognition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Ceding Commission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337" w:right="339" w:bottom="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Expenses (“LAE”) Reserves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are net of reinsurance recoveries.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2021 and 2020. The Company did not expense any uncollectible reinsurance for the years ended December 31, 2021 and 2020.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The Company maintains its cash balances at several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classifies its fixed-maturity securities as either held-to-maturity or available-for-sale. Fixed-maturity securities that the Company has the specific intent and ability to hold until maturity are classified as such and carried at amortized cost. Available-for-sale securities are reported at their estimated fair values based on quoted market prices from recognized pricing services, with unrealized gains and losses, net of tax effects, reported as a separate component of accumulated other comprehensive income. Realized gains and losses are determined on the specific identification method and reported in net income (loss) in the consolidated statements of operations and comprehensive income.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Equity securities are reported at their estimated fair values based on quoted market prices from recognized pricing services, with unrealized gains and losses reported in net income (loss). Other investments are reported at their estimated fair values using the net asset value (“NAV”) per share (or its equivalent) of the instrument with unrealized gains and losses reported in net income (loss). See Note 3, Investments for additional discussion.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may sell its available-for-sale securities, equity securities, and other investments in response to changes in interest rates, risk/reward characteristics, liquidity needs or other factors. 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$1,861,000 and $1,880,000 as of December 31, 2021 and 2020, respectively, and is included in other assets on the accompanying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Receivable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Premiums receivable include balances due currently or in the future and are presented net of an allowance for doubtful accounts of approximately $233,000 and $390,000 as of December 31, 2021 and 2020, respectively. The allowance for uncollectible amounts is based on an analysis of amounts receivable giving consideration to historical loss experience and current economic conditions and reflects an amount that, in management’s judgment, is adequate.</w:t>
      </w:r>
    </w:p>
    <w:p>
      <w:pPr>
        <w:sectPr>
          <w:pgSz w:w="11900" w:h="16838" w:orient="portrait"/>
          <w:cols w:equalWidth="0" w:num="1">
            <w:col w:w="11240"/>
          </w:cols>
          <w:pgMar w:left="320" w:top="121" w:right="339" w:bottom="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Uncollectible premiums receivable balances of approximately $160,000 and $129,000 were written off for the years ended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Policy Acquisition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the related premiums are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automobiles, furniture and other equipment is three years, computer software is three to five years, and building and building improvements is 39 years.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2021 and 2020, the fair value of the real estate assets is estimated to be in excess of the carrying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2021 and 2020, the Company had no material unrecognized tax benefits and no adjustments to liabilities or operations were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Related Assessments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for insurance-related assessments are accrued when an assessment is probable, when it can be reasonably estimated and when the event obligating the entity to pay an imposed or probable assessment has occurred. Liabilities for insurance-related assessments are not discounted and are included as part of Accounts Payable, Accrued Expenses and Other liabilities on the accompanying Consolidated Balance Sheets. At December 31, 2021 and 2020, the liability balances were approximately $274,000 and $841,000,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Credit Risk and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sectPr>
          <w:pgSz w:w="11900" w:h="16838" w:orient="portrait"/>
          <w:cols w:equalWidth="0" w:num="1">
            <w:col w:w="11240"/>
          </w:cols>
          <w:pgMar w:left="320" w:top="125" w:right="33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As of December 31, 2021 and 2020, the Company’s cash equivalents were as follows: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w:t>
            </w: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bank repurchase agreement (1)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992,347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17,272,985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1,134,605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19,501,764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00" w:hanging="447"/>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the outstanding premiums receivable balance is generally diversified due to the large number of individual insureds comprising the Company’s customer base.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quarterly as well as the bad debt write-offs experienced in the past and establish an allowance for doubtful accounts, if deemed necessary.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premiums earned from lines of business in excess of 10% of the total subject the Company to concentration risk for the years ended December 31, 2021 and 2020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3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9"/>
              </w:rPr>
              <w:t>Years ended December 31,</w:t>
            </w:r>
          </w:p>
        </w:tc>
      </w:tr>
      <w:tr>
        <w:trPr>
          <w:trHeight w:val="209"/>
        </w:trPr>
        <w:tc>
          <w:tcPr>
            <w:tcW w:w="7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Premiums earned not subject to concentration (1)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7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premiums earned</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7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00" w:right="20" w:hanging="447"/>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years ended December 31, 2021 and 2020, premiums earned not subject to concentration is comprised of one and two different lines of business,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common share is computed by dividing income available to common stockholders by the weighted-average number of common shares outstanding. Diluted earnings per common share reflects, in periods in which they have a dilutive effect, the impact of common shares issuable upon the exercise of stock options as well as non-vested restricted stock awards. The computation of diluted earnings per share excludes those options with an exercise price in excess of the average market price of the Company’s common shares during the periods presented. Additionally, the computation of diluted earnings per share excludes unvested restricted stock awards as calculated using the treasury stock method.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Advertising costs are charged to operations as incurred. Advertising costs are included in other underwriting expenses in the accompanying consolidated statements of operations and comprehensive income (loss) and were approximately $110,000 and $132,000 for the years ended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expense in 2021 and 2020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ectPr>
          <w:pgSz w:w="11900" w:h="16838" w:orient="portrait"/>
          <w:cols w:equalWidth="0" w:num="1">
            <w:col w:w="11240"/>
          </w:cols>
          <w:pgMar w:left="320" w:top="341" w:right="339" w:bottom="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Compensated Absences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operating leases in accordance with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right-of-use asset is amortized as rent expense on a straight-line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(loss) refers to revenues, expenses, gains and losses that are included in comprehensive income (loss) but are excluded from net income (loss) as these amounts are recorded directly as an adjustment to stockholders' equity, primarily from changes in unrealized gains and losses on available-for-sale securities, net of the related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2019, the Financial Accounting Standards Board (the “FASB”) issued Accounting Standards Update (“ASU”) 2019-12, Income Taxes - Simplifying the Accounting for Income Taxes (“ASU 2019-12”). Among other items, the amendments in ASU 2019-12 simplified the accounting treatment of tax law changes and year-to-date losses in interim periods. An entity generally recognizes the effects of a change in tax law in the period of enactment; however, there is an exception for tax laws with delayed effective dates. Under previous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previous guidance provides an exception that when a loss in an interim period exceeds the anticipated loss for the year, the income tax benefit is limited to the amount that would be recognized if the year-to-date loss were the anticipated loss for the full year. ASU 2019-12 removed this exception and provides that in this situation, an entity would compute its income tax benefit at each interim period based on its estimated annual effective tax rate. The Company adopted ASU 2019-12 effective January 1, 2021 and the Company did not have a material impact on its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it was not subject to any other new accounting pronouncements that became effective during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consolidated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are summarized as follows:</w:t>
      </w:r>
    </w:p>
    <w:p>
      <w:pPr>
        <w:sectPr>
          <w:pgSz w:w="11900" w:h="16838" w:orient="portrait"/>
          <w:cols w:equalWidth="0" w:num="1">
            <w:col w:w="11240"/>
          </w:cols>
          <w:pgMar w:left="320" w:top="341" w:right="33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Cost or</w:t>
            </w:r>
          </w:p>
        </w:tc>
        <w:tc>
          <w:tcPr>
            <w:tcW w:w="1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Estimated</w:t>
            </w: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1"/>
              </w:rPr>
              <w:t>Net Unrealized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8"/>
              </w:rPr>
              <w:t>Less than 12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Gains/</w:t>
            </w: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Months</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(Losses)</w:t>
            </w:r>
          </w:p>
        </w:tc>
        <w:tc>
          <w:tcPr>
            <w:tcW w:w="0" w:type="dxa"/>
            <w:vAlign w:val="bottom"/>
          </w:tcPr>
          <w:p>
            <w:pPr>
              <w:spacing w:after="0"/>
              <w:rPr>
                <w:sz w:val="1"/>
                <w:szCs w:val="1"/>
                <w:color w:val="auto"/>
              </w:rPr>
            </w:pPr>
          </w:p>
        </w:tc>
      </w:tr>
      <w:tr>
        <w:trPr>
          <w:trHeight w:val="425"/>
        </w:trPr>
        <w:tc>
          <w:tcPr>
            <w:tcW w:w="3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17,236,750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246,748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17,285,514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80,534,769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2,603,411</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83,011,254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2,476,485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58,036,959</w:t>
            </w:r>
          </w:p>
        </w:tc>
        <w:tc>
          <w:tcPr>
            <w:tcW w:w="2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355,985</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(489,258)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57,783,342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(253,617)</w:t>
            </w:r>
          </w:p>
        </w:tc>
        <w:tc>
          <w:tcPr>
            <w:tcW w:w="0" w:type="dxa"/>
            <w:vAlign w:val="bottom"/>
          </w:tcPr>
          <w:p>
            <w:pPr>
              <w:spacing w:after="0"/>
              <w:rPr>
                <w:sz w:val="1"/>
                <w:szCs w:val="1"/>
                <w:color w:val="auto"/>
              </w:rPr>
            </w:pPr>
          </w:p>
        </w:tc>
      </w:tr>
      <w:tr>
        <w:trPr>
          <w:trHeight w:val="217"/>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155,808,478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3,206,144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(814,168)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(120,344)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158,080,110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2,271,632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F-15</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8"/>
                <w:szCs w:val="18"/>
                <w:color w:val="auto"/>
              </w:rPr>
            </w:pPr>
          </w:p>
        </w:tc>
        <w:tc>
          <w:tcPr>
            <w:tcW w:w="2360" w:type="dxa"/>
            <w:vAlign w:val="bottom"/>
            <w:gridSpan w:val="5"/>
          </w:tcPr>
          <w:p>
            <w:pPr>
              <w:ind w:left="80"/>
              <w:spacing w:after="0"/>
              <w:rPr>
                <w:sz w:val="20"/>
                <w:szCs w:val="20"/>
                <w:color w:val="auto"/>
              </w:rPr>
            </w:pPr>
            <w:r>
              <w:rPr>
                <w:rFonts w:ascii="Arial" w:cs="Arial" w:eastAsia="Arial" w:hAnsi="Arial"/>
                <w:sz w:val="18"/>
                <w:szCs w:val="18"/>
                <w:b w:val="1"/>
                <w:bCs w:val="1"/>
                <w:color w:val="auto"/>
              </w:rPr>
              <w:t>Gross Unrealized Losses</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40" w:type="dxa"/>
            <w:vAlign w:val="bottom"/>
            <w:gridSpan w:val="3"/>
          </w:tcPr>
          <w:p>
            <w:pPr>
              <w:jc w:val="right"/>
              <w:ind w:right="24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22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9"/>
              </w:rPr>
              <w:t>Less than 12</w:t>
            </w:r>
          </w:p>
        </w:tc>
        <w:tc>
          <w:tcPr>
            <w:tcW w:w="10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10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1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0" w:type="dxa"/>
            <w:vAlign w:val="bottom"/>
          </w:tcPr>
          <w:p>
            <w:pPr>
              <w:spacing w:after="0"/>
              <w:rPr>
                <w:sz w:val="1"/>
                <w:szCs w:val="1"/>
                <w:color w:val="auto"/>
              </w:rPr>
            </w:pPr>
          </w:p>
        </w:tc>
      </w:tr>
      <w:tr>
        <w:trPr>
          <w:trHeight w:val="425"/>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government corporations and agencies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3,020,710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3,049,900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 Territories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5,287,561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355,541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5,643,102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355,541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108,573,422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11,634,123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120,194,329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11,620,907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Residential mortgage and other asset backed securities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28,163,891</w:t>
            </w:r>
          </w:p>
        </w:tc>
        <w:tc>
          <w:tcPr>
            <w:tcW w:w="2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617,368</w:t>
            </w: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1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28,661,941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498,050</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145,045,584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12,636,222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(20,587)</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(111,947)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157,549,272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12,503,688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00" w:hanging="447"/>
        <w:spacing w:after="0" w:line="29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of December 31, 2020, KICO placed certain residential mortgage backed securities as eligible collateral in a designated custodian account related to its membership in the Federal Home Loan Bank of New York ("FHLBNY") (See Note 9). As of December 31, 2021 KICO did not have any securities pledged to FHLBNY. The eligible collateral would be pledged to FHLBNY if KICO draws an advance from the FHLBNY credit line. As of December 31, 2020, the estimated fair value of the eligible investments was approximately $11,391,000. KICO will retain all rights regarding all securities if pledged as collateral. As of December 31, 2020, there was no outstanding balance on the FHLBNY credit line.</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December 31, 2021 and 2020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1,156,636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8,668,064</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43,007,110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44,914,759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44,137,567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47,745,430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26,808,853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27,332,581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55,508,712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63,159,775</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26,802,457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26,892,792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8,676,409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9,314,062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58,036,959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57,783,342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28,163,891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155,808,478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158,080,110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145,045,584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157,549,272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ectPr>
          <w:pgSz w:w="11900" w:h="16838" w:orient="portrait"/>
          <w:cols w:equalWidth="0" w:num="1">
            <w:col w:w="11240"/>
          </w:cols>
          <w:pgMar w:left="320" w:top="121" w:right="339" w:bottom="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December 31, 2021 and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112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22,019,509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22,841,901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15,451,160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1,573,653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16,845,101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37,470,669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2,580,662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(364,329)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1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6"/>
                <w:szCs w:val="16"/>
                <w:color w:val="auto"/>
              </w:rPr>
            </w:pPr>
          </w:p>
        </w:tc>
        <w:tc>
          <w:tcPr>
            <w:tcW w:w="9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18,097,942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(426,942)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18,524,277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14,473,224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1,820,512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(404,700)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15,889,036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32,571,166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2,673,789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(831,642)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estimated fair value of, and gross unrealized gains on, the Company’s other investments as of December 31, 2021 and 2020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6"/>
          </w:tcPr>
          <w:p>
            <w:pPr>
              <w:ind w:left="760"/>
              <w:spacing w:after="0"/>
              <w:rPr>
                <w:sz w:val="20"/>
                <w:szCs w:val="20"/>
                <w:color w:val="auto"/>
              </w:rPr>
            </w:pPr>
            <w:r>
              <w:rPr>
                <w:rFonts w:ascii="Arial" w:cs="Arial" w:eastAsia="Arial" w:hAnsi="Arial"/>
                <w:sz w:val="18"/>
                <w:szCs w:val="18"/>
                <w:b w:val="1"/>
                <w:bCs w:val="1"/>
                <w:color w:val="auto"/>
              </w:rPr>
              <w:t>December 31, 2021</w:t>
            </w:r>
          </w:p>
        </w:tc>
        <w:tc>
          <w:tcPr>
            <w:tcW w:w="30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December 31, 2020</w:t>
            </w:r>
          </w:p>
        </w:tc>
      </w:tr>
      <w:tr>
        <w:trPr>
          <w:trHeight w:val="191"/>
        </w:trPr>
        <w:tc>
          <w:tcPr>
            <w:tcW w:w="12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r>
      <w:tr>
        <w:trPr>
          <w:trHeight w:val="234"/>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425"/>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Other Investments: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$ 3,562,034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$ 7,561,415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$ 1,999,381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$ 3,368,626</w:t>
            </w:r>
          </w:p>
        </w:tc>
      </w:tr>
      <w:tr>
        <w:trPr>
          <w:trHeight w:val="216"/>
        </w:trPr>
        <w:tc>
          <w:tcPr>
            <w:tcW w:w="1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128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$ 3,999,381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$ 3,562,034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$ 7,561,415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$ 2,149,381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$ 1,369,245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$ 3,518,626</w:t>
            </w:r>
          </w:p>
        </w:tc>
      </w:tr>
      <w:tr>
        <w:trPr>
          <w:trHeight w:val="20"/>
        </w:trPr>
        <w:tc>
          <w:tcPr>
            <w:tcW w:w="1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F-17</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37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December 31, 2021 and 2020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Cost 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88"/>
              </w:rPr>
              <w:t>Gross Unrealized Losses</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Net Unrealized</w:t>
            </w:r>
          </w:p>
        </w:tc>
        <w:tc>
          <w:tcPr>
            <w:tcW w:w="100" w:type="dxa"/>
            <w:vAlign w:val="bottom"/>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5"/>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40" w:type="dxa"/>
            <w:vAlign w:val="bottom"/>
            <w:gridSpan w:val="5"/>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8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rPr>
              <w:t>Less than 12</w:t>
            </w:r>
          </w:p>
        </w:tc>
        <w:tc>
          <w:tcPr>
            <w:tcW w:w="10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1"/>
              </w:rPr>
              <w:t>More than 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Gains/</w:t>
            </w:r>
          </w:p>
        </w:tc>
      </w:tr>
      <w:tr>
        <w:trPr>
          <w:trHeight w:val="234"/>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Gains</w:t>
            </w:r>
          </w:p>
        </w:tc>
        <w:tc>
          <w:tcPr>
            <w:tcW w:w="22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Months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r>
      <w:tr>
        <w:trPr>
          <w:trHeight w:val="42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729,642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209,633</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939,275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209,633</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Political subdivisions of States, Territories and Possessions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998,239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22,856</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1,021,095</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304,111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290,275</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(13,836)</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6,234,342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280,951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(12,779)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6,502,514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268,172</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$ 8,266,334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513,525</w:t>
            </w: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(26,700)</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6"/>
              </w:rPr>
              <w:t>$ 8,753,159</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486,825</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89"/>
              </w:rPr>
              <w:t>Gross Unrealized Losses</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r>
      <w:tr>
        <w:trPr>
          <w:trHeight w:val="191"/>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940" w:type="dxa"/>
            <w:vAlign w:val="bottom"/>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1040" w:type="dxa"/>
            <w:vAlign w:val="bottom"/>
            <w:gridSpan w:val="3"/>
          </w:tcPr>
          <w:p>
            <w:pPr>
              <w:jc w:val="right"/>
              <w:ind w:right="20"/>
              <w:spacing w:after="0" w:line="191" w:lineRule="exact"/>
              <w:rPr>
                <w:sz w:val="20"/>
                <w:szCs w:val="20"/>
                <w:color w:val="auto"/>
              </w:rPr>
            </w:pPr>
            <w:r>
              <w:rPr>
                <w:rFonts w:ascii="Arial" w:cs="Arial" w:eastAsia="Arial" w:hAnsi="Arial"/>
                <w:sz w:val="18"/>
                <w:szCs w:val="18"/>
                <w:b w:val="1"/>
                <w:bCs w:val="1"/>
                <w:color w:val="auto"/>
                <w:w w:val="91"/>
              </w:rPr>
              <w:t>Less than 12</w:t>
            </w:r>
          </w:p>
        </w:tc>
        <w:tc>
          <w:tcPr>
            <w:tcW w:w="180" w:type="dxa"/>
            <w:vAlign w:val="bottom"/>
          </w:tcPr>
          <w:p>
            <w:pPr>
              <w:spacing w:after="0"/>
              <w:rPr>
                <w:sz w:val="16"/>
                <w:szCs w:val="16"/>
                <w:color w:val="auto"/>
              </w:rPr>
            </w:pPr>
          </w:p>
        </w:tc>
        <w:tc>
          <w:tcPr>
            <w:tcW w:w="110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w w:val="95"/>
              </w:rPr>
              <w:t>More than 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left="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Unrealized</w:t>
            </w:r>
          </w:p>
        </w:tc>
      </w:tr>
      <w:tr>
        <w:trPr>
          <w:trHeight w:val="234"/>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7"/>
              </w:rPr>
              <w:t>Gains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Months</w:t>
            </w:r>
          </w:p>
        </w:tc>
        <w:tc>
          <w:tcPr>
            <w:tcW w:w="180" w:type="dxa"/>
            <w:vAlign w:val="bottom"/>
          </w:tcPr>
          <w:p>
            <w:pPr>
              <w:spacing w:after="0"/>
              <w:rPr>
                <w:sz w:val="20"/>
                <w:szCs w:val="20"/>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Months</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r>
      <w:tr>
        <w:trPr>
          <w:trHeight w:val="42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729,595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319,714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center"/>
              <w:ind w:right="100"/>
              <w:spacing w:after="0"/>
              <w:rPr>
                <w:sz w:val="20"/>
                <w:szCs w:val="20"/>
                <w:color w:val="auto"/>
              </w:rPr>
            </w:pPr>
            <w:r>
              <w:rPr>
                <w:rFonts w:ascii="Arial" w:cs="Arial" w:eastAsia="Arial" w:hAnsi="Arial"/>
                <w:sz w:val="18"/>
                <w:szCs w:val="18"/>
                <w:color w:val="auto"/>
                <w:w w:val="88"/>
              </w:rPr>
              <w:t>$ 1,049,309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319,714</w:t>
            </w:r>
          </w:p>
        </w:tc>
      </w:tr>
    </w:tbl>
    <w:p>
      <w:pPr>
        <w:sectPr>
          <w:pgSz w:w="11900" w:h="16838" w:orient="portrait"/>
          <w:cols w:equalWidth="0" w:num="1">
            <w:col w:w="11240"/>
          </w:cols>
          <w:pgMar w:left="320" w:top="125"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4"/>
              </w:rPr>
              <w:t>Political subdivisions of States, Territories and Possessions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998,428</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50,917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1,049,345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50,917</w:t>
            </w:r>
          </w:p>
        </w:tc>
      </w:tr>
      <w:tr>
        <w:trPr>
          <w:trHeight w:val="216"/>
        </w:trPr>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9"/>
              </w:rPr>
              <w:t>Corporate and other bonds Industrial and miscellaneous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5,640,792</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455,378</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6,096,170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455,378</w:t>
            </w:r>
          </w:p>
        </w:tc>
      </w:tr>
      <w:tr>
        <w:trPr>
          <w:trHeight w:val="210"/>
        </w:trPr>
        <w:tc>
          <w:tcPr>
            <w:tcW w:w="44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$ 7,368,815</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826,009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$ 8,194,824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826,009</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the estimated fair value of the Company’s investments in held-to-maturity securities by contractual maturity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is shown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December 31, 2021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Estimated</w:t>
            </w:r>
          </w:p>
        </w:tc>
        <w:tc>
          <w:tcPr>
            <w:tcW w:w="18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1,008,180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One to five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1,205,829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1,290,465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2,598,193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2,777,936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1,513,942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1,648,808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1,502,603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More than 10 years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4,551,851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4,805,706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3,268,019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3,689,572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8,266,334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8,753,159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7,368,815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8,194,824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Investment Income</w:t>
            </w: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7240" w:type="dxa"/>
            <w:vAlign w:val="bottom"/>
            <w:gridSpan w:val="3"/>
          </w:tcPr>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5"/>
              </w:rPr>
              <w:t>Years ended</w:t>
            </w:r>
          </w:p>
        </w:tc>
      </w:tr>
      <w:tr>
        <w:trPr>
          <w:trHeight w:val="234"/>
        </w:trPr>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5"/>
        </w:trPr>
        <w:tc>
          <w:tcPr>
            <w:tcW w:w="7240" w:type="dxa"/>
            <w:vAlign w:val="bottom"/>
            <w:gridSpan w:val="3"/>
          </w:tcPr>
          <w:p>
            <w:pPr>
              <w:ind w:left="860"/>
              <w:spacing w:after="0"/>
              <w:rPr>
                <w:sz w:val="20"/>
                <w:szCs w:val="20"/>
                <w:color w:val="auto"/>
              </w:rPr>
            </w:pPr>
            <w:r>
              <w:rPr>
                <w:rFonts w:ascii="Arial" w:cs="Arial" w:eastAsia="Arial" w:hAnsi="Arial"/>
                <w:sz w:val="18"/>
                <w:szCs w:val="18"/>
                <w:b w:val="1"/>
                <w:bCs w:val="1"/>
                <w:color w:val="auto"/>
              </w:rPr>
              <w:t>Income: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5,446,795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5,533,047</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1,529,020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1,159,507</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6,987,326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6,784,157</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365,934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278,554</w:t>
            </w: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6,621,392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6,505,603</w:t>
            </w:r>
          </w:p>
        </w:tc>
        <w:tc>
          <w:tcPr>
            <w:tcW w:w="100" w:type="dxa"/>
            <w:vAlign w:val="bottom"/>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Proceeds from the sale and redemption of fixed-maturity securities held-to-maturity were $2,217,428 and $500,000 for the years ended December 31, 2021 and 2020,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Proceeds from the sale and maturity of fixed-maturity securities available-for-sale were $85,347,589 and $35,845,934 for the years ended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$16,333,946 and $11,096,028 for the years ended December 31, 2021 and 2020,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gains (losses) on investments are summarized as follows:</w:t>
      </w:r>
    </w:p>
    <w:p>
      <w:pPr>
        <w:spacing w:after="0" w:line="221"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908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14605</wp:posOffset>
            </wp:positionV>
            <wp:extent cx="1543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Gains (Losses)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tcPr>
          <w:p>
            <w:pPr>
              <w:spacing w:after="0"/>
              <w:rPr>
                <w:sz w:val="20"/>
                <w:szCs w:val="20"/>
                <w:color w:val="auto"/>
              </w:rPr>
            </w:pPr>
            <w:r>
              <w:rPr>
                <w:rFonts w:ascii="Arial" w:cs="Arial" w:eastAsia="Arial" w:hAnsi="Arial"/>
                <w:sz w:val="18"/>
                <w:szCs w:val="18"/>
                <w:b w:val="1"/>
                <w:bCs w:val="1"/>
                <w:color w:val="auto"/>
              </w:rPr>
              <w:t>Fixed-maturity securities:</w:t>
            </w:r>
          </w:p>
        </w:tc>
        <w:tc>
          <w:tcPr>
            <w:tcW w:w="3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Gross realized gains</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5,189,810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1,108,159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(90,111)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(327,890)</w:t>
            </w:r>
          </w:p>
        </w:tc>
      </w:tr>
      <w:tr>
        <w:trPr>
          <w:trHeight w:val="20"/>
        </w:trPr>
        <w:tc>
          <w:tcPr>
            <w:tcW w:w="1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5,099,699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780,269</w:t>
            </w:r>
          </w:p>
        </w:tc>
      </w:tr>
      <w:tr>
        <w:trPr>
          <w:trHeight w:val="210"/>
        </w:trPr>
        <w:tc>
          <w:tcPr>
            <w:tcW w:w="1440" w:type="dxa"/>
            <w:vAlign w:val="bottom"/>
            <w:tcBorders>
              <w:top w:val="single" w:sz="8" w:color="CCEEFF"/>
            </w:tcBorders>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2,415,136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832,394</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(280,807)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(780,245)</w:t>
            </w:r>
          </w:p>
        </w:tc>
      </w:tr>
      <w:tr>
        <w:trPr>
          <w:trHeight w:val="20"/>
        </w:trPr>
        <w:tc>
          <w:tcPr>
            <w:tcW w:w="1440" w:type="dxa"/>
            <w:vAlign w:val="bottom"/>
            <w:shd w:val="clear" w:color="auto" w:fill="CCEEFF"/>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2,134,329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52,149</w:t>
            </w:r>
          </w:p>
        </w:tc>
      </w:tr>
      <w:tr>
        <w:trPr>
          <w:trHeight w:val="209"/>
        </w:trPr>
        <w:tc>
          <w:tcPr>
            <w:tcW w:w="14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1440" w:type="dxa"/>
            <w:vAlign w:val="bottom"/>
            <w:tcBorders>
              <w:top w:val="single" w:sz="8" w:color="CCEEFF"/>
            </w:tcBorders>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realized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7,317,826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832,418</w:t>
            </w:r>
          </w:p>
        </w:tc>
      </w:tr>
      <w:tr>
        <w:trPr>
          <w:trHeight w:val="209"/>
        </w:trPr>
        <w:tc>
          <w:tcPr>
            <w:tcW w:w="1440" w:type="dxa"/>
            <w:vAlign w:val="bottom"/>
            <w:tcBorders>
              <w:top w:val="single" w:sz="8" w:color="CCEEFF"/>
            </w:tcBorders>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Unrealized Gains (Losses)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276,340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41,517</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(217,032)</w:t>
            </w:r>
          </w:p>
        </w:tc>
      </w:tr>
      <w:tr>
        <w:trPr>
          <w:trHeight w:val="20"/>
        </w:trPr>
        <w:tc>
          <w:tcPr>
            <w:tcW w:w="1440" w:type="dxa"/>
            <w:vAlign w:val="bottom"/>
            <w:shd w:val="clear" w:color="auto" w:fill="CCEEFF"/>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276,340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(175,515)</w:t>
            </w:r>
          </w:p>
        </w:tc>
      </w:tr>
      <w:tr>
        <w:trPr>
          <w:trHeight w:val="210"/>
        </w:trPr>
        <w:tc>
          <w:tcPr>
            <w:tcW w:w="14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933,713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Gross losses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4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4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933,713</w:t>
            </w:r>
          </w:p>
        </w:tc>
      </w:tr>
      <w:tr>
        <w:trPr>
          <w:trHeight w:val="209"/>
        </w:trPr>
        <w:tc>
          <w:tcPr>
            <w:tcW w:w="1440" w:type="dxa"/>
            <w:vAlign w:val="bottom"/>
            <w:tcBorders>
              <w:top w:val="single" w:sz="8" w:color="CCEEFF"/>
            </w:tcBorders>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gains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758,198</w:t>
            </w:r>
          </w:p>
        </w:tc>
      </w:tr>
      <w:tr>
        <w:trPr>
          <w:trHeight w:val="209"/>
        </w:trPr>
        <w:tc>
          <w:tcPr>
            <w:tcW w:w="1440" w:type="dxa"/>
            <w:vAlign w:val="bottom"/>
            <w:tcBorders>
              <w:top w:val="single" w:sz="8" w:color="CCEEFF"/>
            </w:tcBorders>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9,786,955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1,590,616</w:t>
            </w:r>
          </w:p>
        </w:tc>
      </w:tr>
      <w:tr>
        <w:trPr>
          <w:trHeight w:val="372"/>
        </w:trPr>
        <w:tc>
          <w:tcPr>
            <w:tcW w:w="8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Impairment Review</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income.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(loss) income for the noncredit portion of a previous OTTI is amortized prospectively over the remaining life of the security based on timing of future estimated cash flows of the security.</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December 31, 2021 and December 31, 2020, there were 48 and 16 fixed-maturity securities, respectively, that accounted for the gross unrealized losses. The Company determined that none of the unrealized losses were deemed to be OTTI for its portfolio of investments for the years ended December 31, 2021 and 2020. Significant factors influencing the Company’s determination that unrealized losses were temporary included the magnitude of the unrealized losses in relation to each security’s cost, the nature of the investment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2021 and 2020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7"/>
              </w:rPr>
              <w:t>Less than 12 months</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88"/>
              </w:rPr>
              <w:t>12 months or more</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250"/>
              <w:spacing w:after="0" w:line="191" w:lineRule="exact"/>
              <w:rPr>
                <w:sz w:val="20"/>
                <w:szCs w:val="20"/>
                <w:color w:val="auto"/>
              </w:rPr>
            </w:pPr>
            <w:r>
              <w:rPr>
                <w:rFonts w:ascii="Arial" w:cs="Arial" w:eastAsia="Arial" w:hAnsi="Arial"/>
                <w:sz w:val="18"/>
                <w:szCs w:val="18"/>
                <w:b w:val="1"/>
                <w:bCs w:val="1"/>
                <w:color w:val="auto"/>
                <w:w w:val="90"/>
              </w:rPr>
              <w:t>Estimated</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center"/>
              <w:ind w:right="83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6"/>
              </w:rPr>
              <w:t>Unrealized</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700" w:type="dxa"/>
            <w:vAlign w:val="bottom"/>
          </w:tcPr>
          <w:p>
            <w:pPr>
              <w:jc w:val="center"/>
              <w:ind w:left="11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4"/>
              </w:rPr>
              <w:t>Unrealized</w:t>
            </w: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3"/>
              </w:rPr>
              <w:t>Positions</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Unrealized</w:t>
            </w:r>
          </w:p>
        </w:tc>
      </w:t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7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Losses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7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w w:val="83"/>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Held</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Losses</w:t>
            </w:r>
          </w:p>
        </w:tc>
      </w:tr>
      <w:tr>
        <w:trPr>
          <w:trHeight w:val="426"/>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5" w:right="339" w:bottom="0" w:gutter="0" w:footer="0" w:header="0"/>
        </w:sectPr>
      </w:pPr>
    </w:p>
    <w:bookmarkStart w:id="61" w:name="page62"/>
    <w:bookmarkEnd w:id="6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6,768,123</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(197,984)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6,768,123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(197,984)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Corporate and other bonds industrial</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17,593,707</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(126,926)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17,593,707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(126,926)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Residential mortgage and other asset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45,399,451</w:t>
            </w: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(489,258)</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2,923,182</w:t>
            </w: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(120,344)</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48,322,633</w:t>
            </w:r>
          </w:p>
        </w:tc>
        <w:tc>
          <w:tcPr>
            <w:tcW w:w="11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(609,602)</w:t>
            </w:r>
          </w:p>
        </w:tc>
        <w:tc>
          <w:tcPr>
            <w:tcW w:w="0" w:type="dxa"/>
            <w:vAlign w:val="bottom"/>
          </w:tcPr>
          <w:p>
            <w:pPr>
              <w:spacing w:after="0"/>
              <w:rPr>
                <w:sz w:val="1"/>
                <w:szCs w:val="1"/>
                <w:color w:val="auto"/>
              </w:rPr>
            </w:pPr>
          </w:p>
        </w:tc>
      </w:tr>
      <w:tr>
        <w:trPr>
          <w:trHeight w:val="217"/>
        </w:trPr>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020" w:type="dxa"/>
            <w:vAlign w:val="bottom"/>
            <w:gridSpan w:val="2"/>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69,761,281</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(814,168)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$ 2,923,182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(120,344)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72,684,463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(934,512)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F-21</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8"/>
              </w:rPr>
              <w:t>December 31, 2020</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ind w:left="5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b w:val="1"/>
                <w:bCs w:val="1"/>
                <w:color w:val="auto"/>
              </w:rPr>
              <w:t>12 months or more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Unrealized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Positions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Unrealized</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Losses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Held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Losses</w:t>
            </w:r>
          </w:p>
        </w:tc>
        <w:tc>
          <w:tcPr>
            <w:tcW w:w="0" w:type="dxa"/>
            <w:vAlign w:val="bottom"/>
          </w:tcPr>
          <w:p>
            <w:pPr>
              <w:spacing w:after="0"/>
              <w:rPr>
                <w:sz w:val="1"/>
                <w:szCs w:val="1"/>
                <w:color w:val="auto"/>
              </w:rPr>
            </w:pPr>
          </w:p>
        </w:tc>
      </w:tr>
      <w:tr>
        <w:trPr>
          <w:trHeight w:val="425"/>
        </w:trPr>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Corporate and other bonds 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1,006,901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Residential mortgage and other asset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6,137,522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(7,371)</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3,735,732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8"/>
              </w:rPr>
              <w:t>(111,947)</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9,873,254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(119,318)</w:t>
            </w:r>
          </w:p>
        </w:tc>
        <w:tc>
          <w:tcPr>
            <w:tcW w:w="0" w:type="dxa"/>
            <w:vAlign w:val="bottom"/>
          </w:tcPr>
          <w:p>
            <w:pPr>
              <w:spacing w:after="0"/>
              <w:rPr>
                <w:sz w:val="1"/>
                <w:szCs w:val="1"/>
                <w:color w:val="auto"/>
              </w:rPr>
            </w:pPr>
          </w:p>
        </w:tc>
      </w:tr>
      <w:tr>
        <w:trPr>
          <w:trHeight w:val="217"/>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7,144,423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(20,587)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3,735,732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(111,947)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10,880,155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F-22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to the valuation methodology are quoted prices (unadjusted) for identical assets or liabilities traded in active markets. Included are those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traded on an active exchange, such as the Nasdaq Global Select Market, U.S. Treasury securities and obligations of U.S. government agencies, together with corporate debt securities that are generally investment grade.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to the valuation methodology include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—Inputs to the valuation methodology are unobservable for the asset or liability and are significant to the fair value measurement.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and factors considered in pricing investment securities and other assets may include appraisals, projected cash flows, market clearing activity</w:t>
      </w:r>
    </w:p>
    <w:p>
      <w:pPr>
        <w:sectPr>
          <w:pgSz w:w="11900" w:h="16956" w:orient="portrait"/>
          <w:cols w:equalWidth="0" w:num="1">
            <w:col w:w="11240"/>
          </w:cols>
          <w:pgMar w:left="320" w:top="350" w:right="339" w:bottom="0" w:gutter="0" w:footer="0" w:header="0"/>
        </w:sectPr>
      </w:pPr>
    </w:p>
    <w:bookmarkStart w:id="62" w:name="page63"/>
    <w:bookmarkEnd w:id="62"/>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or liquidity circumstances in the security or similar securities that may have occurred since the prior pricing period.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information about the Company’s investments that are measured at fair value on a recurring basis at December 31, 2021 and 2020 indicating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17,285,514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17,285,514</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510,475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83,011,254</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57,783,342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122,187,781</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197,767,112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3,049,900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3,049,900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5,643,102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5,643,102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118,123,890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2,070,439</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120,194,329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28,661,941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28,661,941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121,173,790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36,375,482</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157,549,272</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34,413,313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34,413,313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155,587,103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36,375,482</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191,962,585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gridSpan w:val="2"/>
            <w:vMerge w:val="restart"/>
          </w:tcPr>
          <w:p>
            <w:pPr>
              <w:ind w:left="4180"/>
              <w:spacing w:after="0"/>
              <w:rPr>
                <w:sz w:val="20"/>
                <w:szCs w:val="20"/>
                <w:color w:val="auto"/>
              </w:rPr>
            </w:pPr>
            <w:r>
              <w:rPr>
                <w:rFonts w:ascii="Arial" w:cs="Arial" w:eastAsia="Arial" w:hAnsi="Arial"/>
                <w:sz w:val="18"/>
                <w:szCs w:val="18"/>
                <w:color w:val="auto"/>
              </w:rPr>
              <w:t>F-24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47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sets forth the Company’s investment in a hedge fund measured at Net Asset Value (“NAV”) per share as of December 31, 2021 and 2020. The Company measures this investment at fair value on a recurring basis. Fair value using NAV per share is as follows as of the dates indicated:</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w:t>
            </w: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7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31, 2021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31, 2020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7,561,415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3,368,626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limited partnership</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7,561,415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3,518,626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75" w:orient="portrait"/>
          <w:cols w:equalWidth="0" w:num="1">
            <w:col w:w="11240"/>
          </w:cols>
          <w:pgMar w:left="320" w:top="125" w:right="339" w:bottom="0" w:gutter="0" w:footer="0" w:header="0"/>
        </w:sectPr>
      </w:pP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w:t>
      </w:r>
    </w:p>
    <w:p>
      <w:pPr>
        <w:sectPr>
          <w:pgSz w:w="11900" w:h="16875" w:orient="portrait"/>
          <w:cols w:equalWidth="0" w:num="1">
            <w:col w:w="11240"/>
          </w:cols>
          <w:pgMar w:left="320" w:top="125" w:right="339" w:bottom="0" w:gutter="0" w:footer="0" w:header="0"/>
          <w:type w:val="continuous"/>
        </w:sectPr>
      </w:pPr>
    </w:p>
    <w:bookmarkStart w:id="63" w:name="page64"/>
    <w:bookmarkEnd w:id="63"/>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partners. Such amounts have been recorded in the accompanying consolidated statements of operations and comprehensive (loss) income within net gains (losses) on investments.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debt as of December 31, 2021 and 2020, which is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28,436,019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28,436,019</w:t>
            </w: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27,272,727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27,272,727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debt is estimated based on observable market prices when available. When observable market prices are not available, the fair values of debt are based on observable market prices of comparable instruments adjusted for differences between the observed instruments and the instruments being valued or is estimated using discounted cash flow analyses, based on current incremental borrowing rates for similar types of borrowing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and assumptions in estimating the fair value of financial instruments and real estate: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Equity securities, available-for-sale fixed income securities, and other investments: </w:t>
      </w:r>
      <w:r>
        <w:rPr>
          <w:rFonts w:ascii="Arial" w:cs="Arial" w:eastAsia="Arial" w:hAnsi="Arial"/>
          <w:sz w:val="18"/>
          <w:szCs w:val="18"/>
          <w:color w:val="auto"/>
        </w:rPr>
        <w:t>Fair value disclosures for these investments are included in “Note 3 -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“Note 4 – Fair Value Measurements”.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carrying values of cash and cash equivalents approximate their fair values because of the short-term nature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Premiums receivable and reinsurance receivables: </w:t>
      </w:r>
      <w:r>
        <w:rPr>
          <w:rFonts w:ascii="Arial" w:cs="Arial" w:eastAsia="Arial" w:hAnsi="Arial"/>
          <w:sz w:val="18"/>
          <w:szCs w:val="18"/>
          <w:color w:val="auto"/>
        </w:rPr>
        <w:t>The carrying values reported in the accompanying consolidated balance sheets for these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approximate their fair values due to the short-term nature of the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The estimated fair value was based on an appraisal prepared using the sales comparison approach, and accordingly the real estate is a Level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under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Reinsurance balances payable: </w:t>
      </w:r>
      <w:r>
        <w:rPr>
          <w:rFonts w:ascii="Arial" w:cs="Arial" w:eastAsia="Arial" w:hAnsi="Arial"/>
          <w:sz w:val="16"/>
          <w:szCs w:val="16"/>
          <w:color w:val="auto"/>
        </w:rPr>
        <w:t>The carrying value reported in the consolidated balance sheets for these financial instruments approximates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and real estate as of December 31, 2021 and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60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8,753,159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7,368,815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8,194,824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19,463,742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19,463,742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11,819,639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11,819,639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Reinsurance receivables,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45,460,729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Reinsurance balances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6,979,735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6,979,735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2021 and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intangible assets and their useful lives, accumulated amortization, and net carrying value as of December 31, 2021 and 2020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Useful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60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rPr>
              <w:t>Accumulated</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60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Insurance license</w:t>
            </w:r>
          </w:p>
        </w:tc>
        <w:tc>
          <w:tcPr>
            <w:tcW w:w="1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45"/>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3,400,000</w:t>
            </w: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3,400,000</w:t>
            </w: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240"/>
          </w:cols>
          <w:pgMar w:left="320" w:top="125" w:right="339" w:bottom="0" w:gutter="0" w:footer="0" w:header="0"/>
        </w:sectPr>
      </w:pPr>
    </w:p>
    <w:bookmarkStart w:id="64" w:name="page65"/>
    <w:bookmarkEnd w:id="6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identifiable intangibles</w:t>
            </w:r>
          </w:p>
        </w:tc>
        <w:tc>
          <w:tcPr>
            <w:tcW w:w="30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4,850,000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4,350,000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0"/>
        </w:trPr>
        <w:tc>
          <w:tcPr>
            <w:tcW w:w="4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 impairment testing and amortization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no amortization expense related to intangible assets for the years ended December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December 31, 2021, the Company entered into a quota share reinsurance treaty for its personal lines business, which primarily consisted of homeowners’ and dwelling fire policies, covering the period from December 31, 2021 through January 1, 2023 (“2021/2023 Treaty”). Effective December 15, 2019, the Company entered into a quota share reinsurance treaty for its personal lines business, which primarily consisted of homeowners’ policies, covering the period from December 15, 2019 through December 30, 2020 (“2019/2020 Treaty”). Effective December 31, 2020, the 2019/2020 Treaty expired on a cut off basis; this treaty was not renewed.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new excess of loss and catastrophe reinsurance treaties effective July 1, 2021. Effective October 18, 2021, the Company entered into a stub catastrophe reinsurance treaty covering the period from October 18, 2021 through December 31, 2021. The treaty provides reinsurance coverage for catastrophe losses of $5,000,000 in excess of $5,000,000. Effective January 1, 2022, the Company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reinsurance treaties in effect for the treaty years shown below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Treaty Year</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(2021/2023 Treaty)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8"/>
                <w:szCs w:val="18"/>
                <w:color w:val="auto"/>
              </w:rPr>
            </w:pPr>
          </w:p>
        </w:tc>
        <w:tc>
          <w:tcPr>
            <w:tcW w:w="22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(2019/2020 Treaty)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December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December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July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January 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Jume 30,</w:t>
            </w: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340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gridSpan w:val="3"/>
          </w:tcPr>
          <w:p>
            <w:pPr>
              <w:spacing w:after="0"/>
              <w:rPr>
                <w:sz w:val="20"/>
                <w:szCs w:val="20"/>
                <w:color w:val="auto"/>
              </w:rPr>
            </w:pPr>
            <w:r>
              <w:rPr>
                <w:rFonts w:ascii="Arial" w:cs="Arial" w:eastAsia="Arial" w:hAnsi="Arial"/>
                <w:sz w:val="18"/>
                <w:szCs w:val="18"/>
                <w:color w:val="auto"/>
                <w:w w:val="99"/>
              </w:rPr>
              <w:t>Homeowners, dwelling fire and and canine</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legal liability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Quota share treaty:</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 ceded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34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Risk retained on intial $1,000,000 of</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losses (7) (9)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2"/>
        </w:trPr>
        <w:tc>
          <w:tcPr>
            <w:tcW w:w="34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Losses per occurrence subject to quota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share reinsurance coverage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None(7)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3400" w:type="dxa"/>
            <w:vAlign w:val="bottom"/>
            <w:gridSpan w:val="3"/>
          </w:tcPr>
          <w:p>
            <w:pPr>
              <w:ind w:left="420"/>
              <w:spacing w:after="0" w:line="201" w:lineRule="exact"/>
              <w:rPr>
                <w:sz w:val="20"/>
                <w:szCs w:val="20"/>
                <w:color w:val="auto"/>
              </w:rPr>
            </w:pPr>
            <w:r>
              <w:rPr>
                <w:rFonts w:ascii="Arial" w:cs="Arial" w:eastAsia="Arial" w:hAnsi="Arial"/>
                <w:sz w:val="18"/>
                <w:szCs w:val="18"/>
                <w:color w:val="auto"/>
              </w:rPr>
              <w:t>Expiration date</w:t>
            </w: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January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December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NA(7)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NA(7)</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30, 2020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30, 2020</w:t>
            </w:r>
          </w:p>
        </w:tc>
        <w:tc>
          <w:tcPr>
            <w:tcW w:w="0" w:type="dxa"/>
            <w:vAlign w:val="bottom"/>
          </w:tcPr>
          <w:p>
            <w:pPr>
              <w:spacing w:after="0"/>
              <w:rPr>
                <w:sz w:val="1"/>
                <w:szCs w:val="1"/>
                <w:color w:val="auto"/>
              </w:rPr>
            </w:pPr>
          </w:p>
        </w:tc>
      </w:tr>
      <w:tr>
        <w:trPr>
          <w:trHeight w:val="202"/>
        </w:trPr>
        <w:tc>
          <w:tcPr>
            <w:tcW w:w="34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Excess of loss coverage and facultative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facility coverage (1) (9) (10)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90"/>
              </w:rPr>
              <w:t>in excess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2"/>
              </w:rPr>
              <w:t>in excess of</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2"/>
              </w:rPr>
              <w:t>in excess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2"/>
              </w:rPr>
              <w:t>in excess of</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w w:val="94"/>
              </w:rPr>
              <w:t>in excess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2"/>
              </w:rPr>
              <w:t>in excess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34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Total reinsurance coverage per occurrence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 (9) (10)</w:t>
            </w: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9,250,000</w:t>
            </w:r>
          </w:p>
        </w:tc>
        <w:tc>
          <w:tcPr>
            <w:tcW w:w="0" w:type="dxa"/>
            <w:vAlign w:val="bottom"/>
          </w:tcPr>
          <w:p>
            <w:pPr>
              <w:spacing w:after="0"/>
              <w:rPr>
                <w:sz w:val="1"/>
                <w:szCs w:val="1"/>
                <w:color w:val="auto"/>
              </w:rPr>
            </w:pPr>
          </w:p>
        </w:tc>
      </w:tr>
      <w:tr>
        <w:trPr>
          <w:trHeight w:val="202"/>
        </w:trPr>
        <w:tc>
          <w:tcPr>
            <w:tcW w:w="34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Losses per occurrence subject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220"/>
              <w:spacing w:after="0"/>
              <w:rPr>
                <w:sz w:val="20"/>
                <w:szCs w:val="20"/>
                <w:color w:val="auto"/>
              </w:rPr>
            </w:pPr>
            <w:r>
              <w:rPr>
                <w:rFonts w:ascii="Arial" w:cs="Arial" w:eastAsia="Arial" w:hAnsi="Arial"/>
                <w:sz w:val="18"/>
                <w:szCs w:val="18"/>
                <w:color w:val="auto"/>
              </w:rPr>
              <w:t>reinsurance coverage (7) (10)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9,000,000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Expiration date</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30,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30,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June 30,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30,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35"/>
        </w:trPr>
        <w:tc>
          <w:tcPr>
            <w:tcW w:w="112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140" w:right="339" w:bottom="0" w:gutter="0" w:footer="0" w:header="0"/>
        </w:sectPr>
      </w:pPr>
    </w:p>
    <w:bookmarkStart w:id="65" w:name="page66"/>
    <w:bookmarkEnd w:id="65"/>
    <w:p>
      <w:pPr>
        <w:ind w:left="5480"/>
        <w:spacing w:after="0"/>
        <w:tabs>
          <w:tab w:leader="none" w:pos="6740" w:val="left"/>
          <w:tab w:leader="none" w:pos="8080" w:val="left"/>
          <w:tab w:leader="none" w:pos="9420" w:val="left"/>
          <w:tab w:leader="none" w:pos="1070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2021</w:t>
      </w:r>
      <w:r>
        <w:rPr>
          <w:sz w:val="20"/>
          <w:szCs w:val="20"/>
          <w:color w:val="auto"/>
        </w:rPr>
        <w:tab/>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Catastrophe Reinsurance:</w:t>
      </w:r>
    </w:p>
    <w:p>
      <w:pPr>
        <w:spacing w:after="0" w:line="23" w:lineRule="exact"/>
        <w:rPr>
          <w:sz w:val="20"/>
          <w:szCs w:val="20"/>
          <w:color w:val="auto"/>
        </w:rPr>
      </w:pPr>
    </w:p>
    <w:p>
      <w:pPr>
        <w:ind w:left="220" w:right="60"/>
        <w:spacing w:after="0" w:line="250" w:lineRule="auto"/>
        <w:rPr>
          <w:sz w:val="20"/>
          <w:szCs w:val="20"/>
          <w:color w:val="auto"/>
        </w:rPr>
      </w:pPr>
      <w:r>
        <w:rPr>
          <w:rFonts w:ascii="Arial" w:cs="Arial" w:eastAsia="Arial" w:hAnsi="Arial"/>
          <w:sz w:val="18"/>
          <w:szCs w:val="18"/>
          <w:color w:val="auto"/>
        </w:rPr>
        <w:t>Initial loss subject to personal lines quota share treaty</w:t>
      </w:r>
    </w:p>
    <w:p>
      <w:pPr>
        <w:spacing w:after="0" w:line="1" w:lineRule="exact"/>
        <w:rPr>
          <w:sz w:val="20"/>
          <w:szCs w:val="20"/>
          <w:color w:val="auto"/>
        </w:rPr>
      </w:pPr>
    </w:p>
    <w:p>
      <w:pPr>
        <w:ind w:left="220" w:right="100"/>
        <w:spacing w:after="0" w:line="250" w:lineRule="auto"/>
        <w:rPr>
          <w:sz w:val="20"/>
          <w:szCs w:val="20"/>
          <w:color w:val="auto"/>
        </w:rPr>
      </w:pPr>
      <w:r>
        <w:rPr>
          <w:rFonts w:ascii="Arial" w:cs="Arial" w:eastAsia="Arial" w:hAnsi="Arial"/>
          <w:sz w:val="18"/>
          <w:szCs w:val="18"/>
          <w:color w:val="auto"/>
        </w:rPr>
        <w:t>Risk retained per catastrophe occurrence (2) (7) (11)</w:t>
      </w:r>
    </w:p>
    <w:p>
      <w:pPr>
        <w:spacing w:after="0" w:line="1"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Catastrophe loss coverage in excess of quota share coverage (3) (7) Catastrophe stub coverage for the period from October 18, 2021 through December 31, 2021 (8)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Reinstatement premium protection (4) (5)</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w w:val="86"/>
              </w:rPr>
              <w:t>10,000,000</w:t>
            </w:r>
          </w:p>
        </w:tc>
        <w:tc>
          <w:tcPr>
            <w:tcW w:w="160" w:type="dxa"/>
            <w:vAlign w:val="bottom"/>
          </w:tcPr>
          <w:p>
            <w:pPr>
              <w:spacing w:after="0"/>
              <w:rPr>
                <w:sz w:val="20"/>
                <w:szCs w:val="20"/>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10,000,000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None(7)</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None(7)</w:t>
            </w:r>
          </w:p>
        </w:tc>
        <w:tc>
          <w:tcPr>
            <w:tcW w:w="160" w:type="dxa"/>
            <w:vAlign w:val="bottom"/>
          </w:tcPr>
          <w:p>
            <w:pPr>
              <w:spacing w:after="0"/>
              <w:rPr>
                <w:sz w:val="20"/>
                <w:szCs w:val="20"/>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7,500,000</w:t>
            </w:r>
          </w:p>
        </w:tc>
        <w:tc>
          <w:tcPr>
            <w:tcW w:w="22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08"/>
        </w:trPr>
        <w:tc>
          <w:tcPr>
            <w:tcW w:w="1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60" w:type="dxa"/>
            <w:vAlign w:val="bottom"/>
          </w:tcPr>
          <w:p>
            <w:pPr>
              <w:jc w:val="right"/>
              <w:spacing w:after="0"/>
              <w:rPr>
                <w:sz w:val="20"/>
                <w:szCs w:val="20"/>
                <w:color w:val="auto"/>
              </w:rPr>
            </w:pPr>
            <w:r>
              <w:rPr>
                <w:rFonts w:ascii="Arial" w:cs="Arial" w:eastAsia="Arial" w:hAnsi="Arial"/>
                <w:sz w:val="18"/>
                <w:szCs w:val="18"/>
                <w:color w:val="auto"/>
              </w:rPr>
              <w:t>None(10)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7,400,000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7"/>
              </w:rPr>
              <w:t>10,000,000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9"/>
              </w:rPr>
              <w:t>10,000,000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8,125,000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5,625,000</w:t>
            </w:r>
          </w:p>
        </w:tc>
        <w:tc>
          <w:tcPr>
            <w:tcW w:w="0" w:type="dxa"/>
            <w:vAlign w:val="bottom"/>
          </w:tcPr>
          <w:p>
            <w:pPr>
              <w:spacing w:after="0"/>
              <w:rPr>
                <w:sz w:val="1"/>
                <w:szCs w:val="1"/>
                <w:color w:val="auto"/>
              </w:rPr>
            </w:pPr>
          </w:p>
        </w:tc>
      </w:tr>
      <w:tr>
        <w:trPr>
          <w:trHeight w:val="432"/>
        </w:trPr>
        <w:tc>
          <w:tcPr>
            <w:tcW w:w="1160" w:type="dxa"/>
            <w:vAlign w:val="bottom"/>
          </w:tcPr>
          <w:p>
            <w:pPr>
              <w:jc w:val="right"/>
              <w:spacing w:after="0"/>
              <w:rPr>
                <w:sz w:val="20"/>
                <w:szCs w:val="20"/>
                <w:color w:val="auto"/>
              </w:rPr>
            </w:pPr>
            <w:r>
              <w:rPr>
                <w:rFonts w:ascii="Arial" w:cs="Arial" w:eastAsia="Arial" w:hAnsi="Arial"/>
                <w:sz w:val="18"/>
                <w:szCs w:val="18"/>
                <w:color w:val="auto"/>
              </w:rPr>
              <w:t>None(10)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89"/>
              </w:rPr>
              <w:t>490,000,000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87"/>
              </w:rPr>
              <w:t>490,000,000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89"/>
              </w:rPr>
              <w:t>475,000,000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89"/>
              </w:rPr>
              <w:t>475,000,000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602,500,000</w:t>
            </w:r>
          </w:p>
        </w:tc>
        <w:tc>
          <w:tcPr>
            <w:tcW w:w="0" w:type="dxa"/>
            <w:vAlign w:val="bottom"/>
          </w:tcPr>
          <w:p>
            <w:pPr>
              <w:spacing w:after="0"/>
              <w:rPr>
                <w:sz w:val="1"/>
                <w:szCs w:val="1"/>
                <w:color w:val="auto"/>
              </w:rPr>
            </w:pPr>
          </w:p>
        </w:tc>
      </w:tr>
      <w:tr>
        <w:trPr>
          <w:trHeight w:val="634"/>
        </w:trPr>
        <w:tc>
          <w:tcPr>
            <w:tcW w:w="116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24"/>
                <w:szCs w:val="24"/>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in excess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of</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tcPr>
          <w:p>
            <w:pPr>
              <w:jc w:val="right"/>
              <w:ind w:right="27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24"/>
                <w:szCs w:val="24"/>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-1988185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-1576705</wp:posOffset>
            </wp:positionV>
            <wp:extent cx="7132320"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-1028065</wp:posOffset>
            </wp:positionV>
            <wp:extent cx="713232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-205105</wp:posOffset>
            </wp:positionV>
            <wp:extent cx="71323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240" w:space="360"/>
            <w:col w:w="7640"/>
          </w:cols>
          <w:pgMar w:left="320" w:top="125" w:right="339" w:bottom="0" w:gutter="0" w:footer="0" w:header="0"/>
          <w:type w:val="continuous"/>
        </w:sectPr>
      </w:pPr>
    </w:p>
    <w:p>
      <w:pPr>
        <w:spacing w:after="0" w:line="11" w:lineRule="exact"/>
        <w:rPr>
          <w:sz w:val="20"/>
          <w:szCs w:val="20"/>
          <w:color w:val="auto"/>
        </w:rPr>
      </w:pPr>
    </w:p>
    <w:p>
      <w:pPr>
        <w:jc w:val="both"/>
        <w:ind w:left="920" w:hanging="467"/>
        <w:spacing w:after="0" w:line="286"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(“Facultative Facility”) allowing KICO to obtain homeowners single risk coverage up to $10,000,000 in total insured value, which covers direct losses from $3,500,000 to $10,000,000 through June 30, 2020. For the period July 1, 2020 through June 30, 2022, the Facultative Facility covers direct losses from $3,500,000 to $9,000,000.</w:t>
      </w:r>
    </w:p>
    <w:p>
      <w:pPr>
        <w:spacing w:after="0" w:line="165" w:lineRule="exact"/>
        <w:rPr>
          <w:rFonts w:ascii="Arial" w:cs="Arial" w:eastAsia="Arial" w:hAnsi="Arial"/>
          <w:sz w:val="17"/>
          <w:szCs w:val="17"/>
          <w:color w:val="auto"/>
        </w:rPr>
      </w:pPr>
    </w:p>
    <w:p>
      <w:pPr>
        <w:ind w:left="920" w:hanging="467"/>
        <w:spacing w:after="0" w:line="342"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Plus losses in excess of catastrophe coverage. For the period July 1, 2020 through December 30, 2020, there was no reinsurance coverage for the $2,500,000 gap between quota share limit of $7,500,000 and first $10,000,000 layer of catastrophe coverage (see note (7) below).</w:t>
      </w:r>
    </w:p>
    <w:p>
      <w:pPr>
        <w:spacing w:after="0" w:line="123" w:lineRule="exact"/>
        <w:rPr>
          <w:rFonts w:ascii="Arial" w:cs="Arial" w:eastAsia="Arial" w:hAnsi="Arial"/>
          <w:sz w:val="16"/>
          <w:szCs w:val="16"/>
          <w:color w:val="auto"/>
        </w:rPr>
      </w:pPr>
    </w:p>
    <w:p>
      <w:pPr>
        <w:ind w:left="920" w:hanging="467"/>
        <w:spacing w:after="0" w:line="277"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July 1, 2019 through June 30, 2020, reinstatement premium protection for $292,500,000 of catastrophe coverage in excess of $7,500,000.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ind w:left="920" w:right="20" w:hanging="467"/>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920" w:right="20" w:hanging="467"/>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period July 1, 2021 through June 30, 2022, reinstatement premium protection for $70,000,000 of catastrophe coverage in excess of $10,000,000.</w:t>
      </w:r>
    </w:p>
    <w:p>
      <w:pPr>
        <w:spacing w:after="0" w:line="170" w:lineRule="exact"/>
        <w:rPr>
          <w:rFonts w:ascii="Arial" w:cs="Arial" w:eastAsia="Arial" w:hAnsi="Arial"/>
          <w:sz w:val="18"/>
          <w:szCs w:val="18"/>
          <w:color w:val="auto"/>
        </w:rPr>
      </w:pPr>
    </w:p>
    <w:p>
      <w:pPr>
        <w:ind w:left="920" w:right="20" w:hanging="467"/>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225"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Excess of loss and catastrophe reinsurance treaties will expire on June 30, 2022; reinsurance coverage in effect from July 1, 2022 through January 1, 2023 is only for personal lines quota share (homeowners, dwelling fire and canine legal liability) and underlying excess of loss reinsurance.</w:t>
      </w:r>
    </w:p>
    <w:p>
      <w:pPr>
        <w:spacing w:after="0" w:line="183" w:lineRule="exact"/>
        <w:rPr>
          <w:rFonts w:ascii="Arial" w:cs="Arial" w:eastAsia="Arial" w:hAnsi="Arial"/>
          <w:sz w:val="18"/>
          <w:szCs w:val="18"/>
          <w:color w:val="auto"/>
        </w:rPr>
      </w:pPr>
    </w:p>
    <w:p>
      <w:pPr>
        <w:ind w:left="920" w:hanging="467"/>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8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July 1, 2019</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2021</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2020</w:t>
            </w:r>
          </w:p>
        </w:tc>
        <w:tc>
          <w:tcPr>
            <w:tcW w:w="160" w:type="dxa"/>
            <w:vAlign w:val="bottom"/>
          </w:tcPr>
          <w:p>
            <w:pPr>
              <w:spacing w:after="0"/>
              <w:rPr>
                <w:sz w:val="20"/>
                <w:szCs w:val="20"/>
                <w:color w:val="auto"/>
              </w:rPr>
            </w:pPr>
          </w:p>
        </w:tc>
      </w:tr>
      <w:tr>
        <w:trPr>
          <w:trHeight w:val="385"/>
        </w:trPr>
        <w:tc>
          <w:tcPr>
            <w:tcW w:w="722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7220" w:type="dxa"/>
            <w:vAlign w:val="bottom"/>
            <w:gridSpan w:val="3"/>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7220" w:type="dxa"/>
            <w:vAlign w:val="bottom"/>
            <w:gridSpan w:val="3"/>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3"/>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r>
      <w:tr>
        <w:trPr>
          <w:trHeight w:val="216"/>
        </w:trPr>
        <w:tc>
          <w:tcPr>
            <w:tcW w:w="7220" w:type="dxa"/>
            <w:vAlign w:val="bottom"/>
            <w:gridSpan w:val="3"/>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3"/>
          </w:tcPr>
          <w:p>
            <w:pPr>
              <w:ind w:left="4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2022</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2021</w:t>
            </w:r>
          </w:p>
        </w:tc>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9"/>
              </w:rPr>
              <w:t>June 30, 2020</w:t>
            </w:r>
          </w:p>
        </w:tc>
      </w:tr>
      <w:tr>
        <w:trPr>
          <w:trHeight w:val="216"/>
        </w:trPr>
        <w:tc>
          <w:tcPr>
            <w:tcW w:w="11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5" w:right="339" w:bottom="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sz w:val="20"/>
                <w:szCs w:val="20"/>
                <w:color w:val="auto"/>
              </w:rPr>
            </w:pPr>
            <w:r>
              <w:rPr>
                <w:rFonts w:ascii="Arial" w:cs="Arial" w:eastAsia="Arial" w:hAnsi="Arial"/>
                <w:sz w:val="18"/>
                <w:szCs w:val="18"/>
                <w:color w:val="auto"/>
              </w:rPr>
              <w:t>Commercial Lines (1):</w:t>
            </w:r>
          </w:p>
        </w:tc>
        <w:tc>
          <w:tcPr>
            <w:tcW w:w="2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liability commercial policies</w:t>
            </w: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ind w:left="420"/>
              <w:spacing w:after="0"/>
              <w:rPr>
                <w:sz w:val="20"/>
                <w:szCs w:val="20"/>
                <w:color w:val="auto"/>
              </w:rPr>
            </w:pPr>
            <w:r>
              <w:rPr>
                <w:rFonts w:ascii="Arial" w:cs="Arial" w:eastAsia="Arial" w:hAnsi="Arial"/>
                <w:sz w:val="18"/>
                <w:szCs w:val="18"/>
                <w:color w:val="auto"/>
              </w:rPr>
              <w:t>Quota share treaty</w:t>
            </w:r>
          </w:p>
        </w:tc>
        <w:tc>
          <w:tcPr>
            <w:tcW w:w="2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None</w:t>
            </w:r>
          </w:p>
        </w:tc>
      </w:tr>
      <w:tr>
        <w:trPr>
          <w:trHeight w:val="216"/>
        </w:trPr>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6460" w:type="dxa"/>
            <w:vAlign w:val="bottom"/>
            <w:gridSpan w:val="2"/>
          </w:tcPr>
          <w:p>
            <w:pPr>
              <w:ind w:left="420"/>
              <w:spacing w:after="0"/>
              <w:rPr>
                <w:sz w:val="20"/>
                <w:szCs w:val="20"/>
                <w:color w:val="auto"/>
              </w:rPr>
            </w:pPr>
            <w:r>
              <w:rPr>
                <w:rFonts w:ascii="Arial" w:cs="Arial" w:eastAsia="Arial" w:hAnsi="Arial"/>
                <w:sz w:val="18"/>
                <w:szCs w:val="18"/>
                <w:color w:val="auto"/>
              </w:rPr>
              <w:t>Excess of loss coverage above risk retained</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16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in excess of</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6"/>
              </w:rPr>
              <w:t>in excess of</w:t>
            </w:r>
          </w:p>
        </w:tc>
      </w:tr>
      <w:tr>
        <w:trPr>
          <w:trHeight w:val="216"/>
        </w:trPr>
        <w:tc>
          <w:tcPr>
            <w:tcW w:w="16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6460" w:type="dxa"/>
            <w:vAlign w:val="bottom"/>
            <w:gridSpan w:val="2"/>
          </w:tcPr>
          <w:p>
            <w:pPr>
              <w:ind w:left="420"/>
              <w:spacing w:after="0"/>
              <w:rPr>
                <w:sz w:val="20"/>
                <w:szCs w:val="20"/>
                <w:color w:val="auto"/>
              </w:rPr>
            </w:pPr>
            <w:r>
              <w:rPr>
                <w:rFonts w:ascii="Arial" w:cs="Arial" w:eastAsia="Arial" w:hAnsi="Arial"/>
                <w:sz w:val="18"/>
                <w:szCs w:val="18"/>
                <w:color w:val="auto"/>
              </w:rPr>
              <w:t>Losses per occurrence subject to reinsurance coverage</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4,500,000</w:t>
            </w:r>
          </w:p>
        </w:tc>
      </w:tr>
      <w:tr>
        <w:trPr>
          <w:trHeight w:val="216"/>
        </w:trPr>
        <w:tc>
          <w:tcPr>
            <w:tcW w:w="164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Commercial Umbrella</w:t>
            </w: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Quota share treaty</w:t>
            </w: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None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Approximate reinsurance recoverables on unpaid and paid losses by reinsurer at December 31, 2021 and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Unpaid</w:t>
            </w:r>
          </w:p>
        </w:tc>
        <w:tc>
          <w:tcPr>
            <w:tcW w:w="2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Paid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Security</w:t>
            </w:r>
          </w:p>
        </w:tc>
      </w:tr>
      <w:tr>
        <w:trPr>
          <w:trHeight w:val="210"/>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Cavello Bay Reinsurance Limited (1)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10,086(2)</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Swiss Reinsurance America Corporation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Hanover Rueck 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Allied World Assurance Company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791(3)</w:t>
            </w: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10,638</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6,496</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17,134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10,877</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Cavello Bay Reinsurance Limited (1)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10,086(2)</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Swiss Reinsurance America Corporation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13,618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Hanover Rueck 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Allied World Assurance Company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3,780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732(3)</w:t>
            </w: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20,154</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14,788</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34,941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10,818</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tables above may not sum to totals due to rounding)</w:t>
      </w:r>
    </w:p>
    <w:p>
      <w:pPr>
        <w:spacing w:after="0" w:line="225" w:lineRule="exact"/>
        <w:rPr>
          <w:sz w:val="20"/>
          <w:szCs w:val="20"/>
          <w:color w:val="auto"/>
        </w:rPr>
      </w:pPr>
    </w:p>
    <w:p>
      <w:pPr>
        <w:ind w:left="4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December 27, 2018, Enstar Group Limited announced that one of its wholly owned subsidiaries, Cavello Bay Reinsurance Limited, acquired Maiden Reinsurance North America, Inc.</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Secured pursuant to collateralized trust agreements.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December 31, 2021 and 2020, represents $791,000 and $732,000, respectively, guaranteed by irrevocable letters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held in the trusts referred to in footnote (2)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2021 and 2020 include unearned ceded premiums of approximately $23,159,000 and $282,000,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earn ceding commission revenue under the 2021/2023 Treaty based on a fixed provisional commission rate at which provisional ceding commissions will be earned.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ectPr>
          <w:pgSz w:w="11900" w:h="16838" w:orient="portrait"/>
          <w:cols w:equalWidth="0" w:num="1">
            <w:col w:w="11240"/>
          </w:cols>
          <w:pgMar w:left="320" w:top="108" w:right="339" w:bottom="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ultimate treaty year loss ratios (the “Loss Ratio(s)”) for treaties in effect during the year ended December 31, 2020 are attributable to contracts under the 2019/2020 Treaty. There was no quota share treaty in effect during the period from January 1, 2021 through December 30, 2021. In addition to the treaty that was in effect during the year ended December 31, 2020, the Loss Ratios from prior years’ treaties are subject to change as incurred losses from those periods increase or decrease, resulting in an increase or decrease in the commission rate and contingent ceding commissions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21"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908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14605</wp:posOffset>
            </wp:positionV>
            <wp:extent cx="1543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233,990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14,119,180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(144,309)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83,173</w:t>
            </w:r>
          </w:p>
        </w:tc>
      </w:tr>
      <w:tr>
        <w:trPr>
          <w:trHeight w:val="20"/>
        </w:trPr>
        <w:tc>
          <w:tcPr>
            <w:tcW w:w="8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14,202,353</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December 31, 2021 and 2020, net contingent ceding commissions payable to reinsurers under all treaties was approximately $2,881,000 and $2,604,000, respectively, which is recorded in reinsurance balances payable on the accompanying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Deferred Policy Acquisition Costs and Deferred Ceding Commission Revenue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policy acquisition costs incurred and policy-related ceding commission revenue are deferred and amortized to income on property and casualty insurance business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Net deferred policy acquisition costs, net of deferred ceding commission revenue, beginning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$ 20,048,996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$ 12,898,980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incurred and deferred:</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Commissions and brokerage</w:t>
            </w:r>
          </w:p>
        </w:tc>
        <w:tc>
          <w:tcPr>
            <w:tcW w:w="960" w:type="dxa"/>
            <w:vAlign w:val="bottom"/>
          </w:tcPr>
          <w:p>
            <w:pPr>
              <w:jc w:val="right"/>
              <w:spacing w:after="0"/>
              <w:rPr>
                <w:sz w:val="20"/>
                <w:szCs w:val="20"/>
                <w:color w:val="auto"/>
              </w:rPr>
            </w:pPr>
            <w:r>
              <w:rPr>
                <w:rFonts w:ascii="Arial" w:cs="Arial" w:eastAsia="Arial" w:hAnsi="Arial"/>
                <w:sz w:val="18"/>
                <w:szCs w:val="18"/>
                <w:color w:val="auto"/>
              </w:rPr>
              <w:t>35,128,938</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32,279,848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underwriting and policy acquisition costs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8,841,557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8,526,003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(7,257,909)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(13,680,042)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policy acquisition costs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36,712,586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27,125,809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Return of deferred ceding commission revenue due to termination of quota share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7,202,741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deferred ceding commission revenue due to inception of quota share</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(9,686,577)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(34,584,526)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(27,178,534)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(7,558,517)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7,150,016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deferred policy acquisition costs, net of deferred ceding commission revenue,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$ 12,490,479</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$ 20,048,996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policy acquisition costs and deferred ceding commission revenue as of December 31, 2021 and 2020 are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$ 22,238,987</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$ 20,142,515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Deferred ceding commission revenue</w:t>
            </w:r>
          </w:p>
        </w:tc>
        <w:tc>
          <w:tcPr>
            <w:tcW w:w="23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(9,748,508)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(93,519)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$ 12,490,479</w:t>
            </w:r>
          </w:p>
        </w:tc>
        <w:tc>
          <w:tcPr>
            <w:tcW w:w="180" w:type="dxa"/>
            <w:vAlign w:val="bottom"/>
            <w:tcBorders>
              <w:right w:val="single" w:sz="8" w:color="CCEEFF"/>
            </w:tcBorders>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$ 20,048,996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ectPr>
          <w:pgSz w:w="11900" w:h="16838" w:orient="portrait"/>
          <w:cols w:equalWidth="0" w:num="1">
            <w:col w:w="11240"/>
          </w:cols>
          <w:pgMar w:left="320" w:top="125" w:right="339" w:bottom="106"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December 31, 2021 and December 31, 2020,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If KICO has collateral, the maximum allowable advance as of December 31, 2021 and 2020 was approximately $13,419,000 and $1,206,600 respectively. Advances are limited to 85% of the amount of available collateral, which as of December 31, 2021 and 2020 was $-0- and approximately $9,682,000, respectively. There were no borrowings under this facility during the years ended December 31, 2021 and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debt as of December 31, 2021 and 2020 is as follows: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December</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Discount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(32,442)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(143,767)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Debt, net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$ 29,823,791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$ 29,647,611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 (“Make Whole Call”).</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Make Whole Call, management intends to retire the Notes at or close to the scheduled maturity date in December 2022. Management plans to refinance the Notes with a new issue of debt of similar or longer maturity that would result in net proceeds equal to or greater than the principal amount of the current issue. In connection therewith, the Company has engaged an investment banker to serve as exclusive placement agent for a proposed offering by the Company of its securities (including debt, equity and/or preferred securities). The engagement letter indicates that the offering would be of such size as to generate proceeds to the Company of no less than $30,000,000. The Company also plans to use dividends paid to it by KICO, its insurance subsidiary, to repay the Notes. Without the prior approval of the New York State Department of Financial Services, dividends are restricted to the lesser of 10% of surplus or 100% of investment income (on a statutory accounting basis) for the trailing 36 months, less dividends paid by KICO to the Company during such period. As of December 31, 2021, the maximum distribution that KICO could pay the Company without prior regulatory approval was approximately $3,448,000. Further, the Company plans to use available invested assets and cash to repay the Notes. As of December 31, 2021, invested assets and cash was approximately $1,108,000.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are summarized as follows:</w:t>
      </w:r>
    </w:p>
    <w:p>
      <w:pPr>
        <w:spacing w:after="0" w:line="221"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Accumulated</w:t>
      </w:r>
    </w:p>
    <w:p>
      <w:pPr>
        <w:sectPr>
          <w:pgSz w:w="11900" w:h="16838" w:orient="portrait"/>
          <w:cols w:equalWidth="0" w:num="1">
            <w:col w:w="11240"/>
          </w:cols>
          <w:pgMar w:left="320" w:top="125" w:right="339"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Depreciation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426"/>
        </w:trPr>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2,344,188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(855,558)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1,488,630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652,437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652,437</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office equipment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(797,618)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13,346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18,686,373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(11,601,776)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7,084,597</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(51,473)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47,879</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22,603,671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(13,312,074)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9,291,597</w:t>
            </w:r>
          </w:p>
        </w:tc>
      </w:tr>
      <w:tr>
        <w:trPr>
          <w:trHeight w:val="197"/>
        </w:trPr>
        <w:tc>
          <w:tcPr>
            <w:tcW w:w="7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Building</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2,344,188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(760,302)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1,583,886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652,437</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Furniture office equipment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(715,819)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86,506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16,284</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14,187,456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(8,491,325)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5,696,131</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47,879</w:t>
            </w:r>
          </w:p>
        </w:tc>
      </w:tr>
      <w:tr>
        <w:trPr>
          <w:trHeight w:val="20"/>
        </w:trPr>
        <w:tc>
          <w:tcPr>
            <w:tcW w:w="7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8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18,104,754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(10,021,631)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8,083,123</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2021 and 2020 was $3,290,445 and $2,864,583,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11 - Property and Casualty Insurance Activity</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Premiums written, ceded and earned are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Direct</w:t>
            </w:r>
          </w:p>
        </w:tc>
        <w:tc>
          <w:tcPr>
            <w:tcW w:w="980" w:type="dxa"/>
            <w:vAlign w:val="bottom"/>
          </w:tcPr>
          <w:p>
            <w:pPr>
              <w:jc w:val="right"/>
              <w:ind w:right="4"/>
              <w:spacing w:after="0"/>
              <w:rPr>
                <w:sz w:val="20"/>
                <w:szCs w:val="20"/>
                <w:color w:val="auto"/>
              </w:rPr>
            </w:pPr>
            <w:r>
              <w:rPr>
                <w:rFonts w:ascii="Arial" w:cs="Arial" w:eastAsia="Arial" w:hAnsi="Arial"/>
                <w:sz w:val="18"/>
                <w:szCs w:val="18"/>
                <w:b w:val="1"/>
                <w:bCs w:val="1"/>
                <w:color w:val="auto"/>
              </w:rPr>
              <w:t>Assumed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Ceded</w:t>
            </w:r>
          </w:p>
        </w:tc>
        <w:tc>
          <w:tcPr>
            <w:tcW w:w="1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181,665,178</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(52,909,694)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128,755,484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(7,750,334)</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22,876,569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15,126,235</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173,914,844</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(30,033,125)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143,881,719</w:t>
            </w:r>
          </w:p>
        </w:tc>
      </w:tr>
      <w:tr>
        <w:trPr>
          <w:trHeight w:val="41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written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169,317,904</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(42,255,383)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127,062,521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373,966</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(19,355,858)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(18,981,892)</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169,691,870</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(61,611,241)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108,080,629</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December 31, 2021 and 2020 was $2,693,466 and $2,660,354,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liability for loss and LAE expenses and related reinsurance receivables as of December 31, 2021 and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Reinsurance</w:t>
            </w:r>
          </w:p>
        </w:tc>
        <w:tc>
          <w:tcPr>
            <w:tcW w:w="0" w:type="dxa"/>
            <w:vAlign w:val="bottom"/>
          </w:tcPr>
          <w:p>
            <w:pPr>
              <w:spacing w:after="0"/>
              <w:rPr>
                <w:sz w:val="1"/>
                <w:szCs w:val="1"/>
                <w:color w:val="auto"/>
              </w:rPr>
            </w:pPr>
          </w:p>
        </w:tc>
      </w:tr>
      <w:tr>
        <w:trPr>
          <w:trHeight w:val="23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Liability</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Receivables</w:t>
            </w: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Case-basis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54,761,591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7,839,767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Loss adjustment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14,795,659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1,072,847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IBNR reserves</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25,391,495</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Recoverable on unpaid losses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10,637,679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Recoverable on paid losses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6,496,059</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loss and loss adjustment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94,948,745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17,133,738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Unearned premiums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23,158,700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Receivables - reinsurance contracts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reinsurance receivables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40,292,438</w:t>
            </w:r>
          </w:p>
        </w:tc>
        <w:tc>
          <w:tcPr>
            <w:tcW w:w="0" w:type="dxa"/>
            <w:vAlign w:val="bottom"/>
          </w:tcPr>
          <w:p>
            <w:pPr>
              <w:spacing w:after="0"/>
              <w:rPr>
                <w:sz w:val="1"/>
                <w:szCs w:val="1"/>
                <w:color w:val="auto"/>
              </w:rPr>
            </w:pPr>
          </w:p>
        </w:tc>
      </w:tr>
      <w:tr>
        <w:trPr>
          <w:trHeight w:val="196"/>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Case-basis reserves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47,657,198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15,432,347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Loss adjustment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13,610,284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1,882,419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IBNR reserves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21,533,746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Recoverable on unpaid losses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20,154,252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Recoverable on paid losses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14,787,037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loss and loss adjustment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82,801,228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34,941,289</w:t>
            </w:r>
          </w:p>
        </w:tc>
        <w:tc>
          <w:tcPr>
            <w:tcW w:w="0" w:type="dxa"/>
            <w:vAlign w:val="bottom"/>
          </w:tcPr>
          <w:p>
            <w:pPr>
              <w:spacing w:after="0"/>
              <w:rPr>
                <w:sz w:val="1"/>
                <w:szCs w:val="1"/>
                <w:color w:val="auto"/>
              </w:rPr>
            </w:pPr>
          </w:p>
        </w:tc>
      </w:tr>
      <w:tr>
        <w:trPr>
          <w:trHeight w:val="197"/>
        </w:trPr>
        <w:tc>
          <w:tcPr>
            <w:tcW w:w="8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Unearned premiums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282,131</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 - reinsurance contracts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10,237,309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Total reinsurance receivables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45,460,729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w w:val="99"/>
              </w:rPr>
              <w:t>The following table provides a reconciliation of the beginning and ending balances for unpaid losses and LAE:</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82,801,228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80,498,611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(20,154,251)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(15,728,224)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62,646,977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64,770,387</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101,987,855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66,389,907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41,165</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101,972,596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66,431,072</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60,171,695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41,100,578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20,136,812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27,453,904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80,308,507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68,554,482</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84,311,066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62,646,977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10,637,679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20,154,251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94,948,745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82,801,228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$968,220 and $27,951,005 for the years ended December 31,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years ended December 31, 2021 and 2020 was $15,259 favorable and $41,165 unfavorable,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70"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ectPr>
          <w:pgSz w:w="11900" w:h="16838" w:orient="portrait"/>
          <w:cols w:equalWidth="0" w:num="1">
            <w:col w:w="11240"/>
          </w:cols>
          <w:pgMar w:left="320" w:top="125" w:right="339" w:bottom="0" w:gutter="0" w:footer="0" w:header="0"/>
        </w:sectPr>
      </w:pPr>
    </w:p>
    <w:bookmarkStart w:id="71" w:name="page72"/>
    <w:bookmarkEnd w:id="7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ind w:left="620" w:right="4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ind w:left="620" w:right="18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ind w:left="620" w:right="4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2018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December 31, 2021, net of reinsurance, as well as the cumulative reported claims by accident year and total IBNR reserves as of December 31, 2021 included in the net incurred loss and allocated expense amounts. The historical information regarding incurred and paid claims development for the years ended December 31, 2012 to December 31, 2020 is presented as supplementary unaudited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2"/>
              </w:rPr>
              <w:t>All Lines of Business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7"/>
              </w:rPr>
              <w:t>(in thousands, except reported claims data)</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gridSpan w:val="2"/>
            <w:vMerge w:val="restart"/>
          </w:tcPr>
          <w:p>
            <w:pPr>
              <w:jc w:val="center"/>
              <w:ind w:right="53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15"/>
          </w:tcPr>
          <w:p>
            <w:pPr>
              <w:jc w:val="center"/>
              <w:ind w:left="70"/>
              <w:spacing w:after="0"/>
              <w:rPr>
                <w:sz w:val="20"/>
                <w:szCs w:val="20"/>
                <w:color w:val="auto"/>
              </w:rPr>
            </w:pPr>
            <w:r>
              <w:rPr>
                <w:rFonts w:ascii="Arial" w:cs="Arial" w:eastAsia="Arial" w:hAnsi="Arial"/>
                <w:sz w:val="18"/>
                <w:szCs w:val="18"/>
                <w:b w:val="1"/>
                <w:bCs w:val="1"/>
                <w:color w:val="auto"/>
                <w:w w:val="89"/>
              </w:rPr>
              <w:t>Incurred Loss and Allocated Loss Adjustment Expenses, Net of Reinsurance</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Cumulative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Claims by</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Accident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Accident</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center"/>
              <w:ind w:left="50"/>
              <w:spacing w:after="0"/>
              <w:rPr>
                <w:sz w:val="20"/>
                <w:szCs w:val="20"/>
                <w:color w:val="auto"/>
              </w:rPr>
            </w:pPr>
            <w:r>
              <w:rPr>
                <w:rFonts w:ascii="Arial" w:cs="Arial" w:eastAsia="Arial" w:hAnsi="Arial"/>
                <w:sz w:val="18"/>
                <w:szCs w:val="18"/>
                <w:b w:val="1"/>
                <w:bCs w:val="1"/>
                <w:color w:val="auto"/>
                <w:w w:val="89"/>
              </w:rPr>
              <w:t>For the Years Ended December 31,</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IBNR</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(Unaudited 2012 - 2020)</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41" w:right="3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2012</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$ 9,539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$ 10,278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$ 10,382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$ 10,582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$ 10,790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$ 10,791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$ 11,015</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$ 10,885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4,704(1)</w:t>
            </w:r>
          </w:p>
        </w:tc>
      </w:tr>
      <w:tr>
        <w:trPr>
          <w:trHeight w:val="2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2013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10,728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9,745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9,621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10,061</w:t>
            </w:r>
          </w:p>
        </w:tc>
        <w:tc>
          <w:tcPr>
            <w:tcW w:w="780" w:type="dxa"/>
            <w:vAlign w:val="bottom"/>
          </w:tcPr>
          <w:p>
            <w:pPr>
              <w:jc w:val="right"/>
              <w:spacing w:after="0"/>
              <w:rPr>
                <w:sz w:val="20"/>
                <w:szCs w:val="20"/>
                <w:color w:val="auto"/>
              </w:rPr>
            </w:pPr>
            <w:r>
              <w:rPr>
                <w:rFonts w:ascii="Arial" w:cs="Arial" w:eastAsia="Arial" w:hAnsi="Arial"/>
                <w:sz w:val="18"/>
                <w:szCs w:val="18"/>
                <w:color w:val="auto"/>
              </w:rPr>
              <w:t>10,089</w:t>
            </w:r>
          </w:p>
        </w:tc>
        <w:tc>
          <w:tcPr>
            <w:tcW w:w="800" w:type="dxa"/>
            <w:vAlign w:val="bottom"/>
          </w:tcPr>
          <w:p>
            <w:pPr>
              <w:jc w:val="right"/>
              <w:spacing w:after="0"/>
              <w:rPr>
                <w:sz w:val="20"/>
                <w:szCs w:val="20"/>
                <w:color w:val="auto"/>
              </w:rPr>
            </w:pPr>
            <w:r>
              <w:rPr>
                <w:rFonts w:ascii="Arial" w:cs="Arial" w:eastAsia="Arial" w:hAnsi="Arial"/>
                <w:sz w:val="18"/>
                <w:szCs w:val="18"/>
                <w:color w:val="auto"/>
              </w:rPr>
              <w:t>10,607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10,529</w:t>
            </w: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49</w:t>
            </w:r>
          </w:p>
        </w:tc>
        <w:tc>
          <w:tcPr>
            <w:tcW w:w="1060" w:type="dxa"/>
            <w:vAlign w:val="bottom"/>
          </w:tcPr>
          <w:p>
            <w:pPr>
              <w:ind w:left="440"/>
              <w:spacing w:after="0"/>
              <w:rPr>
                <w:sz w:val="20"/>
                <w:szCs w:val="20"/>
                <w:color w:val="auto"/>
              </w:rPr>
            </w:pPr>
            <w:r>
              <w:rPr>
                <w:rFonts w:ascii="Arial" w:cs="Arial" w:eastAsia="Arial" w:hAnsi="Arial"/>
                <w:sz w:val="18"/>
                <w:szCs w:val="18"/>
                <w:color w:val="auto"/>
              </w:rPr>
              <w:t>1,564</w:t>
            </w:r>
          </w:p>
        </w:tc>
      </w:tr>
      <w:tr>
        <w:trPr>
          <w:trHeight w:val="216"/>
        </w:trPr>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14,193</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14,260</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2,138</w:t>
            </w:r>
          </w:p>
        </w:tc>
      </w:tr>
      <w:tr>
        <w:trPr>
          <w:trHeight w:val="2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22,340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21,994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22,148</w:t>
            </w:r>
          </w:p>
        </w:tc>
        <w:tc>
          <w:tcPr>
            <w:tcW w:w="780" w:type="dxa"/>
            <w:vAlign w:val="bottom"/>
          </w:tcPr>
          <w:p>
            <w:pPr>
              <w:jc w:val="right"/>
              <w:spacing w:after="0"/>
              <w:rPr>
                <w:sz w:val="20"/>
                <w:szCs w:val="20"/>
                <w:color w:val="auto"/>
              </w:rPr>
            </w:pPr>
            <w:r>
              <w:rPr>
                <w:rFonts w:ascii="Arial" w:cs="Arial" w:eastAsia="Arial" w:hAnsi="Arial"/>
                <w:sz w:val="18"/>
                <w:szCs w:val="18"/>
                <w:color w:val="auto"/>
              </w:rPr>
              <w:t>22,491</w:t>
            </w:r>
          </w:p>
        </w:tc>
        <w:tc>
          <w:tcPr>
            <w:tcW w:w="800" w:type="dxa"/>
            <w:vAlign w:val="bottom"/>
          </w:tcPr>
          <w:p>
            <w:pPr>
              <w:jc w:val="right"/>
              <w:spacing w:after="0"/>
              <w:rPr>
                <w:sz w:val="20"/>
                <w:szCs w:val="20"/>
                <w:color w:val="auto"/>
              </w:rPr>
            </w:pPr>
            <w:r>
              <w:rPr>
                <w:rFonts w:ascii="Arial" w:cs="Arial" w:eastAsia="Arial" w:hAnsi="Arial"/>
                <w:sz w:val="18"/>
                <w:szCs w:val="18"/>
                <w:color w:val="auto"/>
              </w:rPr>
              <w:t>23,386</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23,528</w:t>
            </w: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w:t>
            </w:r>
          </w:p>
        </w:tc>
        <w:tc>
          <w:tcPr>
            <w:tcW w:w="1060" w:type="dxa"/>
            <w:vAlign w:val="bottom"/>
          </w:tcPr>
          <w:p>
            <w:pPr>
              <w:ind w:left="440"/>
              <w:spacing w:after="0"/>
              <w:rPr>
                <w:sz w:val="20"/>
                <w:szCs w:val="20"/>
                <w:color w:val="auto"/>
              </w:rPr>
            </w:pPr>
            <w:r>
              <w:rPr>
                <w:rFonts w:ascii="Arial" w:cs="Arial" w:eastAsia="Arial" w:hAnsi="Arial"/>
                <w:sz w:val="18"/>
                <w:szCs w:val="18"/>
                <w:color w:val="auto"/>
              </w:rPr>
              <w:t>2,558</w:t>
            </w:r>
          </w:p>
        </w:tc>
      </w:tr>
      <w:tr>
        <w:trPr>
          <w:trHeight w:val="216"/>
        </w:trPr>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232</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2,880</w:t>
            </w:r>
          </w:p>
        </w:tc>
      </w:tr>
      <w:tr>
        <w:trPr>
          <w:trHeight w:val="2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31,605</w:t>
            </w:r>
          </w:p>
        </w:tc>
        <w:tc>
          <w:tcPr>
            <w:tcW w:w="780" w:type="dxa"/>
            <w:vAlign w:val="bottom"/>
          </w:tcPr>
          <w:p>
            <w:pPr>
              <w:jc w:val="right"/>
              <w:spacing w:after="0"/>
              <w:rPr>
                <w:sz w:val="20"/>
                <w:szCs w:val="20"/>
                <w:color w:val="auto"/>
              </w:rPr>
            </w:pPr>
            <w:r>
              <w:rPr>
                <w:rFonts w:ascii="Arial" w:cs="Arial" w:eastAsia="Arial" w:hAnsi="Arial"/>
                <w:sz w:val="18"/>
                <w:szCs w:val="18"/>
                <w:color w:val="auto"/>
              </w:rPr>
              <w:t>32,169</w:t>
            </w:r>
          </w:p>
        </w:tc>
        <w:tc>
          <w:tcPr>
            <w:tcW w:w="800" w:type="dxa"/>
            <w:vAlign w:val="bottom"/>
          </w:tcPr>
          <w:p>
            <w:pPr>
              <w:jc w:val="right"/>
              <w:spacing w:after="0"/>
              <w:rPr>
                <w:sz w:val="20"/>
                <w:szCs w:val="20"/>
                <w:color w:val="auto"/>
              </w:rPr>
            </w:pPr>
            <w:r>
              <w:rPr>
                <w:rFonts w:ascii="Arial" w:cs="Arial" w:eastAsia="Arial" w:hAnsi="Arial"/>
                <w:sz w:val="18"/>
                <w:szCs w:val="18"/>
                <w:color w:val="auto"/>
              </w:rPr>
              <w:t>35,304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36,532</w:t>
            </w: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424</w:t>
            </w:r>
          </w:p>
        </w:tc>
        <w:tc>
          <w:tcPr>
            <w:tcW w:w="1060" w:type="dxa"/>
            <w:vAlign w:val="bottom"/>
          </w:tcPr>
          <w:p>
            <w:pPr>
              <w:ind w:left="440"/>
              <w:spacing w:after="0"/>
              <w:rPr>
                <w:sz w:val="20"/>
                <w:szCs w:val="20"/>
                <w:color w:val="auto"/>
              </w:rPr>
            </w:pPr>
            <w:r>
              <w:rPr>
                <w:rFonts w:ascii="Arial" w:cs="Arial" w:eastAsia="Arial" w:hAnsi="Arial"/>
                <w:sz w:val="18"/>
                <w:szCs w:val="18"/>
                <w:color w:val="auto"/>
              </w:rPr>
              <w:t>3,397</w:t>
            </w:r>
          </w:p>
        </w:tc>
      </w:tr>
      <w:tr>
        <w:trPr>
          <w:trHeight w:val="216"/>
        </w:trPr>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2018</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56,351</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891</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4,224</w:t>
            </w:r>
          </w:p>
        </w:tc>
      </w:tr>
      <w:tr>
        <w:trPr>
          <w:trHeight w:val="2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75,092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72,368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71,544</w:t>
            </w: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6,269</w:t>
            </w:r>
          </w:p>
        </w:tc>
        <w:tc>
          <w:tcPr>
            <w:tcW w:w="1060" w:type="dxa"/>
            <w:vAlign w:val="bottom"/>
          </w:tcPr>
          <w:p>
            <w:pPr>
              <w:ind w:left="440"/>
              <w:spacing w:after="0"/>
              <w:rPr>
                <w:sz w:val="20"/>
                <w:szCs w:val="20"/>
                <w:color w:val="auto"/>
              </w:rPr>
            </w:pPr>
            <w:r>
              <w:rPr>
                <w:rFonts w:ascii="Arial" w:cs="Arial" w:eastAsia="Arial" w:hAnsi="Arial"/>
                <w:sz w:val="18"/>
                <w:szCs w:val="18"/>
                <w:color w:val="auto"/>
              </w:rPr>
              <w:t>4,475</w:t>
            </w:r>
          </w:p>
        </w:tc>
      </w:tr>
      <w:tr>
        <w:trPr>
          <w:trHeight w:val="216"/>
        </w:trPr>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62,833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5,533</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5,839</w:t>
            </w:r>
          </w:p>
        </w:tc>
      </w:tr>
      <w:tr>
        <w:trPr>
          <w:trHeight w:val="216"/>
        </w:trPr>
        <w:tc>
          <w:tcPr>
            <w:tcW w:w="92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w w:val="90"/>
              </w:rPr>
              <w:t>16,479</w:t>
            </w:r>
          </w:p>
        </w:tc>
        <w:tc>
          <w:tcPr>
            <w:tcW w:w="1060" w:type="dxa"/>
            <w:vAlign w:val="bottom"/>
          </w:tcPr>
          <w:p>
            <w:pPr>
              <w:ind w:left="440"/>
              <w:spacing w:after="0"/>
              <w:rPr>
                <w:sz w:val="20"/>
                <w:szCs w:val="20"/>
                <w:color w:val="auto"/>
              </w:rPr>
            </w:pPr>
            <w:r>
              <w:rPr>
                <w:rFonts w:ascii="Arial" w:cs="Arial" w:eastAsia="Arial" w:hAnsi="Arial"/>
                <w:sz w:val="18"/>
                <w:szCs w:val="18"/>
                <w:color w:val="auto"/>
              </w:rPr>
              <w:t>5,572</w:t>
            </w:r>
          </w:p>
        </w:tc>
      </w:tr>
      <w:tr>
        <w:trPr>
          <w:trHeight w:val="209"/>
        </w:trPr>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415,527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Reported claims for accident year 2012 includes 3,406 claims from Superstorm Sandy.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Cumulative Paid Loss and Allocated Loss Adjustment Expenses,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6120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jc w:val="center"/>
        <w:ind w:left="136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6120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 w:lineRule="exact"/>
        <w:rPr>
          <w:sz w:val="20"/>
          <w:szCs w:val="20"/>
          <w:color w:val="auto"/>
        </w:rPr>
      </w:pPr>
    </w:p>
    <w:p>
      <w:pPr>
        <w:ind w:left="1700" w:right="320" w:hanging="4742"/>
        <w:spacing w:after="0" w:line="266" w:lineRule="auto"/>
        <w:tabs>
          <w:tab w:leader="none" w:pos="1680" w:val="left"/>
        </w:tabs>
        <w:rPr>
          <w:sz w:val="20"/>
          <w:szCs w:val="20"/>
          <w:color w:val="auto"/>
        </w:rPr>
      </w:pPr>
      <w:r>
        <w:rPr>
          <w:rFonts w:ascii="Arial" w:cs="Arial" w:eastAsia="Arial" w:hAnsi="Arial"/>
          <w:sz w:val="18"/>
          <w:szCs w:val="18"/>
          <w:b w:val="1"/>
          <w:bCs w:val="1"/>
          <w:color w:val="auto"/>
        </w:rPr>
        <w:t>Accident Year</w:t>
      </w:r>
      <w:r>
        <w:rPr>
          <w:sz w:val="20"/>
          <w:szCs w:val="20"/>
          <w:color w:val="auto"/>
        </w:rPr>
        <w:tab/>
      </w:r>
      <w:r>
        <w:rPr>
          <w:rFonts w:ascii="Arial" w:cs="Arial" w:eastAsia="Arial" w:hAnsi="Arial"/>
          <w:sz w:val="18"/>
          <w:szCs w:val="18"/>
          <w:b w:val="1"/>
          <w:bCs w:val="1"/>
          <w:color w:val="auto"/>
        </w:rPr>
        <w:t>2012 2013 2014 2015 2016 2017 2018 2019 2020 2021 (Unaudited 2012 - 2020)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145415</wp:posOffset>
            </wp:positionV>
            <wp:extent cx="54946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2012</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9,187</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10,236</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10,323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10,428</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10,579</w:t>
            </w:r>
          </w:p>
        </w:tc>
      </w:tr>
      <w:tr>
        <w:trPr>
          <w:trHeight w:val="2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3,405</w:t>
            </w:r>
          </w:p>
        </w:tc>
        <w:tc>
          <w:tcPr>
            <w:tcW w:w="3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5,303</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6,633</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7,591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8,407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9,056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9,717</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r>
      <w:tr>
        <w:trPr>
          <w:trHeight w:val="216"/>
        </w:trPr>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10,738</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14,901</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w:t>
            </w:r>
          </w:p>
        </w:tc>
      </w:tr>
      <w:tr>
        <w:trPr>
          <w:trHeight w:val="2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12,295</w:t>
            </w:r>
          </w:p>
        </w:tc>
        <w:tc>
          <w:tcPr>
            <w:tcW w:w="3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16,181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18,266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19,984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21,067</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22,318</w:t>
            </w:r>
          </w:p>
        </w:tc>
      </w:tr>
      <w:tr>
        <w:trPr>
          <w:trHeight w:val="216"/>
        </w:trPr>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2016</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15,364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19,001</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23,974</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25,750</w:t>
            </w:r>
          </w:p>
        </w:tc>
      </w:tr>
      <w:tr>
        <w:trPr>
          <w:trHeight w:val="2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16,704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24,820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28,693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32,529</w:t>
            </w:r>
          </w:p>
        </w:tc>
      </w:tr>
      <w:tr>
        <w:trPr>
          <w:trHeight w:val="216"/>
        </w:trPr>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2018</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32,383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44,516</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52,025</w:t>
            </w:r>
          </w:p>
        </w:tc>
      </w:tr>
      <w:tr>
        <w:trPr>
          <w:trHeight w:val="2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40,933</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58,055</w:t>
            </w:r>
          </w:p>
        </w:tc>
      </w:tr>
      <w:tr>
        <w:trPr>
          <w:trHeight w:val="216"/>
        </w:trPr>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50,719</w:t>
            </w:r>
          </w:p>
        </w:tc>
      </w:tr>
      <w:tr>
        <w:trPr>
          <w:trHeight w:val="216"/>
        </w:trPr>
        <w:tc>
          <w:tcPr>
            <w:tcW w:w="1180" w:type="dxa"/>
            <w:vAlign w:val="bottom"/>
          </w:tcPr>
          <w:p>
            <w:pPr>
              <w:jc w:val="right"/>
              <w:ind w:right="210"/>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w:t>
            </w:r>
          </w:p>
        </w:tc>
        <w:tc>
          <w:tcPr>
            <w:tcW w:w="100" w:type="dxa"/>
            <w:vAlign w:val="bottom"/>
          </w:tcPr>
          <w:p>
            <w:pPr>
              <w:spacing w:after="0"/>
              <w:rPr>
                <w:sz w:val="18"/>
                <w:szCs w:val="18"/>
                <w:color w:val="auto"/>
              </w:rPr>
            </w:pPr>
          </w:p>
        </w:tc>
      </w:tr>
      <w:tr>
        <w:trPr>
          <w:trHeight w:val="209"/>
        </w:trPr>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334,417</w:t>
            </w:r>
          </w:p>
        </w:tc>
      </w:tr>
      <w:tr>
        <w:trPr>
          <w:trHeight w:val="210"/>
        </w:trPr>
        <w:tc>
          <w:tcPr>
            <w:tcW w:w="1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gridSpan w:val="11"/>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560" w:type="dxa"/>
            <w:vAlign w:val="bottom"/>
            <w:gridSpan w:val="11"/>
            <w:shd w:val="clear" w:color="auto" w:fill="CCEEFF"/>
          </w:tcPr>
          <w:p>
            <w:pPr>
              <w:jc w:val="right"/>
              <w:ind w:right="30"/>
              <w:spacing w:after="0"/>
              <w:rPr>
                <w:sz w:val="20"/>
                <w:szCs w:val="20"/>
                <w:color w:val="auto"/>
              </w:rPr>
            </w:pPr>
            <w:r>
              <w:rPr>
                <w:rFonts w:ascii="Arial" w:cs="Arial" w:eastAsia="Arial" w:hAnsi="Arial"/>
                <w:sz w:val="18"/>
                <w:szCs w:val="18"/>
                <w:color w:val="auto"/>
                <w:w w:val="93"/>
              </w:rPr>
              <w:t>Net liability for unpaid loss and allocated loss adjustment expenses for the accident years presented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81,110</w:t>
            </w:r>
          </w:p>
        </w:tc>
      </w:tr>
      <w:tr>
        <w:trPr>
          <w:trHeight w:val="216"/>
        </w:trPr>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40" w:type="dxa"/>
            <w:vAlign w:val="bottom"/>
            <w:gridSpan w:val="5"/>
          </w:tcPr>
          <w:p>
            <w:pPr>
              <w:jc w:val="right"/>
              <w:ind w:right="30"/>
              <w:spacing w:after="0"/>
              <w:rPr>
                <w:sz w:val="20"/>
                <w:szCs w:val="20"/>
                <w:color w:val="auto"/>
              </w:rPr>
            </w:pPr>
            <w:r>
              <w:rPr>
                <w:rFonts w:ascii="Arial" w:cs="Arial" w:eastAsia="Arial" w:hAnsi="Arial"/>
                <w:sz w:val="18"/>
                <w:szCs w:val="18"/>
                <w:color w:val="auto"/>
              </w:rPr>
              <w:t>All outstanding liabilities before 2012, net of reinsurance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r>
      <w:tr>
        <w:trPr>
          <w:trHeight w:val="250"/>
        </w:trPr>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7"/>
            <w:shd w:val="clear" w:color="auto" w:fill="CCEEFF"/>
          </w:tcPr>
          <w:p>
            <w:pPr>
              <w:jc w:val="right"/>
              <w:ind w:right="30"/>
              <w:spacing w:after="0"/>
              <w:rPr>
                <w:sz w:val="20"/>
                <w:szCs w:val="20"/>
                <w:color w:val="auto"/>
              </w:rPr>
            </w:pPr>
            <w:r>
              <w:rPr>
                <w:rFonts w:ascii="Arial" w:cs="Arial" w:eastAsia="Arial" w:hAnsi="Arial"/>
                <w:sz w:val="18"/>
                <w:szCs w:val="18"/>
                <w:color w:val="auto"/>
                <w:w w:val="90"/>
              </w:rPr>
              <w:t>Liabilities for loss and allocated loss adjustment expenses, net of reinsurance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the liability for loss and LAE reserves in the consolidated balance sheet is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9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81,218</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18"/>
                <w:szCs w:val="18"/>
                <w:color w:val="auto"/>
              </w:rPr>
            </w:pPr>
          </w:p>
        </w:tc>
      </w:tr>
      <w:tr>
        <w:trPr>
          <w:trHeight w:val="216"/>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94,949</w:t>
            </w:r>
          </w:p>
        </w:tc>
        <w:tc>
          <w:tcPr>
            <w:tcW w:w="10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supplementary unaudited information about average historical claims duration as of December 31, 2021:</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Average Annual Percentage Payout of Incurred Loss and Allocated Loss Adjustment Expenses by Age, Net of Reinsurance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Years</w:t>
            </w: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10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w:t>
            </w:r>
          </w:p>
        </w:tc>
        <w:tc>
          <w:tcPr>
            <w:tcW w:w="10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02"/>
        </w:trPr>
        <w:tc>
          <w:tcPr>
            <w:tcW w:w="1120" w:type="dxa"/>
            <w:vAlign w:val="bottom"/>
          </w:tcPr>
          <w:p>
            <w:pPr>
              <w:spacing w:after="0" w:line="201" w:lineRule="exact"/>
              <w:rPr>
                <w:sz w:val="20"/>
                <w:szCs w:val="20"/>
                <w:color w:val="auto"/>
              </w:rPr>
            </w:pPr>
            <w:r>
              <w:rPr>
                <w:rFonts w:ascii="Arial" w:cs="Arial" w:eastAsia="Arial" w:hAnsi="Arial"/>
                <w:sz w:val="18"/>
                <w:szCs w:val="18"/>
                <w:color w:val="auto"/>
              </w:rPr>
              <w:t>All Lines</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of Business</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49.0%</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7.5%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in the above table do not add up to 100 because the percentages represent averages across all accident years at each development stage.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ectPr>
          <w:pgSz w:w="11900" w:h="16838" w:orient="portrait"/>
          <w:cols w:equalWidth="0" w:num="1">
            <w:col w:w="11240"/>
          </w:cols>
          <w:pgMar w:left="320" w:top="140" w:right="339" w:bottom="0" w:gutter="0" w:footer="0" w:header="0"/>
        </w:sectPr>
      </w:pPr>
    </w:p>
    <w:bookmarkStart w:id="73" w:name="page74"/>
    <w:bookmarkEnd w:id="73"/>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Dividends declared and paid on Common Stock were $1,694,148 and $1,957,142 for the years ended December 31, 2021 and 2020, respectively. The Company announced on February 2, 2022 that its Board of Directors approved a quarterly dividend of $0.04 per share payable in cash on March 15, 2022 to stockholders of record as of February 28, 2022 (see Note 19 -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the years ended December 31, 2021 and 2020 include stock-based compensation expense for stock options totaling approximately $55,000 and $68,000, respectively. Stock-based compensation expense related to stock options for the years ended December 31, 2021 and 2020 is net of estimated forfeitures of approximately 16% for both periods. Such amounts have been included in the consolidated statements of operations and comprehensive income (loss) within other operating expenses.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options were granted during the year ended December 31, 2021. The weighted average estimated fair value of stock options granted during the year ended December 31, 2020 was $1.66 per share. The fair value of stock options at the grant date was estimated using the Black-Scholes option-pricing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21"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Years ended</w:t>
      </w:r>
    </w:p>
    <w:p>
      <w:pPr>
        <w:spacing w:after="0" w:line="27"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7300" w:type="dxa"/>
            <w:vAlign w:val="bottom"/>
            <w:gridSpan w:val="2"/>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n/a</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40" w:type="dxa"/>
            <w:vAlign w:val="bottom"/>
          </w:tcPr>
          <w:p>
            <w:pPr>
              <w:ind w:left="20"/>
              <w:spacing w:after="0"/>
              <w:rPr>
                <w:sz w:val="20"/>
                <w:szCs w:val="20"/>
                <w:color w:val="auto"/>
              </w:rPr>
            </w:pPr>
            <w:r>
              <w:rPr>
                <w:rFonts w:ascii="Arial" w:cs="Arial" w:eastAsia="Arial" w:hAnsi="Arial"/>
                <w:sz w:val="18"/>
                <w:szCs w:val="18"/>
                <w:color w:val="auto"/>
                <w:w w:val="79"/>
              </w:rPr>
              <w:t>n/a</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year ended December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3200" w:type="dxa"/>
            <w:vAlign w:val="bottom"/>
          </w:tcPr>
          <w:p>
            <w:pPr>
              <w:ind w:left="1160"/>
              <w:spacing w:after="0"/>
              <w:rPr>
                <w:sz w:val="20"/>
                <w:szCs w:val="20"/>
                <w:color w:val="auto"/>
              </w:rPr>
            </w:pPr>
            <w:r>
              <w:rPr>
                <w:rFonts w:ascii="Arial" w:cs="Arial" w:eastAsia="Arial" w:hAnsi="Arial"/>
                <w:sz w:val="18"/>
                <w:szCs w:val="18"/>
                <w:b w:val="1"/>
                <w:b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12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119,966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2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29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2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128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2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1280" w:type="dxa"/>
            <w:vAlign w:val="bottom"/>
            <w:tcBorders>
              <w:top w:val="single" w:sz="8" w:color="CCEEFF"/>
            </w:tcBorders>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Exercisable at December 31, 2021</w:t>
            </w:r>
          </w:p>
        </w:tc>
        <w:tc>
          <w:tcPr>
            <w:tcW w:w="1580" w:type="dxa"/>
            <w:vAlign w:val="bottom"/>
            <w:gridSpan w:val="2"/>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gridSpan w:val="2"/>
          </w:tcPr>
          <w:p>
            <w:pPr>
              <w:ind w:left="980"/>
              <w:spacing w:after="0"/>
              <w:rPr>
                <w:sz w:val="20"/>
                <w:szCs w:val="20"/>
                <w:color w:val="auto"/>
              </w:rPr>
            </w:pPr>
            <w:r>
              <w:rPr>
                <w:rFonts w:ascii="Arial" w:cs="Arial" w:eastAsia="Arial" w:hAnsi="Arial"/>
                <w:sz w:val="18"/>
                <w:szCs w:val="18"/>
                <w:color w:val="auto"/>
              </w:rPr>
              <w:t>F-40</w:t>
            </w: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ectPr>
          <w:pgSz w:w="11900" w:h="16882" w:orient="portrait"/>
          <w:cols w:equalWidth="0" w:num="1">
            <w:col w:w="11240"/>
          </w:cols>
          <w:pgMar w:left="320" w:top="125" w:right="339" w:bottom="0" w:gutter="0" w:footer="0" w:header="0"/>
        </w:sectPr>
      </w:pPr>
    </w:p>
    <w:bookmarkStart w:id="74" w:name="page75"/>
    <w:bookmarkEnd w:id="74"/>
    <w:p>
      <w:pPr>
        <w:jc w:val="both"/>
        <w:spacing w:after="0" w:line="301" w:lineRule="auto"/>
        <w:rPr>
          <w:sz w:val="20"/>
          <w:szCs w:val="20"/>
          <w:color w:val="auto"/>
        </w:rPr>
      </w:pPr>
      <w:r>
        <w:rPr>
          <w:rFonts w:ascii="Arial" w:cs="Arial" w:eastAsia="Arial" w:hAnsi="Arial"/>
          <w:sz w:val="16"/>
          <w:szCs w:val="16"/>
          <w:color w:val="auto"/>
        </w:rPr>
        <w:t>The aggregate intrinsic value of options outstanding and options exercisable at December 31, 2021 is calculated as the difference between the exercise price of the underlying options and the market price of the Company’s Common Stock for the options that had exercise prices that were lower than the $5.00 closing price of the Company’s Common Stock on December 31, 2021. No options were exercised during the year ended December 31, 2021. The total intrinsic value of options forfeited during the year ended December 31, 2021 was $-0-, determined as of the date of forfeiture.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estimated fair value of unamortized compensation cost related to unvested stock option awards was approximately $9,000.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Unamortized compensation cost as of December 31, 2021 is expected to be recognized over a remaining weighted-average vesting period of 0.50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were 440,774 shares reserved for grants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restricted Common Stock activity under the Company’s 2014 Plan for the year ended December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Date Fair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Aggregate</w:t>
            </w:r>
          </w:p>
        </w:tc>
      </w:tr>
      <w:tr>
        <w:trPr>
          <w:trHeight w:val="234"/>
        </w:trPr>
        <w:tc>
          <w:tcPr>
            <w:tcW w:w="7280" w:type="dxa"/>
            <w:vAlign w:val="bottom"/>
          </w:tcPr>
          <w:p>
            <w:pPr>
              <w:ind w:left="270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per Share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3,990,999</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392,435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3,144,323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(114,432)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(1,060,727)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628,531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6,074,595</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years ended December 31, 2021 and 2020, stock-based compensation for these grants was approximately $1,846,000 and $1,703,000, respectively, which is included in other operating expenses on the accompanying consolidated statements of operations and comprehensive income (loss). These amounts reflect the Company’s accounting expense and do not correspond to the actual value that will be recognized by the directors, executives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4"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ESPP currently provides for an offering period from November 1, 2021 through October 31, 2022 (“2021/2022 Offering”). For the years ended December 31, 2021 and 2020, stock-based compensation under the 2021/2022 Offering was approximately $4,000 and $-0-, respectively, which is included in other operating expenses on the accompanying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Statutory Financial Information and Accounting Policies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regulatory purposes, KICO prepares its statutory basis financial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spacing w:after="0" w:line="176" w:lineRule="exact"/>
        <w:rPr>
          <w:sz w:val="20"/>
          <w:szCs w:val="20"/>
          <w:color w:val="auto"/>
        </w:rPr>
      </w:pPr>
    </w:p>
    <w:p>
      <w:pPr>
        <w:ind w:left="46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Policy acquisition costs are charged to operations in the year such costs are incurred, rather than being deferred and amortized as premiums are earned over the terms of the policies.</w:t>
      </w:r>
    </w:p>
    <w:p>
      <w:pPr>
        <w:spacing w:after="0" w:line="170" w:lineRule="exact"/>
        <w:rPr>
          <w:rFonts w:ascii="Arial" w:cs="Arial" w:eastAsia="Arial" w:hAnsi="Arial"/>
          <w:sz w:val="18"/>
          <w:szCs w:val="18"/>
          <w:color w:val="auto"/>
        </w:rPr>
      </w:pPr>
    </w:p>
    <w:p>
      <w:pPr>
        <w:jc w:val="both"/>
        <w:ind w:left="460" w:hanging="452"/>
        <w:spacing w:after="0" w:line="34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w:t>
      </w:r>
    </w:p>
    <w:p>
      <w:pPr>
        <w:sectPr>
          <w:pgSz w:w="11900" w:h="16838" w:orient="portrait"/>
          <w:cols w:equalWidth="0" w:num="1">
            <w:col w:w="11240"/>
          </w:cols>
          <w:pgMar w:left="320" w:top="341" w:right="339" w:bottom="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t>the underlying ceded premiums are earned over the term of the reinsurance agreements.</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assets including certain receivables, a portion of the net deferred tax asset, prepaid expenses and furniture and equipment are not admitted.</w:t>
      </w:r>
    </w:p>
    <w:p>
      <w:pPr>
        <w:spacing w:after="0" w:line="248"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fixed-maturity securities are valued at NAIC value for statutory financial purposes, which is primarily amortized cost. GAAP requires certain investments in fixed-maturity securities classified as available-for-sale, to be reported at fair value.</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amounts related to ceded reinsurance are reported on a net basis within the statutory basis financial statements. GAAP requires these amounts to be shown gross.</w:t>
      </w:r>
    </w:p>
    <w:p>
      <w:pPr>
        <w:spacing w:after="0" w:line="386"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2021 and 2020, KICO paid dividends to Kingstone of $3,500,000 and $6,000,000, respectively. For the years ended December 31, 2021 and 2020, KICO recorded statutory basis net income (loss) of $1,259,672 and $(1,724,180), respectively. At December 31, 2021 and 2020, KICO reported statutory basis surplus as regards policyholders of $84,599,711 and $85,595,339, respectively, as filed with the DFS.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Risk Based Capital</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The provision for income taxes is comprised of the following:</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Years ended ended December 31,</w:t>
            </w:r>
          </w:p>
        </w:tc>
        <w:tc>
          <w:tcPr>
            <w:tcW w:w="3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federal income tax expense (benefit)</w:t>
            </w:r>
          </w:p>
        </w:tc>
        <w:tc>
          <w:tcPr>
            <w:tcW w:w="3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(5,366,759)</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Current state income tax expense (benefit)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(2,736)</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federal and state income tax (benefit) expense</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(2,200,433)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3,109,295</w:t>
            </w:r>
          </w:p>
        </w:tc>
      </w:tr>
      <w:tr>
        <w:trPr>
          <w:trHeight w:val="20"/>
        </w:trPr>
        <w:tc>
          <w:tcPr>
            <w:tcW w:w="128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74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(2,031,136)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(2,260,200)</w:t>
            </w:r>
          </w:p>
        </w:tc>
      </w:tr>
      <w:tr>
        <w:trPr>
          <w:trHeight w:val="20"/>
        </w:trPr>
        <w:tc>
          <w:tcPr>
            <w:tcW w:w="1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3030"/>
              <w:spacing w:after="0"/>
              <w:rPr>
                <w:sz w:val="20"/>
                <w:szCs w:val="20"/>
                <w:color w:val="auto"/>
              </w:rPr>
            </w:pPr>
            <w:r>
              <w:rPr>
                <w:rFonts w:ascii="Arial" w:cs="Arial" w:eastAsia="Arial" w:hAnsi="Arial"/>
                <w:sz w:val="18"/>
                <w:szCs w:val="18"/>
                <w:color w:val="auto"/>
              </w:rPr>
              <w:t>F-43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48">
              <w:r>
                <w:rPr>
                  <w:rFonts w:ascii="Arial" w:cs="Arial" w:eastAsia="Arial" w:hAnsi="Arial"/>
                  <w:sz w:val="18"/>
                  <w:szCs w:val="18"/>
                  <w:i w:val="1"/>
                  <w:iCs w:val="1"/>
                  <w:color w:val="0000EE"/>
                  <w:w w:val="88"/>
                </w:rPr>
                <w:t>Table of Contents</w:t>
              </w:r>
            </w:hyperlink>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rate to the Company’s effective tax rate is as follows:</w:t>
      </w:r>
    </w:p>
    <w:p>
      <w:pPr>
        <w:sectPr>
          <w:pgSz w:w="11900" w:h="16838" w:orient="portrait"/>
          <w:cols w:equalWidth="0" w:num="1">
            <w:col w:w="11240"/>
          </w:cols>
          <w:pgMar w:left="320" w:top="125" w:right="339" w:bottom="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Years ended December 31,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(1,975,982)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(270,440)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(221,879)</w:t>
            </w:r>
          </w:p>
        </w:tc>
        <w:tc>
          <w:tcPr>
            <w:tcW w:w="4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(233,752)</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State valuation allowance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224,117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292,087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Benefit of higher tax brackets in NOL carryback - current year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(754,829)</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Benefit of higher tax brackets in NOL carryback - prior year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(1,274,465)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received deduction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(152,147)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(118,113)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Non-taxable investment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(75,045)</w:t>
            </w:r>
          </w:p>
        </w:tc>
        <w:tc>
          <w:tcPr>
            <w:tcW w:w="4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(55,752)</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55,486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125,923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Other permanent differences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56,798</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46,108</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matters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(77,625)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(49,657)</w:t>
            </w:r>
          </w:p>
        </w:tc>
        <w:tc>
          <w:tcPr>
            <w:tcW w:w="4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60,658</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Income tax benefit, as reported</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(2,031,136)</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(2,260,200)</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1,186,789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838,030</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3,246,364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3,880,275</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2,047,187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19,639</w:t>
            </w:r>
          </w:p>
        </w:tc>
      </w:tr>
      <w:tr>
        <w:trPr>
          <w:trHeight w:val="21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1,220,898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8,813,556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5,386,635</w:t>
            </w:r>
          </w:p>
        </w:tc>
      </w:tr>
      <w:tr>
        <w:trPr>
          <w:trHeight w:val="210"/>
        </w:trPr>
        <w:tc>
          <w:tcPr>
            <w:tcW w:w="8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KICO (2)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4,670,187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4,229,928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1,046,817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954,446</w:t>
            </w:r>
          </w:p>
        </w:tc>
      </w:tr>
      <w:tr>
        <w:trPr>
          <w:trHeight w:val="21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unrealized gains of securities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2,039,756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3,494,631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8,621,303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9,543,548</w:t>
            </w:r>
          </w:p>
        </w:tc>
      </w:tr>
      <w:tr>
        <w:trPr>
          <w:trHeight w:val="210"/>
        </w:trPr>
        <w:tc>
          <w:tcPr>
            <w:tcW w:w="8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deferred income tax asset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192,253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(4,156,913)</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ind w:left="900" w:hanging="447"/>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deferred tax assets from net operating loss carryovers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December 31,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40" w:type="dxa"/>
            <w:vAlign w:val="bottom"/>
          </w:tcPr>
          <w:p>
            <w:pPr>
              <w:ind w:left="304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r>
      <w:tr>
        <w:trPr>
          <w:trHeight w:val="209"/>
        </w:trPr>
        <w:tc>
          <w:tcPr>
            <w:tcW w:w="7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Federal only, current year (A)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1,200,056</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NOL carried back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(1,200,056)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Federal only, current year</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None</w:t>
            </w:r>
          </w:p>
        </w:tc>
      </w:tr>
      <w:tr>
        <w:trPr>
          <w:trHeight w:val="210"/>
        </w:trPr>
        <w:tc>
          <w:tcPr>
            <w:tcW w:w="7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only (B)</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December 31,</w:t>
            </w:r>
          </w:p>
        </w:tc>
      </w:tr>
      <w:tr>
        <w:trPr>
          <w:trHeight w:val="230"/>
        </w:trPr>
        <w:tc>
          <w:tcPr>
            <w:tcW w:w="7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2,099,239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1,815,546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2041</w:t>
            </w:r>
          </w:p>
        </w:tc>
        <w:tc>
          <w:tcPr>
            <w:tcW w:w="100" w:type="dxa"/>
            <w:vAlign w:val="bottom"/>
            <w:shd w:val="clear" w:color="auto" w:fill="CCEEFF"/>
          </w:tcPr>
          <w:p>
            <w:pPr>
              <w:spacing w:after="0"/>
              <w:rPr>
                <w:sz w:val="20"/>
                <w:szCs w:val="20"/>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(2,099,239)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(1,815,546)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7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620" w:right="120" w:firstLine="8"/>
        <w:spacing w:after="0" w:line="301" w:lineRule="auto"/>
        <w:tabs>
          <w:tab w:leader="none" w:pos="19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March 27, 2020, the Coronavirus Aid, Relief, and Economic Security (CARES) Act was signed into law, allowing for a five year carryback of 2020 and 2019 NOLs. The Company elected on its 2019 federal income tax return to carry back the 2019 NOL to tax years 2014 and 2015. The Company elected on its 2020 federal income tax return to carry back the 2020 NOL to tax year 2015. The corporate tax rate in 2014 and 2015 was 34%, compared to the corporate tax rate of 21% in 2020 and 2019.</w:t>
      </w:r>
    </w:p>
    <w:p>
      <w:pPr>
        <w:sectPr>
          <w:pgSz w:w="11900" w:h="16838" w:orient="portrait"/>
          <w:cols w:equalWidth="0" w:num="1">
            <w:col w:w="11240"/>
          </w:cols>
          <w:pgMar w:left="320" w:top="121" w:right="339" w:bottom="0" w:gutter="0" w:footer="0" w:header="0"/>
        </w:sectPr>
      </w:pPr>
    </w:p>
    <w:bookmarkStart w:id="77" w:name="page78"/>
    <w:bookmarkEnd w:id="77"/>
    <w:p>
      <w:pPr>
        <w:jc w:val="both"/>
        <w:ind w:left="1620" w:firstLine="8"/>
        <w:spacing w:after="0" w:line="273" w:lineRule="auto"/>
        <w:tabs>
          <w:tab w:leader="none" w:pos="1916" w:val="left"/>
        </w:tabs>
        <w:numPr>
          <w:ilvl w:val="1"/>
          <w:numId w:val="45"/>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December 31, 2021 and 2020 was approximately $32,296,000 and $27,931,000, respectively. KICO, the Company’s insurance underwriting subsidiary, is not subject to state income taxes. KICO’s state tax obligations are paid through a gross premiums tax, which is included in the consolidated statements of operations and comprehensive income within other underwriting expenses. Kingstone has recorded a valuation allowance due to the uncertainty of generating enough state taxable income to utilize 100% of the available state NOLs over their remaining lives, which expire between 2027 and 2041.</w:t>
      </w:r>
    </w:p>
    <w:p>
      <w:pPr>
        <w:spacing w:after="0" w:line="177" w:lineRule="exact"/>
        <w:rPr>
          <w:rFonts w:ascii="Arial" w:cs="Arial" w:eastAsia="Arial" w:hAnsi="Arial"/>
          <w:sz w:val="17"/>
          <w:szCs w:val="17"/>
          <w:color w:val="auto"/>
        </w:rPr>
      </w:pPr>
    </w:p>
    <w:p>
      <w:pPr>
        <w:ind w:left="900" w:hanging="447"/>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the changes in net deferred income tax assets (liabilities) to the deferred income tax provision for the year ended December 31, 2021:</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deferred income tax assets</w:t>
            </w:r>
          </w:p>
        </w:tc>
        <w:tc>
          <w:tcPr>
            <w:tcW w:w="3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(4,349,166)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Deferred tax benefit allocated to other comprehensive income</w:t>
            </w:r>
          </w:p>
        </w:tc>
        <w:tc>
          <w:tcPr>
            <w:tcW w:w="20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(2,148,733)</w:t>
            </w:r>
          </w:p>
        </w:tc>
      </w:tr>
      <w:tr>
        <w:trPr>
          <w:trHeight w:val="20"/>
        </w:trPr>
        <w:tc>
          <w:tcPr>
            <w:tcW w:w="6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3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(2,200,433)</w:t>
            </w:r>
          </w:p>
        </w:tc>
      </w:tr>
      <w:tr>
        <w:trPr>
          <w:trHeight w:val="20"/>
        </w:trPr>
        <w:tc>
          <w:tcPr>
            <w:tcW w:w="6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2021 the Company did not accrue for, or pay, bonuses related to the employee bonus plan. In December of 2020, management approved discretionary bonuses totaling approximately $516,000 of expense for the year ended December 31, 2020, which is primarily recorded in other underwriting expenses on the accompanying 2020 consolidated statements of operations and comprehensive income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$249,000 and $309,000 of expense for the years ended December 31, 2021 and 2020, respectively, related to the 401(k) Plan, which is recorded in other operating expenses on the accompanying consolidated statements of operations and comprehensive income (loss).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December 31, 2021 and 2020 amounted to $907,914 and $763,789, respectively, and is recorded in accounts payable, accrued expenses and other liabilities in the accompanying consolidated balance</w:t>
      </w:r>
    </w:p>
    <w:p>
      <w:pPr>
        <w:sectPr>
          <w:pgSz w:w="11900" w:h="16838" w:orient="portrait"/>
          <w:cols w:equalWidth="0" w:num="1">
            <w:col w:w="11240"/>
          </w:cols>
          <w:pgMar w:left="320" w:top="125" w:right="339" w:bottom="0" w:gutter="0" w:footer="0" w:header="0"/>
        </w:sectPr>
      </w:pPr>
    </w:p>
    <w:bookmarkStart w:id="78" w:name="page79"/>
    <w:bookmarkEnd w:id="78"/>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sheets. The Company made voluntary contributions of $-0- and $4,473 for the years ended December 31, 2021 and 2020, respectively, which are recorded in other operating expenses in the accompanying consolidated statements of operations and comprehensive income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has a term of seven years and two months expiring December 31, 2026. During January of 2022, under mutual agreement with the landlord at a cost of $40,000, Cosi terminated its lease effective as of January 31,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rFonts w:ascii="Arial" w:cs="Arial" w:eastAsia="Arial" w:hAnsi="Arial"/>
                <w:sz w:val="18"/>
                <w:szCs w:val="18"/>
                <w:i w:val="1"/>
                <w:iCs w:val="1"/>
                <w:color w:val="0000EE"/>
              </w:rPr>
            </w:pPr>
            <w:hyperlink w:anchor="page48">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KINGSTONE COMPANIES, INC. AND SUBSIDIARIES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NOTES TO CONSOLIDATED FINANCIAL STATEMENTS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6"/>
              </w:rPr>
              <w:t>YEARS ENDED DECEMBER 31, 2021 AND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2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245,188</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Short-term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lease cost (1) (2)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245,188</w:t>
            </w:r>
          </w:p>
        </w:tc>
      </w:tr>
      <w:tr>
        <w:trPr>
          <w:trHeight w:val="196"/>
        </w:trPr>
        <w:tc>
          <w:tcPr>
            <w:tcW w:w="1280" w:type="dxa"/>
            <w:vAlign w:val="bottom"/>
            <w:tcBorders>
              <w:top w:val="single" w:sz="8" w:color="CCEEFF"/>
            </w:tcBorders>
          </w:tcPr>
          <w:p>
            <w:pPr>
              <w:spacing w:after="0"/>
              <w:rPr>
                <w:sz w:val="17"/>
                <w:szCs w:val="17"/>
                <w:color w:val="auto"/>
              </w:rPr>
            </w:pPr>
          </w:p>
        </w:tc>
        <w:tc>
          <w:tcPr>
            <w:tcW w:w="7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Cash payments included in the measurement of lease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 reported in operating cash flows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264,571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255,626</w:t>
            </w: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Remaing lease term in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180"/>
              <w:spacing w:after="0"/>
              <w:rPr>
                <w:sz w:val="20"/>
                <w:szCs w:val="20"/>
                <w:color w:val="auto"/>
              </w:rPr>
            </w:pPr>
            <w:r>
              <w:rPr>
                <w:rFonts w:ascii="Arial" w:cs="Arial" w:eastAsia="Arial" w:hAnsi="Arial"/>
                <w:sz w:val="18"/>
                <w:szCs w:val="18"/>
                <w:color w:val="auto"/>
              </w:rPr>
              <w:t>KICO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2.25 years</w:t>
            </w:r>
          </w:p>
        </w:tc>
        <w:tc>
          <w:tcPr>
            <w:tcW w:w="1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3.25 years</w:t>
            </w:r>
          </w:p>
        </w:tc>
      </w:tr>
      <w:tr>
        <w:trPr>
          <w:trHeight w:val="216"/>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5.00 years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6.00 years</w:t>
            </w:r>
          </w:p>
        </w:tc>
      </w:tr>
    </w:tbl>
    <w:p>
      <w:pPr>
        <w:spacing w:after="0" w:line="202" w:lineRule="exact"/>
        <w:rPr>
          <w:sz w:val="20"/>
          <w:szCs w:val="20"/>
          <w:color w:val="auto"/>
        </w:rPr>
      </w:pPr>
    </w:p>
    <w:p>
      <w:pPr>
        <w:ind w:left="920" w:right="560" w:hanging="467"/>
        <w:spacing w:after="0" w:line="277"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KICO rent expense is included in the consolidated statements of operations and comprehensive income (loss) within other underwriting expenses.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Cosi rent expense is included in the consolidated statements of operations and comprehensive income (loss) within other operating expenses.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right-of-use assets, included in other assets, were $795,327 and $949,434 as of December 31, 2021 and 2020, respectively. Operating lease right-of-use liabilities, included in accounts payable, accrued expenses and other liabilities, were $795,327 and $949,434 as of December 31, 2021 and 2020,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December 31, 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20" w:type="dxa"/>
            <w:vAlign w:val="bottom"/>
            <w:tcBorders>
              <w:bottom w:val="single" w:sz="8" w:color="auto"/>
            </w:tcBorders>
          </w:tcPr>
          <w:p>
            <w:pPr>
              <w:ind w:left="3580"/>
              <w:spacing w:after="0"/>
              <w:rPr>
                <w:sz w:val="20"/>
                <w:szCs w:val="20"/>
                <w:color w:val="auto"/>
              </w:rPr>
            </w:pPr>
            <w:r>
              <w:rPr>
                <w:rFonts w:ascii="Arial" w:cs="Arial" w:eastAsia="Arial" w:hAnsi="Arial"/>
                <w:sz w:val="18"/>
                <w:szCs w:val="18"/>
                <w:b w:val="1"/>
                <w:bCs w:val="1"/>
                <w:color w:val="auto"/>
              </w:rPr>
              <w:t>For the Year Ending December 31,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273,831</w:t>
            </w:r>
          </w:p>
        </w:tc>
        <w:tc>
          <w:tcPr>
            <w:tcW w:w="1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283,415</w:t>
            </w:r>
          </w:p>
        </w:tc>
        <w:tc>
          <w:tcPr>
            <w:tcW w:w="10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shd w:val="clear" w:color="auto" w:fill="CCEEFF"/>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94,799</w:t>
            </w:r>
          </w:p>
        </w:tc>
      </w:tr>
      <w:tr>
        <w:trPr>
          <w:trHeight w:val="216"/>
        </w:trPr>
        <w:tc>
          <w:tcPr>
            <w:tcW w:w="9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920" w:type="dxa"/>
            <w:vAlign w:val="bottom"/>
          </w:tcPr>
          <w:p>
            <w:pPr>
              <w:ind w:left="220"/>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890,901</w:t>
            </w:r>
          </w:p>
        </w:tc>
        <w:tc>
          <w:tcPr>
            <w:tcW w:w="100" w:type="dxa"/>
            <w:vAlign w:val="bottom"/>
          </w:tcPr>
          <w:p>
            <w:pPr>
              <w:spacing w:after="0"/>
              <w:rPr>
                <w:sz w:val="18"/>
                <w:szCs w:val="18"/>
                <w:color w:val="auto"/>
              </w:rPr>
            </w:pPr>
          </w:p>
        </w:tc>
      </w:tr>
      <w:tr>
        <w:trPr>
          <w:trHeight w:val="216"/>
        </w:trPr>
        <w:tc>
          <w:tcPr>
            <w:tcW w:w="9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92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788,443</w:t>
            </w:r>
          </w:p>
        </w:tc>
        <w:tc>
          <w:tcPr>
            <w:tcW w:w="100" w:type="dxa"/>
            <w:vAlign w:val="bottom"/>
          </w:tcPr>
          <w:p>
            <w:pPr>
              <w:spacing w:after="0"/>
              <w:rPr>
                <w:sz w:val="18"/>
                <w:szCs w:val="18"/>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the years ended December 31, 2021 and 2020 amounted to $247,980 and $245,188, respectively, and is included in the accompanying consolidated statements of operations and comprehensive income (loss) within other underwriting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ectPr>
          <w:pgSz w:w="11900" w:h="16881" w:orient="portrait"/>
          <w:cols w:equalWidth="0" w:num="1">
            <w:col w:w="11240"/>
          </w:cols>
          <w:pgMar w:left="320" w:top="125" w:right="339" w:bottom="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the years ended December 31, 2021 and 2020 amounted to $247,980 and $245,188, respectively, and is included in the accompanying consolidated statements of operations and comprehensive income (loss) within other underwriting expenses.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one-third of the award on December 31, 2022 based on the continued provision of services through such date. Also pursuant to the Amended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one-half of the award on December 31, 2022 based on the continued provision of services through such date. Further, pursuant to the Amended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one-third of the award on December 31, 2022 based on the continued provision of services through such date. In January 2021, Mr. Goldstein was granted 21,000 shares of restricted stock pursuant to the provision. This grant vested with respect to one-half of the award on the first anniversary of the grant date and will vest with respect to one-half of the award on December 31, 2022 based on the continued provision of services through such date. The 2022 grant will vest on December 31, 2022 based on the continued provision of services through such 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his separation from employment, each of the Company and KICO entered into an Agreement and General Release (the “Separation Agreement”) with Mr. Thatcher. Pursuant to the Separation Agreement, the Company and KICO provided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(the “Shares”) (Mr. Thatcher shall not be entitled to any further grants of stock awards after the Separation Date).</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 January 27, 2021, the Company entered into an agreement (the “Relinquishment Agreement”) with Mr. Thatcher. Pursuant to the Relinquishment Agreement, Mr. Thatcher relinquished his right to receive 14,077 unissued Shares which vested on January 1, 2021, the right to receive 11,905 Shares which were scheduled to vest on March 14, 2021 and the right to receive 14,076 Shares which were scheduled to vest on January 1, 2022 in full</w:t>
      </w:r>
    </w:p>
    <w:p>
      <w:pPr>
        <w:sectPr>
          <w:pgSz w:w="11900" w:h="16838" w:orient="portrait"/>
          <w:cols w:equalWidth="0" w:num="1">
            <w:col w:w="11240"/>
          </w:cols>
          <w:pgMar w:left="320" w:top="341" w:right="339" w:bottom="0" w:gutter="0" w:footer="0" w:header="0"/>
        </w:sectPr>
      </w:pPr>
    </w:p>
    <w:bookmarkStart w:id="80" w:name="page81"/>
    <w:bookmarkEnd w:id="80"/>
    <w:p>
      <w:pPr>
        <w:jc w:val="both"/>
        <w:spacing w:after="0" w:line="286" w:lineRule="auto"/>
        <w:rPr>
          <w:sz w:val="20"/>
          <w:szCs w:val="20"/>
          <w:color w:val="auto"/>
        </w:rPr>
      </w:pPr>
      <w:r>
        <w:rPr>
          <w:rFonts w:ascii="Arial" w:cs="Arial" w:eastAsia="Arial" w:hAnsi="Arial"/>
          <w:sz w:val="17"/>
          <w:szCs w:val="17"/>
          <w:color w:val="auto"/>
        </w:rPr>
        <w:t>consideration of the payment by the Company of an aggregate of $280,406. 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now expires on December 31, 2022.</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Golden Employment Agreement, Ms. Golden is entitled to receive an annual salary of $500,000. The Golden Employment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In January 2021, pursuant to the Golden Employment Agreement as amended, Ms. Golden was granted 30,000 shares of restricted Common Stock pursuant to the 2014 Plan and received in January 2022 an additional grant of 30,000 shares of restricted Common Stock pursuant to the 2014 Plan. Each such grant will vest in three equal installments on each of the first, second and third anniversaries of the grant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consolidated financial statements as a result of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earnings (loss) per common share is computed by dividing income (loss) available to common shareholders by the weighted-average number of shares of Common Stock outstanding. Diluted earnings (loss) per common share reflect, in periods in which they have a dilutive effect, the impact of common shares issuable upon exercise of stock options as well as non-vested restricted stock awards. The computation of diluted earnings (loss) per common share excludes those options with an exercise price in excess of the average market price of the Company’s Common Stock during the periods presented.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earnings (loss) per common share excludes outstanding options in periods where the exercise of such options would be anti-dilutive. For the years ended December 31, 2021 and 2020,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weighted average number of common shares used in the calculation of basic and diluted earnings (loss) per common share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5"/>
              </w:rPr>
              <w:t>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10,587,912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outstanding, used for computing diluted earnings per share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10,587,912</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10,730,737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ectPr>
          <w:pgSz w:w="11900" w:h="16838" w:orient="portrait"/>
          <w:cols w:equalWidth="0" w:num="1">
            <w:col w:w="11240"/>
          </w:cols>
          <w:pgMar w:left="320" w:top="125" w:right="339" w:bottom="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The Company has evaluated events that occurred subsequent to December 31, 2021 through April 1, 2022, the date these consolidated financial statements were issued, for matters that required disclosure or adjustment in these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Termination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January 2022, pursuant to a mutual agreement with the landlord at a cost of $40,000, the Cosi lease was terminated effective as of January 31, 2022 (See Note 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 2022, the Company announced that its Board of Directors approved a quarterly dividend of $0.04 per share payable in cash on March 15, 2022 to stockholders of record as of the close of business on February 28, 2022 (see Note 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48">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June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34,589,218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35,436,426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36,803,251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37,052,824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143,881,719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45,741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52,281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89,681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1,783,196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1,678,075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1,676,596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1,483,525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6,621,392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2,960,407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2,315,261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204,534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4,306,753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9,786,955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39,503,202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39,600,449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38,957,974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43,169,616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161,231,241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22,560,672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20,759,210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35,740,235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22,912,479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101,972,596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 other underwriting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14,690,881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14,978,261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14,764,678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14,934,426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59,368,246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(311,097)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1,323,361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(10,618,265)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2,227,700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(7,378,301)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(0.70)</w:t>
            </w:r>
          </w:p>
        </w:tc>
      </w:tr>
      <w:tr>
        <w:trPr>
          <w:trHeight w:val="418"/>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June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26,941,450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26,636,856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27,521,081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26,981,242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108,080,629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3,831,099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3,480,214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3,448,774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3,442,266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14,202,353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1,665,844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1,612,006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1,494,086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1,733,667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6,505,603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gains (losses) on investments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(6,444,418)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2,697,868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2,107,876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3,229,290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1,590,616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26,253,605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34,689,332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34,822,471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35,604,343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131,369,751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Loss and loss adjustment expenses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16,385,821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12,813,631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20,117,975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17,113,645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66,431,072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 and other underwriting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14,617,718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14,086,013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14,383,144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14,166,078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57,252,953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(5,444,203)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4,608,190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(1,227,856)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3,036,259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972,390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bl>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Due to changes in number of shares outstanding from quarter to quarter, the total earnings per share of the four quarters may not necessarily equal the total earnings per share for the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April 1,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2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April 1,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400" w:firstLine="649"/>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2021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Dated: April 1, 2022</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64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64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5" w:name="page86"/>
    <w:bookmarkEnd w:id="85"/>
    <w:p>
      <w:pPr>
        <w:ind w:left="10000"/>
        <w:spacing w:after="0"/>
        <w:rPr>
          <w:sz w:val="20"/>
          <w:szCs w:val="20"/>
          <w:color w:val="auto"/>
        </w:rPr>
      </w:pPr>
      <w:r>
        <w:rPr>
          <w:rFonts w:ascii="Arial" w:cs="Arial" w:eastAsia="Arial" w:hAnsi="Arial"/>
          <w:sz w:val="18"/>
          <w:szCs w:val="18"/>
          <w:b w:val="1"/>
          <w:bCs w:val="1"/>
          <w:color w:val="auto"/>
        </w:rPr>
        <w:t>EXHIBIT 10 (e)</w:t>
      </w:r>
    </w:p>
    <w:p>
      <w:pPr>
        <w:spacing w:after="0" w:line="233" w:lineRule="exact"/>
        <w:rPr>
          <w:sz w:val="20"/>
          <w:szCs w:val="20"/>
          <w:color w:val="auto"/>
        </w:rPr>
      </w:pPr>
    </w:p>
    <w:p>
      <w:pPr>
        <w:jc w:val="both"/>
        <w:ind w:firstLine="607"/>
        <w:spacing w:after="0" w:line="214"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2021 between</w:t>
      </w:r>
      <w:r>
        <w:rPr>
          <w:rFonts w:ascii="Arial" w:cs="Arial" w:eastAsia="Arial" w:hAnsi="Arial"/>
          <w:sz w:val="18"/>
          <w:szCs w:val="18"/>
          <w:b w:val="1"/>
          <w:bCs w:val="1"/>
          <w:color w:val="auto"/>
        </w:rPr>
        <w:t xml:space="preserve"> KINGSTONE COMPANIES,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w:t>
      </w:r>
      <w:r>
        <w:rPr>
          <w:rFonts w:ascii="Arial" w:cs="Arial" w:eastAsia="Arial" w:hAnsi="Arial"/>
          <w:sz w:val="18"/>
          <w:szCs w:val="18"/>
          <w:b w:val="1"/>
          <w:bCs w:val="1"/>
          <w:color w:val="auto"/>
        </w:rPr>
        <w:t>BARRY B. GOLDSTEIN</w:t>
      </w:r>
      <w:r>
        <w:rPr>
          <w:rFonts w:ascii="Arial" w:cs="Arial" w:eastAsia="Arial" w:hAnsi="Arial"/>
          <w:sz w:val="18"/>
          <w:szCs w:val="18"/>
          <w:color w:val="auto"/>
        </w:rPr>
        <w:t xml:space="preserve"> (the “Grantee”).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Grantee is the Chief Executive Officer and President of the Company;</w:t>
      </w:r>
    </w:p>
    <w:p>
      <w:pPr>
        <w:spacing w:after="0" w:line="225"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Grantee are parties to a Second Amended and Restated Employment Agreement dated as of October 14, 2019</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Agreement”);</w:t>
      </w:r>
    </w:p>
    <w:p>
      <w:pPr>
        <w:spacing w:after="0" w:line="162"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Compensation Committee of the Board of Directors of the Company has approved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the Grantee of common stock of the Company (“Common Stock”) pursuant to the Company’s 2014 Equity Participation Plan, as amended (the “Plan”).</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62" w:lineRule="exact"/>
        <w:rPr>
          <w:sz w:val="20"/>
          <w:szCs w:val="20"/>
          <w:color w:val="auto"/>
        </w:rPr>
      </w:pPr>
    </w:p>
    <w:p>
      <w:pPr>
        <w:ind w:firstLine="615"/>
        <w:spacing w:after="0" w:line="282" w:lineRule="auto"/>
        <w:tabs>
          <w:tab w:leader="none" w:pos="787"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terms used, but not otherwise defined, herein shall have the meanings ascribed to them in the Plan or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jc w:val="both"/>
        <w:ind w:firstLine="615"/>
        <w:spacing w:after="0" w:line="289" w:lineRule="auto"/>
        <w:tabs>
          <w:tab w:leader="none" w:pos="787"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Subject to the terms and conditions of the Plan and the provisions hereof, the Company hereby agrees to grant to the Grantee,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16 of the Plan, an award of two hundred thirty thousand seven hundred sixty-nine (230,769) shares of Common Stock (the “Shares”), such Shares being issuable on the Vesting Dates (as hereinafter defined) set forth in, and subject to the provisions of, Section 3 hereof.</w:t>
      </w:r>
    </w:p>
    <w:p>
      <w:pPr>
        <w:spacing w:after="0" w:line="157" w:lineRule="exact"/>
        <w:rPr>
          <w:rFonts w:ascii="Arial" w:cs="Arial" w:eastAsia="Arial" w:hAnsi="Arial"/>
          <w:sz w:val="17"/>
          <w:szCs w:val="17"/>
          <w:color w:val="auto"/>
        </w:rPr>
      </w:pPr>
    </w:p>
    <w:p>
      <w:pPr>
        <w:jc w:val="both"/>
        <w:ind w:firstLine="615"/>
        <w:spacing w:after="0" w:line="266" w:lineRule="auto"/>
        <w:tabs>
          <w:tab w:leader="none" w:pos="787"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the respective Vesting Dates set forth below, provided that the Grantee continues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director or consultant of the Company as of the applicable Vesting Date (or sooner as provided for in paragraph (c) hereof), subject to the provisions of the Plan:</w:t>
      </w:r>
    </w:p>
    <w:p>
      <w:pPr>
        <w:spacing w:after="0" w:line="179" w:lineRule="exact"/>
        <w:rPr>
          <w:rFonts w:ascii="Arial" w:cs="Arial" w:eastAsia="Arial" w:hAnsi="Arial"/>
          <w:sz w:val="18"/>
          <w:szCs w:val="18"/>
          <w:color w:val="auto"/>
        </w:rPr>
      </w:pPr>
    </w:p>
    <w:p>
      <w:pPr>
        <w:ind w:left="1360" w:right="380" w:hanging="461"/>
        <w:spacing w:after="0" w:line="277" w:lineRule="auto"/>
        <w:tabs>
          <w:tab w:leader="none" w:pos="1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one hundred fifteen thousand three hundred eighty-five (115,385) of the Shares on the first anniversary of the date hereof (the “First Vesting Date”); and</w:t>
      </w:r>
    </w:p>
    <w:p>
      <w:pPr>
        <w:spacing w:after="0" w:line="170" w:lineRule="exact"/>
        <w:rPr>
          <w:rFonts w:ascii="Arial" w:cs="Arial" w:eastAsia="Arial" w:hAnsi="Arial"/>
          <w:sz w:val="18"/>
          <w:szCs w:val="18"/>
          <w:color w:val="auto"/>
        </w:rPr>
      </w:pPr>
    </w:p>
    <w:p>
      <w:pPr>
        <w:ind w:left="1360" w:right="340" w:hanging="461"/>
        <w:spacing w:after="0" w:line="308" w:lineRule="auto"/>
        <w:tabs>
          <w:tab w:leader="none" w:pos="13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one hundred fifteen thousand three hundred eighty-four (115,384) of the Shares on December 31, 2022 (the “Second Vesting Date”); each of the First Vesting Date and the Second Vesting Date is referred to hereinafter as a “Vesting Date”.</w:t>
      </w:r>
    </w:p>
    <w:p>
      <w:pPr>
        <w:spacing w:after="0" w:line="146" w:lineRule="exact"/>
        <w:rPr>
          <w:rFonts w:ascii="Arial" w:cs="Arial" w:eastAsia="Arial" w:hAnsi="Arial"/>
          <w:sz w:val="17"/>
          <w:szCs w:val="17"/>
          <w:color w:val="auto"/>
        </w:rPr>
      </w:pPr>
    </w:p>
    <w:p>
      <w:pPr>
        <w:jc w:val="both"/>
        <w:ind w:firstLine="1223"/>
        <w:spacing w:after="0" w:line="259" w:lineRule="auto"/>
        <w:tabs>
          <w:tab w:leader="none" w:pos="1475"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Subject to the provisions of the Plan, in the event that the Grantee does not continue to serve as an employee, director or consultant of the Company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hanging="257"/>
        <w:spacing w:after="0"/>
        <w:tabs>
          <w:tab w:leader="none" w:pos="1480" w:val="left"/>
        </w:tabs>
        <w:numPr>
          <w:ilvl w:val="2"/>
          <w:numId w:val="51"/>
        </w:numPr>
        <w:rPr>
          <w:rFonts w:ascii="Arial" w:cs="Arial" w:eastAsia="Arial" w:hAnsi="Arial"/>
          <w:sz w:val="16"/>
          <w:szCs w:val="16"/>
          <w:color w:val="auto"/>
        </w:rPr>
      </w:pPr>
      <w:r>
        <w:rPr>
          <w:rFonts w:ascii="Arial" w:cs="Arial" w:eastAsia="Arial" w:hAnsi="Arial"/>
          <w:sz w:val="16"/>
          <w:szCs w:val="16"/>
          <w:color w:val="auto"/>
        </w:rPr>
        <w:t>In the event that, prior to a particular Vesting Date (i) the Grantee’s employment with the Company is terminated other than for Cause,</w:t>
      </w:r>
    </w:p>
    <w:p>
      <w:pPr>
        <w:spacing w:after="0" w:line="46" w:lineRule="exact"/>
        <w:rPr>
          <w:rFonts w:ascii="Arial" w:cs="Arial" w:eastAsia="Arial" w:hAnsi="Arial"/>
          <w:sz w:val="16"/>
          <w:szCs w:val="16"/>
          <w:color w:val="auto"/>
        </w:rPr>
      </w:pPr>
    </w:p>
    <w:p>
      <w:pPr>
        <w:jc w:val="both"/>
        <w:ind w:firstLine="8"/>
        <w:spacing w:after="0" w:line="253" w:lineRule="auto"/>
        <w:tabs>
          <w:tab w:leader="none" w:pos="2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Grantee’s employment with the Company is terminated as a result of the Grantee having become Disabled, (iii) the Grantee dies while an employee of the Company, or (iv) the Grantee resigns his employment with the Company for Good Reason, the Shares that were scheduled to vest on such Vesting Date and thereafter shall instead vest on the date of termination of employment, the date of death or the date of resignation of employment, as the case may be (the “Termination Date”).</w:t>
      </w:r>
    </w:p>
    <w:p>
      <w:pPr>
        <w:spacing w:after="0" w:line="192" w:lineRule="exact"/>
        <w:rPr>
          <w:rFonts w:ascii="Arial" w:cs="Arial" w:eastAsia="Arial" w:hAnsi="Arial"/>
          <w:sz w:val="18"/>
          <w:szCs w:val="18"/>
          <w:color w:val="auto"/>
        </w:rPr>
      </w:pPr>
    </w:p>
    <w:p>
      <w:pPr>
        <w:ind w:firstLine="1223"/>
        <w:spacing w:after="0" w:line="277" w:lineRule="auto"/>
        <w:tabs>
          <w:tab w:leader="none" w:pos="1477" w:val="left"/>
        </w:tabs>
        <w:numPr>
          <w:ilvl w:val="2"/>
          <w:numId w:val="52"/>
        </w:numPr>
        <w:rPr>
          <w:rFonts w:ascii="Arial" w:cs="Arial" w:eastAsia="Arial" w:hAnsi="Arial"/>
          <w:sz w:val="18"/>
          <w:szCs w:val="18"/>
          <w:color w:val="auto"/>
        </w:rPr>
      </w:pPr>
      <w:r>
        <w:rPr>
          <w:rFonts w:ascii="Arial" w:cs="Arial" w:eastAsia="Arial" w:hAnsi="Arial"/>
          <w:sz w:val="18"/>
          <w:szCs w:val="18"/>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70" w:lineRule="exact"/>
        <w:rPr>
          <w:rFonts w:ascii="Arial" w:cs="Arial" w:eastAsia="Arial" w:hAnsi="Arial"/>
          <w:sz w:val="18"/>
          <w:szCs w:val="18"/>
          <w:color w:val="auto"/>
        </w:rPr>
      </w:pPr>
    </w:p>
    <w:p>
      <w:pPr>
        <w:ind w:firstLine="1223"/>
        <w:spacing w:after="0" w:line="277" w:lineRule="auto"/>
        <w:tabs>
          <w:tab w:leader="none" w:pos="1515"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166" w:lineRule="exact"/>
        <w:rPr>
          <w:rFonts w:ascii="Arial" w:cs="Arial" w:eastAsia="Arial" w:hAnsi="Arial"/>
          <w:sz w:val="18"/>
          <w:szCs w:val="18"/>
          <w:color w:val="auto"/>
        </w:rPr>
      </w:pPr>
    </w:p>
    <w:p>
      <w:pPr>
        <w:ind w:left="800" w:hanging="185"/>
        <w:spacing w:after="0"/>
        <w:tabs>
          <w:tab w:leader="none" w:pos="800" w:val="left"/>
        </w:tabs>
        <w:numPr>
          <w:ilvl w:val="1"/>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INCORPORATION BY REFERENCE</w:t>
      </w:r>
      <w:r>
        <w:rPr>
          <w:rFonts w:ascii="Arial" w:cs="Arial" w:eastAsia="Arial" w:hAnsi="Arial"/>
          <w:sz w:val="17"/>
          <w:szCs w:val="17"/>
          <w:color w:val="auto"/>
        </w:rPr>
        <w:t>. The terms and conditions of the Plan are hereby incorporated by reference and made a part hereof.</w:t>
      </w:r>
    </w:p>
    <w:p>
      <w:pPr>
        <w:spacing w:after="0" w:line="236" w:lineRule="exact"/>
        <w:rPr>
          <w:rFonts w:ascii="Arial" w:cs="Arial" w:eastAsia="Arial" w:hAnsi="Arial"/>
          <w:sz w:val="17"/>
          <w:szCs w:val="17"/>
          <w:color w:val="auto"/>
        </w:rPr>
      </w:pPr>
    </w:p>
    <w:p>
      <w:pPr>
        <w:jc w:val="both"/>
        <w:ind w:firstLine="615"/>
        <w:spacing w:after="0" w:line="258" w:lineRule="auto"/>
        <w:tabs>
          <w:tab w:leader="none" w:pos="787"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addressed to the Company, 15 Joys Lane, Kingston, New York 12401, Attention: Chief Operating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83" w:lineRule="exact"/>
        <w:rPr>
          <w:rFonts w:ascii="Arial" w:cs="Arial" w:eastAsia="Arial" w:hAnsi="Arial"/>
          <w:sz w:val="18"/>
          <w:szCs w:val="18"/>
          <w:color w:val="auto"/>
        </w:rPr>
      </w:pPr>
    </w:p>
    <w:p>
      <w:pPr>
        <w:ind w:firstLine="615"/>
        <w:spacing w:after="0" w:line="282" w:lineRule="auto"/>
        <w:tabs>
          <w:tab w:leader="none" w:pos="787"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61" w:lineRule="exact"/>
        <w:rPr>
          <w:rFonts w:ascii="Arial" w:cs="Arial" w:eastAsia="Arial" w:hAnsi="Arial"/>
          <w:sz w:val="18"/>
          <w:szCs w:val="18"/>
          <w:color w:val="auto"/>
        </w:rPr>
      </w:pPr>
    </w:p>
    <w:p>
      <w:pPr>
        <w:ind w:right="20" w:firstLine="615"/>
        <w:spacing w:after="0" w:line="282" w:lineRule="auto"/>
        <w:tabs>
          <w:tab w:leader="none" w:pos="801"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may be modified only by an instrument executed by the party sought to be charged.</w:t>
      </w:r>
    </w:p>
    <w:p>
      <w:pPr>
        <w:spacing w:after="0" w:line="161" w:lineRule="exact"/>
        <w:rPr>
          <w:rFonts w:ascii="Arial" w:cs="Arial" w:eastAsia="Arial" w:hAnsi="Arial"/>
          <w:sz w:val="18"/>
          <w:szCs w:val="18"/>
          <w:color w:val="auto"/>
        </w:rPr>
      </w:pPr>
    </w:p>
    <w:p>
      <w:pPr>
        <w:ind w:right="20" w:firstLine="615"/>
        <w:spacing w:after="0" w:line="282" w:lineRule="auto"/>
        <w:tabs>
          <w:tab w:leader="none" w:pos="787"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61" w:lineRule="exact"/>
        <w:rPr>
          <w:rFonts w:ascii="Arial" w:cs="Arial" w:eastAsia="Arial" w:hAnsi="Arial"/>
          <w:sz w:val="18"/>
          <w:szCs w:val="18"/>
          <w:color w:val="auto"/>
        </w:rPr>
      </w:pPr>
    </w:p>
    <w:p>
      <w:pPr>
        <w:ind w:firstLine="615"/>
        <w:spacing w:after="0" w:line="282" w:lineRule="auto"/>
        <w:tabs>
          <w:tab w:leader="none" w:pos="787"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ectPr>
          <w:pgSz w:w="11900" w:h="16838" w:orient="portrait"/>
          <w:cols w:equalWidth="0" w:num="1">
            <w:col w:w="11240"/>
          </w:cols>
          <w:pgMar w:left="320" w:top="121" w:right="339" w:bottom="0" w:gutter="0" w:footer="0" w:header="0"/>
        </w:sectPr>
      </w:pPr>
    </w:p>
    <w:bookmarkStart w:id="86" w:name="page87"/>
    <w:bookmarkEnd w:id="86"/>
    <w:p>
      <w:pPr>
        <w:ind w:left="860" w:hanging="265"/>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Signatures hereon which are transmitted via facsimile, or other electronic image, shall be deemed original signatures.</w:t>
      </w:r>
    </w:p>
    <w:p>
      <w:pPr>
        <w:spacing w:after="0" w:line="236" w:lineRule="exact"/>
        <w:rPr>
          <w:rFonts w:ascii="Arial" w:cs="Arial" w:eastAsia="Arial" w:hAnsi="Arial"/>
          <w:sz w:val="17"/>
          <w:szCs w:val="17"/>
          <w:color w:val="auto"/>
        </w:rPr>
      </w:pPr>
    </w:p>
    <w:p>
      <w:pPr>
        <w:jc w:val="both"/>
        <w:ind w:left="-20" w:firstLine="615"/>
        <w:spacing w:after="0" w:line="314" w:lineRule="auto"/>
        <w:tabs>
          <w:tab w:leader="none" w:pos="851"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Stock Grant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6350</wp:posOffset>
            </wp:positionV>
            <wp:extent cx="2494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Meryl S. Golden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-130175</wp:posOffset>
            </wp:positionV>
            <wp:extent cx="25031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031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-130175</wp:posOffset>
            </wp:positionV>
            <wp:extent cx="25031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7" w:name="page88"/>
    <w:bookmarkEnd w:id="87"/>
    <w:p>
      <w:pPr>
        <w:ind w:left="10060"/>
        <w:spacing w:after="0"/>
        <w:rPr>
          <w:sz w:val="20"/>
          <w:szCs w:val="20"/>
          <w:color w:val="auto"/>
        </w:rPr>
      </w:pPr>
      <w:r>
        <w:rPr>
          <w:rFonts w:ascii="Arial" w:cs="Arial" w:eastAsia="Arial" w:hAnsi="Arial"/>
          <w:sz w:val="18"/>
          <w:szCs w:val="18"/>
          <w:b w:val="1"/>
          <w:bCs w:val="1"/>
          <w:color w:val="auto"/>
        </w:rPr>
        <w:t>EXHIBIT 10(f)</w:t>
      </w:r>
    </w:p>
    <w:p>
      <w:pPr>
        <w:spacing w:after="0" w:line="233" w:lineRule="exact"/>
        <w:rPr>
          <w:sz w:val="20"/>
          <w:szCs w:val="20"/>
          <w:color w:val="auto"/>
        </w:rPr>
      </w:pPr>
    </w:p>
    <w:p>
      <w:pPr>
        <w:jc w:val="both"/>
        <w:ind w:firstLine="607"/>
        <w:spacing w:after="0" w:line="214"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2021 between</w:t>
      </w:r>
      <w:r>
        <w:rPr>
          <w:rFonts w:ascii="Arial" w:cs="Arial" w:eastAsia="Arial" w:hAnsi="Arial"/>
          <w:sz w:val="18"/>
          <w:szCs w:val="18"/>
          <w:b w:val="1"/>
          <w:bCs w:val="1"/>
          <w:color w:val="auto"/>
        </w:rPr>
        <w:t xml:space="preserve"> KINGSTONE COMPANIES,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w:t>
      </w:r>
      <w:r>
        <w:rPr>
          <w:rFonts w:ascii="Arial" w:cs="Arial" w:eastAsia="Arial" w:hAnsi="Arial"/>
          <w:sz w:val="18"/>
          <w:szCs w:val="18"/>
          <w:b w:val="1"/>
          <w:bCs w:val="1"/>
          <w:color w:val="auto"/>
        </w:rPr>
        <w:t>BARRY B. GOLDSTEIN</w:t>
      </w:r>
      <w:r>
        <w:rPr>
          <w:rFonts w:ascii="Arial" w:cs="Arial" w:eastAsia="Arial" w:hAnsi="Arial"/>
          <w:sz w:val="18"/>
          <w:szCs w:val="18"/>
          <w:color w:val="auto"/>
        </w:rPr>
        <w:t xml:space="preserve"> (the “Grantee”).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Grantee is the Chief Executive Officer and President of the Company;</w:t>
      </w:r>
    </w:p>
    <w:p>
      <w:pPr>
        <w:spacing w:after="0" w:line="225"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Grantee are parties to a Second Amended and Restated Employment Agreement dated as of October 14, 2019</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Agreement”);</w:t>
      </w:r>
    </w:p>
    <w:p>
      <w:pPr>
        <w:spacing w:after="0" w:line="162"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Compensation Committee of the Board of Directors of the Company has approved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the Grantee of common stock of the Company (“Common Stock”) pursuant to the Company’s 2014 Equity Participation Plan, as amended (the “Plan”).</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62" w:lineRule="exact"/>
        <w:rPr>
          <w:sz w:val="20"/>
          <w:szCs w:val="20"/>
          <w:color w:val="auto"/>
        </w:rPr>
      </w:pPr>
    </w:p>
    <w:p>
      <w:pPr>
        <w:ind w:firstLine="615"/>
        <w:spacing w:after="0" w:line="282" w:lineRule="auto"/>
        <w:tabs>
          <w:tab w:leader="none" w:pos="787"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terms used, but not otherwise defined, herein shall have the meanings ascribed to them in the Plan or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jc w:val="both"/>
        <w:ind w:firstLine="615"/>
        <w:spacing w:after="0" w:line="266" w:lineRule="auto"/>
        <w:tabs>
          <w:tab w:leader="none" w:pos="787"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Subject to the terms and conditions of the Plan and the provisions hereof, the Company hereby agrees to grant to the Grantee,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16 of the Plan, an award of twenty-one thousand (21,000) shares of Common Stock (the “Shares”), such Shares being issuable on the Vesting Dates (as hereinafter defined) set forth in, and subject to the provisions of, Section 3 hereof.</w:t>
      </w:r>
    </w:p>
    <w:p>
      <w:pPr>
        <w:spacing w:after="0" w:line="175" w:lineRule="exact"/>
        <w:rPr>
          <w:rFonts w:ascii="Arial" w:cs="Arial" w:eastAsia="Arial" w:hAnsi="Arial"/>
          <w:sz w:val="18"/>
          <w:szCs w:val="18"/>
          <w:color w:val="auto"/>
        </w:rPr>
      </w:pPr>
    </w:p>
    <w:p>
      <w:pPr>
        <w:jc w:val="both"/>
        <w:ind w:firstLine="615"/>
        <w:spacing w:after="0" w:line="266" w:lineRule="auto"/>
        <w:tabs>
          <w:tab w:leader="none" w:pos="787"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the respective Vesting Dates set forth below, provided that the Grantee continues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director or consultant of the Company as of the applicable Vesting Date (or sooner as provided for in paragraph (c) hereof), subject to the provisions of the Plan:</w:t>
      </w:r>
    </w:p>
    <w:p>
      <w:pPr>
        <w:spacing w:after="0" w:line="179" w:lineRule="exact"/>
        <w:rPr>
          <w:rFonts w:ascii="Arial" w:cs="Arial" w:eastAsia="Arial" w:hAnsi="Arial"/>
          <w:sz w:val="18"/>
          <w:szCs w:val="18"/>
          <w:color w:val="auto"/>
        </w:rPr>
      </w:pPr>
    </w:p>
    <w:p>
      <w:pPr>
        <w:ind w:left="1360" w:hanging="461"/>
        <w:spacing w:after="0"/>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ten thousand five hundred (10,500) of the Shares on the first anniversary of the date hereof (the “First Vesting Date”); and</w:t>
      </w:r>
    </w:p>
    <w:p>
      <w:pPr>
        <w:spacing w:after="0" w:line="225" w:lineRule="exact"/>
        <w:rPr>
          <w:rFonts w:ascii="Arial" w:cs="Arial" w:eastAsia="Arial" w:hAnsi="Arial"/>
          <w:sz w:val="18"/>
          <w:szCs w:val="18"/>
          <w:color w:val="auto"/>
        </w:rPr>
      </w:pPr>
    </w:p>
    <w:p>
      <w:pPr>
        <w:ind w:left="1360" w:right="60" w:hanging="461"/>
        <w:spacing w:after="0" w:line="277"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ten thousand five hundred (10,500) of the Shares on December 31, 2022 (the “Second Vesting Date”); each of the First Vesting Date and the Second Vesting Date is referred to hereinafter as a “Vesting Date”.</w:t>
      </w:r>
    </w:p>
    <w:p>
      <w:pPr>
        <w:spacing w:after="0" w:line="170" w:lineRule="exact"/>
        <w:rPr>
          <w:rFonts w:ascii="Arial" w:cs="Arial" w:eastAsia="Arial" w:hAnsi="Arial"/>
          <w:sz w:val="18"/>
          <w:szCs w:val="18"/>
          <w:color w:val="auto"/>
        </w:rPr>
      </w:pPr>
    </w:p>
    <w:p>
      <w:pPr>
        <w:jc w:val="both"/>
        <w:ind w:firstLine="1223"/>
        <w:spacing w:after="0" w:line="259" w:lineRule="auto"/>
        <w:tabs>
          <w:tab w:leader="none" w:pos="14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Subject to the provisions of the Plan, in the event that the Grantee does not continue to serve as an employee, director or consultant of the Company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80" w:hanging="257"/>
        <w:spacing w:after="0"/>
        <w:tabs>
          <w:tab w:leader="none" w:pos="1480" w:val="left"/>
        </w:tabs>
        <w:numPr>
          <w:ilvl w:val="2"/>
          <w:numId w:val="55"/>
        </w:numPr>
        <w:rPr>
          <w:rFonts w:ascii="Arial" w:cs="Arial" w:eastAsia="Arial" w:hAnsi="Arial"/>
          <w:sz w:val="16"/>
          <w:szCs w:val="16"/>
          <w:color w:val="auto"/>
        </w:rPr>
      </w:pPr>
      <w:r>
        <w:rPr>
          <w:rFonts w:ascii="Arial" w:cs="Arial" w:eastAsia="Arial" w:hAnsi="Arial"/>
          <w:sz w:val="16"/>
          <w:szCs w:val="16"/>
          <w:color w:val="auto"/>
        </w:rPr>
        <w:t>In the event that, prior to a particular Vesting Date (i) the Grantee’s employment with the Company is terminated other than for Cause,</w:t>
      </w:r>
    </w:p>
    <w:p>
      <w:pPr>
        <w:spacing w:after="0" w:line="46" w:lineRule="exact"/>
        <w:rPr>
          <w:rFonts w:ascii="Arial" w:cs="Arial" w:eastAsia="Arial" w:hAnsi="Arial"/>
          <w:sz w:val="16"/>
          <w:szCs w:val="16"/>
          <w:color w:val="auto"/>
        </w:rPr>
      </w:pPr>
    </w:p>
    <w:p>
      <w:pPr>
        <w:jc w:val="both"/>
        <w:ind w:firstLine="8"/>
        <w:spacing w:after="0" w:line="253" w:lineRule="auto"/>
        <w:tabs>
          <w:tab w:leader="none" w:pos="2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Grantee’s employment with the Company is terminated as a result of the Grantee having become Disabled, (iii) the Grantee dies while an employee of the Company, or (iv) the Grantee resigns his employment with the Company for Good Reason, the Shares that were scheduled to vest on such Vesting Date and thereafter shall instead vest on the date of termination of employment, the date of death or the date of resignation of employment, as the case may be (the “Termination Date”).</w:t>
      </w:r>
    </w:p>
    <w:p>
      <w:pPr>
        <w:spacing w:after="0" w:line="192" w:lineRule="exact"/>
        <w:rPr>
          <w:rFonts w:ascii="Arial" w:cs="Arial" w:eastAsia="Arial" w:hAnsi="Arial"/>
          <w:sz w:val="18"/>
          <w:szCs w:val="18"/>
          <w:color w:val="auto"/>
        </w:rPr>
      </w:pPr>
    </w:p>
    <w:p>
      <w:pPr>
        <w:ind w:firstLine="1223"/>
        <w:spacing w:after="0" w:line="277" w:lineRule="auto"/>
        <w:tabs>
          <w:tab w:leader="none" w:pos="1477"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70" w:lineRule="exact"/>
        <w:rPr>
          <w:rFonts w:ascii="Arial" w:cs="Arial" w:eastAsia="Arial" w:hAnsi="Arial"/>
          <w:sz w:val="18"/>
          <w:szCs w:val="18"/>
          <w:color w:val="auto"/>
        </w:rPr>
      </w:pPr>
    </w:p>
    <w:p>
      <w:pPr>
        <w:ind w:firstLine="1223"/>
        <w:spacing w:after="0" w:line="277" w:lineRule="auto"/>
        <w:tabs>
          <w:tab w:leader="none" w:pos="1515"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166" w:lineRule="exact"/>
        <w:rPr>
          <w:rFonts w:ascii="Arial" w:cs="Arial" w:eastAsia="Arial" w:hAnsi="Arial"/>
          <w:sz w:val="18"/>
          <w:szCs w:val="18"/>
          <w:color w:val="auto"/>
        </w:rPr>
      </w:pPr>
    </w:p>
    <w:p>
      <w:pPr>
        <w:ind w:left="800" w:hanging="185"/>
        <w:spacing w:after="0"/>
        <w:tabs>
          <w:tab w:leader="none" w:pos="800" w:val="left"/>
        </w:tabs>
        <w:numPr>
          <w:ilvl w:val="1"/>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INCORPORATION BY REFERENCE</w:t>
      </w:r>
      <w:r>
        <w:rPr>
          <w:rFonts w:ascii="Arial" w:cs="Arial" w:eastAsia="Arial" w:hAnsi="Arial"/>
          <w:sz w:val="17"/>
          <w:szCs w:val="17"/>
          <w:color w:val="auto"/>
        </w:rPr>
        <w:t>. The terms and conditions of the Plan are hereby incorporated by reference and made a part hereof.</w:t>
      </w:r>
    </w:p>
    <w:p>
      <w:pPr>
        <w:spacing w:after="0" w:line="236" w:lineRule="exact"/>
        <w:rPr>
          <w:rFonts w:ascii="Arial" w:cs="Arial" w:eastAsia="Arial" w:hAnsi="Arial"/>
          <w:sz w:val="17"/>
          <w:szCs w:val="17"/>
          <w:color w:val="auto"/>
        </w:rPr>
      </w:pPr>
    </w:p>
    <w:p>
      <w:pPr>
        <w:jc w:val="both"/>
        <w:ind w:firstLine="615"/>
        <w:spacing w:after="0" w:line="258" w:lineRule="auto"/>
        <w:tabs>
          <w:tab w:leader="none" w:pos="78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addressed to the Company, 15 Joys Lane, Kingston, New York 12401, Attention: Chief Operating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83" w:lineRule="exact"/>
        <w:rPr>
          <w:rFonts w:ascii="Arial" w:cs="Arial" w:eastAsia="Arial" w:hAnsi="Arial"/>
          <w:sz w:val="18"/>
          <w:szCs w:val="18"/>
          <w:color w:val="auto"/>
        </w:rPr>
      </w:pPr>
    </w:p>
    <w:p>
      <w:pPr>
        <w:ind w:firstLine="615"/>
        <w:spacing w:after="0" w:line="282" w:lineRule="auto"/>
        <w:tabs>
          <w:tab w:leader="none" w:pos="78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61" w:lineRule="exact"/>
        <w:rPr>
          <w:rFonts w:ascii="Arial" w:cs="Arial" w:eastAsia="Arial" w:hAnsi="Arial"/>
          <w:sz w:val="18"/>
          <w:szCs w:val="18"/>
          <w:color w:val="auto"/>
        </w:rPr>
      </w:pPr>
    </w:p>
    <w:p>
      <w:pPr>
        <w:ind w:right="20" w:firstLine="615"/>
        <w:spacing w:after="0" w:line="282" w:lineRule="auto"/>
        <w:tabs>
          <w:tab w:leader="none" w:pos="801"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may be modified only by an instrument executed by the party sought to be charged.</w:t>
      </w:r>
    </w:p>
    <w:p>
      <w:pPr>
        <w:spacing w:after="0" w:line="161" w:lineRule="exact"/>
        <w:rPr>
          <w:rFonts w:ascii="Arial" w:cs="Arial" w:eastAsia="Arial" w:hAnsi="Arial"/>
          <w:sz w:val="18"/>
          <w:szCs w:val="18"/>
          <w:color w:val="auto"/>
        </w:rPr>
      </w:pPr>
    </w:p>
    <w:p>
      <w:pPr>
        <w:ind w:right="20" w:firstLine="615"/>
        <w:spacing w:after="0" w:line="282" w:lineRule="auto"/>
        <w:tabs>
          <w:tab w:leader="none" w:pos="78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61" w:lineRule="exact"/>
        <w:rPr>
          <w:rFonts w:ascii="Arial" w:cs="Arial" w:eastAsia="Arial" w:hAnsi="Arial"/>
          <w:sz w:val="18"/>
          <w:szCs w:val="18"/>
          <w:color w:val="auto"/>
        </w:rPr>
      </w:pPr>
    </w:p>
    <w:p>
      <w:pPr>
        <w:ind w:firstLine="615"/>
        <w:spacing w:after="0" w:line="282" w:lineRule="auto"/>
        <w:tabs>
          <w:tab w:leader="none" w:pos="78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pacing w:after="0" w:line="161" w:lineRule="exact"/>
        <w:rPr>
          <w:rFonts w:ascii="Arial" w:cs="Arial" w:eastAsia="Arial" w:hAnsi="Arial"/>
          <w:sz w:val="18"/>
          <w:szCs w:val="18"/>
          <w:color w:val="auto"/>
        </w:rPr>
      </w:pPr>
    </w:p>
    <w:p>
      <w:pPr>
        <w:ind w:left="880" w:hanging="265"/>
        <w:spacing w:after="0"/>
        <w:tabs>
          <w:tab w:leader="none" w:pos="880" w:val="left"/>
        </w:tabs>
        <w:numPr>
          <w:ilvl w:val="1"/>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Signatures hereon which are transmitted via facsimile, or other electronic image, shall be deemed original signatures.</w:t>
      </w:r>
    </w:p>
    <w:p>
      <w:pPr>
        <w:sectPr>
          <w:pgSz w:w="11900" w:h="16838" w:orient="portrait"/>
          <w:cols w:equalWidth="0" w:num="1">
            <w:col w:w="11240"/>
          </w:cols>
          <w:pgMar w:left="320" w:top="121" w:right="339" w:bottom="0" w:gutter="0" w:footer="0" w:header="0"/>
        </w:sectPr>
      </w:pPr>
    </w:p>
    <w:bookmarkStart w:id="88" w:name="page89"/>
    <w:bookmarkEnd w:id="88"/>
    <w:p>
      <w:pPr>
        <w:jc w:val="both"/>
        <w:ind w:left="-20" w:firstLine="615"/>
        <w:spacing w:after="0" w:line="314" w:lineRule="auto"/>
        <w:tabs>
          <w:tab w:leader="none" w:pos="851"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Stock Grant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23831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Meryl S. Golden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-130175</wp:posOffset>
            </wp:positionV>
            <wp:extent cx="23831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23831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-130175</wp:posOffset>
            </wp:positionV>
            <wp:extent cx="26060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89" w:name="page90"/>
    <w:bookmarkEnd w:id="89"/>
    <w:p>
      <w:pPr>
        <w:ind w:left="10040"/>
        <w:spacing w:after="0"/>
        <w:rPr>
          <w:sz w:val="20"/>
          <w:szCs w:val="20"/>
          <w:color w:val="auto"/>
        </w:rPr>
      </w:pPr>
      <w:r>
        <w:rPr>
          <w:rFonts w:ascii="Arial" w:cs="Arial" w:eastAsia="Arial" w:hAnsi="Arial"/>
          <w:sz w:val="18"/>
          <w:szCs w:val="18"/>
          <w:b w:val="1"/>
          <w:bCs w:val="1"/>
          <w:color w:val="auto"/>
        </w:rPr>
        <w:t>EXHIBIT 10(g)</w:t>
      </w:r>
    </w:p>
    <w:p>
      <w:pPr>
        <w:spacing w:after="0" w:line="233" w:lineRule="exact"/>
        <w:rPr>
          <w:sz w:val="20"/>
          <w:szCs w:val="20"/>
          <w:color w:val="auto"/>
        </w:rPr>
      </w:pPr>
    </w:p>
    <w:p>
      <w:pPr>
        <w:jc w:val="both"/>
        <w:ind w:firstLine="607"/>
        <w:spacing w:after="0" w:line="214"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2022 between</w:t>
      </w:r>
      <w:r>
        <w:rPr>
          <w:rFonts w:ascii="Arial" w:cs="Arial" w:eastAsia="Arial" w:hAnsi="Arial"/>
          <w:sz w:val="18"/>
          <w:szCs w:val="18"/>
          <w:b w:val="1"/>
          <w:bCs w:val="1"/>
          <w:color w:val="auto"/>
        </w:rPr>
        <w:t xml:space="preserve"> KINGSTONE COMPANIES, INC., </w:t>
      </w:r>
      <w:r>
        <w:rPr>
          <w:rFonts w:ascii="Arial" w:cs="Arial" w:eastAsia="Arial" w:hAnsi="Arial"/>
          <w:sz w:val="18"/>
          <w:szCs w:val="18"/>
          <w:color w:val="auto"/>
        </w:rPr>
        <w:t>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w:t>
      </w:r>
      <w:r>
        <w:rPr>
          <w:rFonts w:ascii="Arial" w:cs="Arial" w:eastAsia="Arial" w:hAnsi="Arial"/>
          <w:sz w:val="18"/>
          <w:szCs w:val="18"/>
          <w:b w:val="1"/>
          <w:bCs w:val="1"/>
          <w:color w:val="auto"/>
        </w:rPr>
        <w:t>BARRY B. GOLDSTEIN</w:t>
      </w:r>
      <w:r>
        <w:rPr>
          <w:rFonts w:ascii="Arial" w:cs="Arial" w:eastAsia="Arial" w:hAnsi="Arial"/>
          <w:sz w:val="18"/>
          <w:szCs w:val="18"/>
          <w:color w:val="auto"/>
        </w:rPr>
        <w:t xml:space="preserve"> (the “Grantee”).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Grantee is the Chief Executive Officer and President of the Company;</w:t>
      </w:r>
    </w:p>
    <w:p>
      <w:pPr>
        <w:spacing w:after="0" w:line="225"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Grantee are parties to a Second Amended and Restated Employment Agreement dated as of October 14, 2019</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Agreement”);</w:t>
      </w:r>
    </w:p>
    <w:p>
      <w:pPr>
        <w:spacing w:after="0" w:line="162"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Compensation Committee of the Board of Directors of the Company has approved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the Grantee of common stock of the Company (“Common Stock”) pursuant to the Company’s Amended and Restated 2014 Equity Participation Plan (the “Plan”).</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62" w:lineRule="exact"/>
        <w:rPr>
          <w:sz w:val="20"/>
          <w:szCs w:val="20"/>
          <w:color w:val="auto"/>
        </w:rPr>
      </w:pPr>
    </w:p>
    <w:p>
      <w:pPr>
        <w:ind w:firstLine="615"/>
        <w:spacing w:after="0" w:line="282" w:lineRule="auto"/>
        <w:tabs>
          <w:tab w:leader="none" w:pos="787"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terms used, but not otherwise defined, herein shall have the meanings ascribed to them in the Plan or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jc w:val="both"/>
        <w:ind w:firstLine="615"/>
        <w:spacing w:after="0" w:line="289" w:lineRule="auto"/>
        <w:tabs>
          <w:tab w:leader="none" w:pos="787" w:val="left"/>
        </w:tabs>
        <w:numPr>
          <w:ilvl w:val="0"/>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Subject to the terms and conditions of the Plan and the provisions hereof, the Company hereby agrees to grant to the Grantee,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16 of the Plan, an award of twenty-seven thousand three hundred (27,300) shares of Common Stock (the “Shares”), such Shares being issuable on the Vesting Date (as hereinafter defined) set forth in, and subject to the provisions of, Section 3 hereof.</w:t>
      </w:r>
    </w:p>
    <w:p>
      <w:pPr>
        <w:spacing w:after="0" w:line="157" w:lineRule="exact"/>
        <w:rPr>
          <w:rFonts w:ascii="Arial" w:cs="Arial" w:eastAsia="Arial" w:hAnsi="Arial"/>
          <w:sz w:val="17"/>
          <w:szCs w:val="17"/>
          <w:color w:val="auto"/>
        </w:rPr>
      </w:pPr>
    </w:p>
    <w:p>
      <w:pPr>
        <w:jc w:val="both"/>
        <w:ind w:firstLine="615"/>
        <w:spacing w:after="0" w:line="266" w:lineRule="auto"/>
        <w:tabs>
          <w:tab w:leader="none" w:pos="787"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December 31, 2022 (the “Vesting Date”) provided that the Grantee continues to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director or consultant of the Company as of the Vesting Date (or sooner as provided for in paragraph (c) hereof), subject to the provisions of the Plan.</w:t>
      </w:r>
    </w:p>
    <w:p>
      <w:pPr>
        <w:spacing w:after="0" w:line="179" w:lineRule="exact"/>
        <w:rPr>
          <w:rFonts w:ascii="Arial" w:cs="Arial" w:eastAsia="Arial" w:hAnsi="Arial"/>
          <w:sz w:val="18"/>
          <w:szCs w:val="18"/>
          <w:color w:val="auto"/>
        </w:rPr>
      </w:pPr>
    </w:p>
    <w:p>
      <w:pPr>
        <w:jc w:val="both"/>
        <w:ind w:firstLine="1223"/>
        <w:spacing w:after="0" w:line="259" w:lineRule="auto"/>
        <w:tabs>
          <w:tab w:leader="none" w:pos="14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Subject to the provisions of the Plan, in the event that the Grantee does not continue to serve as an employee, director or consultant of the Company as of the Vesting Date as a result of the termination of the Grantee’s employment for Cause or the Grantee’s resignation (other than for Good Reason), the Grantee shall not be entitled to receive any of the Shares issuable on the Vesting Date, and this Agreement shall terminate and be of no further force or effect.</w:t>
      </w:r>
    </w:p>
    <w:p>
      <w:pPr>
        <w:spacing w:after="0" w:line="186" w:lineRule="exact"/>
        <w:rPr>
          <w:rFonts w:ascii="Arial" w:cs="Arial" w:eastAsia="Arial" w:hAnsi="Arial"/>
          <w:sz w:val="18"/>
          <w:szCs w:val="18"/>
          <w:color w:val="auto"/>
        </w:rPr>
      </w:pPr>
    </w:p>
    <w:p>
      <w:pPr>
        <w:jc w:val="both"/>
        <w:ind w:firstLine="1223"/>
        <w:spacing w:after="0" w:line="257" w:lineRule="auto"/>
        <w:tabs>
          <w:tab w:leader="none" w:pos="14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that, prior to the Vesting Date (i) the Grantee’s employment with the Company is terminated other than for Cause, (ii) the Grantee’s employment with the Company is terminated as a result of the Grantee having become Disabled, (iii) the Grantee dies while an employee of the Company, or (iv) the Grantee resigns his employment with the Company for Good Reason, the Shares that were scheduled to vest on the Vesting Date shall instead vest on the date of termination of employment, the date of death or the date of resignation of employment, as the case may be (the “Termination Date”).</w:t>
      </w:r>
    </w:p>
    <w:p>
      <w:pPr>
        <w:spacing w:after="0" w:line="187" w:lineRule="exact"/>
        <w:rPr>
          <w:rFonts w:ascii="Arial" w:cs="Arial" w:eastAsia="Arial" w:hAnsi="Arial"/>
          <w:sz w:val="18"/>
          <w:szCs w:val="18"/>
          <w:color w:val="auto"/>
        </w:rPr>
      </w:pPr>
    </w:p>
    <w:p>
      <w:pPr>
        <w:ind w:firstLine="1223"/>
        <w:spacing w:after="0" w:line="277" w:lineRule="auto"/>
        <w:tabs>
          <w:tab w:leader="none" w:pos="14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the event that Shares vest on the Vesting Date or the Termination Date, as the case may be, the certificate representing the Shares shall be issued by the Company as soon as reasonably practicable thereafter.</w:t>
      </w:r>
    </w:p>
    <w:p>
      <w:pPr>
        <w:spacing w:after="0" w:line="170" w:lineRule="exact"/>
        <w:rPr>
          <w:rFonts w:ascii="Arial" w:cs="Arial" w:eastAsia="Arial" w:hAnsi="Arial"/>
          <w:sz w:val="18"/>
          <w:szCs w:val="18"/>
          <w:color w:val="auto"/>
        </w:rPr>
      </w:pPr>
    </w:p>
    <w:p>
      <w:pPr>
        <w:ind w:firstLine="1223"/>
        <w:spacing w:after="0" w:line="277" w:lineRule="auto"/>
        <w:tabs>
          <w:tab w:leader="none" w:pos="151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the Vesting Date or the Termination Date, as the case may be.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hanging="185"/>
        <w:spacing w:after="0"/>
        <w:tabs>
          <w:tab w:leader="none" w:pos="800"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INCORPORATION BY REFERENCE</w:t>
      </w:r>
      <w:r>
        <w:rPr>
          <w:rFonts w:ascii="Arial" w:cs="Arial" w:eastAsia="Arial" w:hAnsi="Arial"/>
          <w:sz w:val="17"/>
          <w:szCs w:val="17"/>
          <w:color w:val="auto"/>
        </w:rPr>
        <w:t>. The terms and conditions of the Plan are hereby incorporated by reference and made a part hereof.</w:t>
      </w:r>
    </w:p>
    <w:p>
      <w:pPr>
        <w:spacing w:after="0" w:line="236" w:lineRule="exact"/>
        <w:rPr>
          <w:rFonts w:ascii="Arial" w:cs="Arial" w:eastAsia="Arial" w:hAnsi="Arial"/>
          <w:sz w:val="17"/>
          <w:szCs w:val="17"/>
          <w:color w:val="auto"/>
        </w:rPr>
      </w:pPr>
    </w:p>
    <w:p>
      <w:pPr>
        <w:jc w:val="both"/>
        <w:ind w:firstLine="615"/>
        <w:spacing w:after="0" w:line="258" w:lineRule="auto"/>
        <w:tabs>
          <w:tab w:leader="none" w:pos="787"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addressed to the Company, 15 Joys Lane, Kingston, New York 12401, Attention: Chief Operating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83" w:lineRule="exact"/>
        <w:rPr>
          <w:rFonts w:ascii="Arial" w:cs="Arial" w:eastAsia="Arial" w:hAnsi="Arial"/>
          <w:sz w:val="18"/>
          <w:szCs w:val="18"/>
          <w:color w:val="auto"/>
        </w:rPr>
      </w:pPr>
    </w:p>
    <w:p>
      <w:pPr>
        <w:ind w:firstLine="615"/>
        <w:spacing w:after="0" w:line="282" w:lineRule="auto"/>
        <w:tabs>
          <w:tab w:leader="none" w:pos="787"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61" w:lineRule="exact"/>
        <w:rPr>
          <w:rFonts w:ascii="Arial" w:cs="Arial" w:eastAsia="Arial" w:hAnsi="Arial"/>
          <w:sz w:val="18"/>
          <w:szCs w:val="18"/>
          <w:color w:val="auto"/>
        </w:rPr>
      </w:pPr>
    </w:p>
    <w:p>
      <w:pPr>
        <w:ind w:right="20" w:firstLine="615"/>
        <w:spacing w:after="0" w:line="282" w:lineRule="auto"/>
        <w:tabs>
          <w:tab w:leader="none" w:pos="801"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may be modified only by an instrument executed by the party sought to be charged.</w:t>
      </w:r>
    </w:p>
    <w:p>
      <w:pPr>
        <w:spacing w:after="0" w:line="161" w:lineRule="exact"/>
        <w:rPr>
          <w:rFonts w:ascii="Arial" w:cs="Arial" w:eastAsia="Arial" w:hAnsi="Arial"/>
          <w:sz w:val="18"/>
          <w:szCs w:val="18"/>
          <w:color w:val="auto"/>
        </w:rPr>
      </w:pPr>
    </w:p>
    <w:p>
      <w:pPr>
        <w:ind w:right="20" w:firstLine="615"/>
        <w:spacing w:after="0" w:line="282" w:lineRule="auto"/>
        <w:tabs>
          <w:tab w:leader="none" w:pos="787"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61" w:lineRule="exact"/>
        <w:rPr>
          <w:rFonts w:ascii="Arial" w:cs="Arial" w:eastAsia="Arial" w:hAnsi="Arial"/>
          <w:sz w:val="18"/>
          <w:szCs w:val="18"/>
          <w:color w:val="auto"/>
        </w:rPr>
      </w:pPr>
    </w:p>
    <w:p>
      <w:pPr>
        <w:ind w:firstLine="615"/>
        <w:spacing w:after="0" w:line="282" w:lineRule="auto"/>
        <w:tabs>
          <w:tab w:leader="none" w:pos="787"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pacing w:after="0" w:line="161" w:lineRule="exact"/>
        <w:rPr>
          <w:rFonts w:ascii="Arial" w:cs="Arial" w:eastAsia="Arial" w:hAnsi="Arial"/>
          <w:sz w:val="18"/>
          <w:szCs w:val="18"/>
          <w:color w:val="auto"/>
        </w:rPr>
      </w:pPr>
    </w:p>
    <w:p>
      <w:pPr>
        <w:ind w:left="880" w:hanging="265"/>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SIGNATURES</w:t>
      </w:r>
      <w:r>
        <w:rPr>
          <w:rFonts w:ascii="Arial" w:cs="Arial" w:eastAsia="Arial" w:hAnsi="Arial"/>
          <w:sz w:val="17"/>
          <w:szCs w:val="17"/>
          <w:color w:val="auto"/>
        </w:rPr>
        <w:t>. Signatures hereon which are transmitted via facsimile, or other electronic image, shall be deemed original signatures.</w:t>
      </w:r>
    </w:p>
    <w:p>
      <w:pPr>
        <w:spacing w:after="0" w:line="236" w:lineRule="exact"/>
        <w:rPr>
          <w:rFonts w:ascii="Arial" w:cs="Arial" w:eastAsia="Arial" w:hAnsi="Arial"/>
          <w:sz w:val="17"/>
          <w:szCs w:val="17"/>
          <w:color w:val="auto"/>
        </w:rPr>
      </w:pPr>
    </w:p>
    <w:p>
      <w:pPr>
        <w:jc w:val="both"/>
        <w:ind w:firstLine="615"/>
        <w:spacing w:after="0" w:line="314" w:lineRule="auto"/>
        <w:tabs>
          <w:tab w:leader="none" w:pos="871"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ectPr>
          <w:pgSz w:w="11900" w:h="16838" w:orient="portrait"/>
          <w:cols w:equalWidth="0" w:num="1">
            <w:col w:w="11240"/>
          </w:cols>
          <w:pgMar w:left="320" w:top="121" w:right="339" w:bottom="0" w:gutter="0" w:footer="0" w:header="0"/>
        </w:sectPr>
      </w:pPr>
    </w:p>
    <w:bookmarkStart w:id="90" w:name="page91"/>
    <w:bookmarkEnd w:id="90"/>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Stock Grant Agreement as of the day and year first above written.</w:t>
      </w:r>
    </w:p>
    <w:p>
      <w:pPr>
        <w:spacing w:after="0" w:line="200" w:lineRule="exact"/>
        <w:rPr>
          <w:sz w:val="20"/>
          <w:szCs w:val="20"/>
          <w:color w:val="auto"/>
        </w:rPr>
      </w:pPr>
    </w:p>
    <w:p>
      <w:pPr>
        <w:spacing w:after="0" w:line="26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24942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Meryl S. Golden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-130175</wp:posOffset>
            </wp:positionV>
            <wp:extent cx="24942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24942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7089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19"/>
          </w:cols>
          <w:pgMar w:left="940" w:top="125" w:right="1440" w:bottom="1440" w:gutter="0" w:footer="0" w:header="0"/>
        </w:sectPr>
      </w:pPr>
    </w:p>
    <w:bookmarkStart w:id="91" w:name="page92"/>
    <w:bookmarkEnd w:id="91"/>
    <w:p>
      <w:pPr>
        <w:ind w:left="10040"/>
        <w:spacing w:after="0"/>
        <w:rPr>
          <w:sz w:val="20"/>
          <w:szCs w:val="20"/>
          <w:color w:val="auto"/>
        </w:rPr>
      </w:pPr>
      <w:r>
        <w:rPr>
          <w:rFonts w:ascii="Arial" w:cs="Arial" w:eastAsia="Arial" w:hAnsi="Arial"/>
          <w:sz w:val="18"/>
          <w:szCs w:val="18"/>
          <w:b w:val="1"/>
          <w:bCs w:val="1"/>
          <w:color w:val="auto"/>
        </w:rPr>
        <w:t>EXHIBIT 10 (i)</w:t>
      </w:r>
    </w:p>
    <w:p>
      <w:pPr>
        <w:spacing w:after="0" w:line="233" w:lineRule="exact"/>
        <w:rPr>
          <w:sz w:val="20"/>
          <w:szCs w:val="20"/>
          <w:color w:val="auto"/>
        </w:rPr>
      </w:pPr>
    </w:p>
    <w:p>
      <w:pPr>
        <w:jc w:val="both"/>
        <w:ind w:firstLine="607"/>
        <w:spacing w:after="0" w:line="214"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2021 between</w:t>
      </w:r>
      <w:r>
        <w:rPr>
          <w:rFonts w:ascii="Arial" w:cs="Arial" w:eastAsia="Arial" w:hAnsi="Arial"/>
          <w:sz w:val="18"/>
          <w:szCs w:val="18"/>
          <w:b w:val="1"/>
          <w:bCs w:val="1"/>
          <w:color w:val="auto"/>
        </w:rPr>
        <w:t xml:space="preserve"> KINGSTONE COMPANIES,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w:t>
      </w:r>
      <w:r>
        <w:rPr>
          <w:rFonts w:ascii="Arial" w:cs="Arial" w:eastAsia="Arial" w:hAnsi="Arial"/>
          <w:sz w:val="18"/>
          <w:szCs w:val="18"/>
          <w:b w:val="1"/>
          <w:bCs w:val="1"/>
          <w:color w:val="auto"/>
        </w:rPr>
        <w:t>MERYL S. GOLDEN</w:t>
      </w:r>
      <w:r>
        <w:rPr>
          <w:rFonts w:ascii="Arial" w:cs="Arial" w:eastAsia="Arial" w:hAnsi="Arial"/>
          <w:sz w:val="18"/>
          <w:szCs w:val="18"/>
          <w:color w:val="auto"/>
        </w:rPr>
        <w:t xml:space="preserve"> (the “Grantee”).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Grantee is an employee of the Company or a subsidiary thereof;</w:t>
      </w:r>
    </w:p>
    <w:p>
      <w:pPr>
        <w:spacing w:after="0" w:line="225"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Grantee are parties to an Amended and Restated Employment Agreement dated as of December 24,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162"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Compensation Committee of the Board of Directors of the Company has approved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the Grantee of common stock of the Company (“Common Stock”) pursuant to the Company’s 2014 Equity Participation Plan, as amended (the “Plan”).</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62" w:lineRule="exact"/>
        <w:rPr>
          <w:sz w:val="20"/>
          <w:szCs w:val="20"/>
          <w:color w:val="auto"/>
        </w:rPr>
      </w:pPr>
    </w:p>
    <w:p>
      <w:pPr>
        <w:ind w:firstLine="615"/>
        <w:spacing w:after="0" w:line="282" w:lineRule="auto"/>
        <w:tabs>
          <w:tab w:leader="none" w:pos="787"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terms used, but not otherwise defined, herein shall have the meanings ascribed to them in the Plan or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jc w:val="both"/>
        <w:ind w:firstLine="615"/>
        <w:spacing w:after="0" w:line="266" w:lineRule="auto"/>
        <w:tabs>
          <w:tab w:leader="none" w:pos="787"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Subject to the terms and conditions of the Plan and the provisions hereof, the Company hereby agrees to grant to the Grantee,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16 of the Plan, an award of thirty thousand (30,000) shares of Common Stock (the “Shares”), such Shares being issuable on the Vesting Dates (as hereinafter defined) set forth in, and subject to the provisions of, Section 3 hereof.</w:t>
      </w:r>
    </w:p>
    <w:p>
      <w:pPr>
        <w:spacing w:after="0" w:line="175" w:lineRule="exact"/>
        <w:rPr>
          <w:rFonts w:ascii="Arial" w:cs="Arial" w:eastAsia="Arial" w:hAnsi="Arial"/>
          <w:sz w:val="18"/>
          <w:szCs w:val="18"/>
          <w:color w:val="auto"/>
        </w:rPr>
      </w:pPr>
    </w:p>
    <w:p>
      <w:pPr>
        <w:jc w:val="both"/>
        <w:ind w:firstLine="615"/>
        <w:spacing w:after="0" w:line="266" w:lineRule="auto"/>
        <w:tabs>
          <w:tab w:leader="none" w:pos="801"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the Vesting Dates set forth below, provided that the Grantee continues to serve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or a subsidiary thereof as of the applicable Vesting Date (or sooner as provided for in paragraph (c) hereof), subject to the provisions of the Plan:</w:t>
      </w:r>
    </w:p>
    <w:p>
      <w:pPr>
        <w:spacing w:after="0" w:line="179" w:lineRule="exact"/>
        <w:rPr>
          <w:rFonts w:ascii="Arial" w:cs="Arial" w:eastAsia="Arial" w:hAnsi="Arial"/>
          <w:sz w:val="18"/>
          <w:szCs w:val="18"/>
          <w:color w:val="auto"/>
        </w:rPr>
      </w:pPr>
    </w:p>
    <w:p>
      <w:pPr>
        <w:ind w:left="1360" w:hanging="461"/>
        <w:spacing w:after="0"/>
        <w:tabs>
          <w:tab w:leader="none" w:pos="1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ten thousand (10,000) of the Shares on the first anniversary of the date hereof (the “First Vesting Date”);</w:t>
      </w:r>
    </w:p>
    <w:p>
      <w:pPr>
        <w:spacing w:after="0" w:line="225" w:lineRule="exact"/>
        <w:rPr>
          <w:rFonts w:ascii="Arial" w:cs="Arial" w:eastAsia="Arial" w:hAnsi="Arial"/>
          <w:sz w:val="18"/>
          <w:szCs w:val="18"/>
          <w:color w:val="auto"/>
        </w:rPr>
      </w:pPr>
    </w:p>
    <w:p>
      <w:pPr>
        <w:ind w:left="1360" w:hanging="461"/>
        <w:spacing w:after="0"/>
        <w:tabs>
          <w:tab w:leader="none" w:pos="1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ten thousand (10,000) of the Shares on the second anniversary of the date hereof (the “Second Vesting Date”); and</w:t>
      </w:r>
    </w:p>
    <w:p>
      <w:pPr>
        <w:spacing w:after="0" w:line="225" w:lineRule="exact"/>
        <w:rPr>
          <w:rFonts w:ascii="Arial" w:cs="Arial" w:eastAsia="Arial" w:hAnsi="Arial"/>
          <w:sz w:val="18"/>
          <w:szCs w:val="18"/>
          <w:color w:val="auto"/>
        </w:rPr>
      </w:pPr>
    </w:p>
    <w:p>
      <w:pPr>
        <w:ind w:left="1360" w:right="20" w:hanging="461"/>
        <w:spacing w:after="0" w:line="277" w:lineRule="auto"/>
        <w:tabs>
          <w:tab w:leader="none" w:pos="13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ten thousand (10,000) of the Shares on the third anniversary of the date hereof (the “Third Vesting Date”); each of the First Vesting Date, the Second Vesting Date and the Third Vesting Date is referred to hereinafter as a “Vesting Date”.</w:t>
      </w:r>
    </w:p>
    <w:p>
      <w:pPr>
        <w:spacing w:after="0" w:line="170" w:lineRule="exact"/>
        <w:rPr>
          <w:rFonts w:ascii="Arial" w:cs="Arial" w:eastAsia="Arial" w:hAnsi="Arial"/>
          <w:sz w:val="18"/>
          <w:szCs w:val="18"/>
          <w:color w:val="auto"/>
        </w:rPr>
      </w:pPr>
    </w:p>
    <w:p>
      <w:pPr>
        <w:jc w:val="both"/>
        <w:ind w:firstLine="1223"/>
        <w:spacing w:after="0" w:line="259" w:lineRule="auto"/>
        <w:tabs>
          <w:tab w:leader="none" w:pos="14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Subject to the provisions of the Plan, in the event that the Grantee does not continue to serve as an employee of the Company or a subsidiary thereof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1223"/>
        <w:spacing w:after="0" w:line="311" w:lineRule="auto"/>
        <w:tabs>
          <w:tab w:leader="none" w:pos="1465"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that, prior to a particular Vesting Date (i) the Grantee’s employment with the Company is terminated other than for Cause or (ii) the Grantee resigns her employment with the Company for Good Reason, the Shares that were scheduled to vest on such Vesting Date and thereafter shall instead vest on the date of termination of employment or the date of resignation of employment, as the case may be (the “Termination Date”).</w:t>
      </w:r>
    </w:p>
    <w:p>
      <w:pPr>
        <w:spacing w:after="0" w:line="148" w:lineRule="exact"/>
        <w:rPr>
          <w:rFonts w:ascii="Arial" w:cs="Arial" w:eastAsia="Arial" w:hAnsi="Arial"/>
          <w:sz w:val="16"/>
          <w:szCs w:val="16"/>
          <w:color w:val="auto"/>
        </w:rPr>
      </w:pPr>
    </w:p>
    <w:p>
      <w:pPr>
        <w:ind w:firstLine="1223"/>
        <w:spacing w:after="0" w:line="277" w:lineRule="auto"/>
        <w:tabs>
          <w:tab w:leader="none" w:pos="14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70" w:lineRule="exact"/>
        <w:rPr>
          <w:rFonts w:ascii="Arial" w:cs="Arial" w:eastAsia="Arial" w:hAnsi="Arial"/>
          <w:sz w:val="18"/>
          <w:szCs w:val="18"/>
          <w:color w:val="auto"/>
        </w:rPr>
      </w:pPr>
    </w:p>
    <w:p>
      <w:pPr>
        <w:ind w:firstLine="1223"/>
        <w:spacing w:after="0" w:line="277" w:lineRule="auto"/>
        <w:tabs>
          <w:tab w:leader="none" w:pos="151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166" w:lineRule="exact"/>
        <w:rPr>
          <w:rFonts w:ascii="Arial" w:cs="Arial" w:eastAsia="Arial" w:hAnsi="Arial"/>
          <w:sz w:val="18"/>
          <w:szCs w:val="18"/>
          <w:color w:val="auto"/>
        </w:rPr>
      </w:pPr>
    </w:p>
    <w:p>
      <w:pPr>
        <w:ind w:left="800" w:hanging="185"/>
        <w:spacing w:after="0"/>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INCORPORATION BY REFERENCE</w:t>
      </w:r>
      <w:r>
        <w:rPr>
          <w:rFonts w:ascii="Arial" w:cs="Arial" w:eastAsia="Arial" w:hAnsi="Arial"/>
          <w:sz w:val="17"/>
          <w:szCs w:val="17"/>
          <w:color w:val="auto"/>
        </w:rPr>
        <w:t>. The terms and conditions of the Plan are hereby incorporated by reference and made a part hereof.</w:t>
      </w:r>
    </w:p>
    <w:p>
      <w:pPr>
        <w:spacing w:after="0" w:line="236" w:lineRule="exact"/>
        <w:rPr>
          <w:rFonts w:ascii="Arial" w:cs="Arial" w:eastAsia="Arial" w:hAnsi="Arial"/>
          <w:sz w:val="17"/>
          <w:szCs w:val="17"/>
          <w:color w:val="auto"/>
        </w:rPr>
      </w:pPr>
    </w:p>
    <w:p>
      <w:pPr>
        <w:jc w:val="both"/>
        <w:ind w:firstLine="615"/>
        <w:spacing w:after="0" w:line="258" w:lineRule="auto"/>
        <w:tabs>
          <w:tab w:leader="none" w:pos="787"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83" w:lineRule="exact"/>
        <w:rPr>
          <w:rFonts w:ascii="Arial" w:cs="Arial" w:eastAsia="Arial" w:hAnsi="Arial"/>
          <w:sz w:val="18"/>
          <w:szCs w:val="18"/>
          <w:color w:val="auto"/>
        </w:rPr>
      </w:pPr>
    </w:p>
    <w:p>
      <w:pPr>
        <w:ind w:firstLine="615"/>
        <w:spacing w:after="0" w:line="282" w:lineRule="auto"/>
        <w:tabs>
          <w:tab w:leader="none" w:pos="787"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61" w:lineRule="exact"/>
        <w:rPr>
          <w:rFonts w:ascii="Arial" w:cs="Arial" w:eastAsia="Arial" w:hAnsi="Arial"/>
          <w:sz w:val="18"/>
          <w:szCs w:val="18"/>
          <w:color w:val="auto"/>
        </w:rPr>
      </w:pPr>
    </w:p>
    <w:p>
      <w:pPr>
        <w:ind w:right="20" w:firstLine="615"/>
        <w:spacing w:after="0" w:line="282" w:lineRule="auto"/>
        <w:tabs>
          <w:tab w:leader="none" w:pos="801"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may be modified only by an instrument executed by the party sought to be charged.</w:t>
      </w:r>
    </w:p>
    <w:p>
      <w:pPr>
        <w:spacing w:after="0" w:line="161" w:lineRule="exact"/>
        <w:rPr>
          <w:rFonts w:ascii="Arial" w:cs="Arial" w:eastAsia="Arial" w:hAnsi="Arial"/>
          <w:sz w:val="18"/>
          <w:szCs w:val="18"/>
          <w:color w:val="auto"/>
        </w:rPr>
      </w:pPr>
    </w:p>
    <w:p>
      <w:pPr>
        <w:ind w:right="20" w:firstLine="615"/>
        <w:spacing w:after="0" w:line="282" w:lineRule="auto"/>
        <w:tabs>
          <w:tab w:leader="none" w:pos="787"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61" w:lineRule="exact"/>
        <w:rPr>
          <w:rFonts w:ascii="Arial" w:cs="Arial" w:eastAsia="Arial" w:hAnsi="Arial"/>
          <w:sz w:val="18"/>
          <w:szCs w:val="18"/>
          <w:color w:val="auto"/>
        </w:rPr>
      </w:pPr>
    </w:p>
    <w:p>
      <w:pPr>
        <w:ind w:firstLine="615"/>
        <w:spacing w:after="0" w:line="282" w:lineRule="auto"/>
        <w:tabs>
          <w:tab w:leader="none" w:pos="787"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ectPr>
          <w:pgSz w:w="11900" w:h="16838" w:orient="portrait"/>
          <w:cols w:equalWidth="0" w:num="1">
            <w:col w:w="11240"/>
          </w:cols>
          <w:pgMar w:left="320" w:top="121" w:right="339" w:bottom="73" w:gutter="0" w:footer="0" w:header="0"/>
        </w:sectPr>
      </w:pPr>
    </w:p>
    <w:bookmarkStart w:id="92" w:name="page93"/>
    <w:bookmarkEnd w:id="92"/>
    <w:p>
      <w:pPr>
        <w:ind w:left="900" w:hanging="285"/>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FACSIMILE SIGNATURES</w:t>
      </w:r>
      <w:r>
        <w:rPr>
          <w:rFonts w:ascii="Arial" w:cs="Arial" w:eastAsia="Arial" w:hAnsi="Arial"/>
          <w:sz w:val="17"/>
          <w:szCs w:val="17"/>
          <w:color w:val="auto"/>
        </w:rPr>
        <w:t>. Signatures hereon which are transmitted via facsimile, or other electronic image, shall be deemed original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signatures.</w:t>
      </w:r>
    </w:p>
    <w:p>
      <w:pPr>
        <w:spacing w:after="0" w:line="206" w:lineRule="exact"/>
        <w:rPr>
          <w:rFonts w:ascii="Arial" w:cs="Arial" w:eastAsia="Arial" w:hAnsi="Arial"/>
          <w:sz w:val="17"/>
          <w:szCs w:val="17"/>
          <w:color w:val="auto"/>
        </w:rPr>
      </w:pPr>
    </w:p>
    <w:p>
      <w:pPr>
        <w:jc w:val="both"/>
        <w:ind w:firstLine="615"/>
        <w:spacing w:after="0" w:line="314" w:lineRule="auto"/>
        <w:tabs>
          <w:tab w:leader="none" w:pos="871"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Stock Grant Agreement as of the day and year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Barry B. Goldstein,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4942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of Grantee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494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10060"/>
        <w:spacing w:after="0"/>
        <w:rPr>
          <w:sz w:val="20"/>
          <w:szCs w:val="20"/>
          <w:color w:val="auto"/>
        </w:rPr>
      </w:pPr>
      <w:r>
        <w:rPr>
          <w:rFonts w:ascii="Arial" w:cs="Arial" w:eastAsia="Arial" w:hAnsi="Arial"/>
          <w:sz w:val="18"/>
          <w:szCs w:val="18"/>
          <w:b w:val="1"/>
          <w:bCs w:val="1"/>
          <w:color w:val="auto"/>
        </w:rPr>
        <w:t>EXHIBIT 10(j)</w:t>
      </w:r>
    </w:p>
    <w:p>
      <w:pPr>
        <w:spacing w:after="0" w:line="233" w:lineRule="exact"/>
        <w:rPr>
          <w:sz w:val="20"/>
          <w:szCs w:val="20"/>
          <w:color w:val="auto"/>
        </w:rPr>
      </w:pPr>
    </w:p>
    <w:p>
      <w:pPr>
        <w:jc w:val="both"/>
        <w:ind w:right="20" w:firstLine="607"/>
        <w:spacing w:after="0" w:line="214" w:lineRule="auto"/>
        <w:rPr>
          <w:sz w:val="20"/>
          <w:szCs w:val="20"/>
          <w:color w:val="auto"/>
        </w:rPr>
      </w:pPr>
      <w:r>
        <w:rPr>
          <w:rFonts w:ascii="Arial" w:cs="Arial" w:eastAsia="Arial" w:hAnsi="Arial"/>
          <w:sz w:val="18"/>
          <w:szCs w:val="18"/>
          <w:b w:val="1"/>
          <w:bCs w:val="1"/>
          <w:color w:val="auto"/>
        </w:rPr>
        <w:t xml:space="preserve">STOCK GRANT AGREEMENT </w:t>
      </w:r>
      <w:r>
        <w:rPr>
          <w:rFonts w:ascii="Arial" w:cs="Arial" w:eastAsia="Arial" w:hAnsi="Arial"/>
          <w:sz w:val="18"/>
          <w:szCs w:val="18"/>
          <w:color w:val="auto"/>
        </w:rPr>
        <w:t>made as of the 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2022 between</w:t>
      </w:r>
      <w:r>
        <w:rPr>
          <w:rFonts w:ascii="Arial" w:cs="Arial" w:eastAsia="Arial" w:hAnsi="Arial"/>
          <w:sz w:val="18"/>
          <w:szCs w:val="18"/>
          <w:b w:val="1"/>
          <w:bCs w:val="1"/>
          <w:color w:val="auto"/>
        </w:rPr>
        <w:t xml:space="preserve"> KINGSTONE COMPANIES,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w:t>
      </w:r>
      <w:r>
        <w:rPr>
          <w:rFonts w:ascii="Arial" w:cs="Arial" w:eastAsia="Arial" w:hAnsi="Arial"/>
          <w:sz w:val="18"/>
          <w:szCs w:val="18"/>
          <w:b w:val="1"/>
          <w:bCs w:val="1"/>
          <w:color w:val="auto"/>
        </w:rPr>
        <w:t>MERYL S. GOLDEN</w:t>
      </w:r>
      <w:r>
        <w:rPr>
          <w:rFonts w:ascii="Arial" w:cs="Arial" w:eastAsia="Arial" w:hAnsi="Arial"/>
          <w:sz w:val="18"/>
          <w:szCs w:val="18"/>
          <w:color w:val="auto"/>
        </w:rPr>
        <w:t xml:space="preserve"> (the “Grantee”).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Grantee is an employee of the Company or a subsidiary thereof;</w:t>
      </w:r>
    </w:p>
    <w:p>
      <w:pPr>
        <w:spacing w:after="0" w:line="225" w:lineRule="exact"/>
        <w:rPr>
          <w:sz w:val="20"/>
          <w:szCs w:val="20"/>
          <w:color w:val="auto"/>
        </w:rPr>
      </w:pPr>
    </w:p>
    <w:p>
      <w:pPr>
        <w:jc w:val="both"/>
        <w:ind w:firstLine="60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Grantee are parties to an Amended and Restated Employment Agreement dated as of December 24,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162" w:lineRule="exact"/>
        <w:rPr>
          <w:sz w:val="20"/>
          <w:szCs w:val="20"/>
          <w:color w:val="auto"/>
        </w:rPr>
      </w:pPr>
    </w:p>
    <w:p>
      <w:pPr>
        <w:jc w:val="both"/>
        <w:ind w:firstLine="60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Employment Agreement, the Compensation Committee of the Board of Directors of the Company has approved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to the Grantee of common stock of the Company (“Common Stock”) pursuant to the Company’s Amended and Restated 2014 Equity Participation Plan (the “Plan”).</w:t>
      </w:r>
    </w:p>
    <w:p>
      <w:pPr>
        <w:spacing w:after="0" w:line="176" w:lineRule="exact"/>
        <w:rPr>
          <w:sz w:val="20"/>
          <w:szCs w:val="20"/>
          <w:color w:val="auto"/>
        </w:rPr>
      </w:pPr>
    </w:p>
    <w:p>
      <w:pPr>
        <w:jc w:val="both"/>
        <w:ind w:right="20" w:firstLine="60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Company hereby grants to the Grantee an award of shares of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and conditions:</w:t>
      </w:r>
    </w:p>
    <w:p>
      <w:pPr>
        <w:spacing w:after="0" w:line="162" w:lineRule="exact"/>
        <w:rPr>
          <w:sz w:val="20"/>
          <w:szCs w:val="20"/>
          <w:color w:val="auto"/>
        </w:rPr>
      </w:pPr>
    </w:p>
    <w:p>
      <w:pPr>
        <w:ind w:firstLine="615"/>
        <w:spacing w:after="0" w:line="282" w:lineRule="auto"/>
        <w:tabs>
          <w:tab w:leader="none" w:pos="78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All terms used, but not otherwise defined, herein shall have the meanings ascribed to them in the Plan or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color w:val="auto"/>
        </w:rPr>
      </w:pPr>
    </w:p>
    <w:p>
      <w:pPr>
        <w:jc w:val="both"/>
        <w:ind w:firstLine="615"/>
        <w:spacing w:after="0" w:line="266" w:lineRule="auto"/>
        <w:tabs>
          <w:tab w:leader="none" w:pos="787"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Subject to the terms and conditions of the Plan and the provisions hereof, the Company hereby agrees to grant to the Grantee,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16 of the Plan, an award of thirty thousand (30,000) shares of Common Stock (the “Shares”), such Shares being issuable on the Vesting Dates (as hereinafter defined) set forth in, and subject to the provisions of, Section 3 hereof.</w:t>
      </w:r>
    </w:p>
    <w:p>
      <w:pPr>
        <w:spacing w:after="0" w:line="175" w:lineRule="exact"/>
        <w:rPr>
          <w:rFonts w:ascii="Arial" w:cs="Arial" w:eastAsia="Arial" w:hAnsi="Arial"/>
          <w:sz w:val="18"/>
          <w:szCs w:val="18"/>
          <w:color w:val="auto"/>
        </w:rPr>
      </w:pPr>
    </w:p>
    <w:p>
      <w:pPr>
        <w:jc w:val="both"/>
        <w:ind w:firstLine="615"/>
        <w:spacing w:after="0" w:line="266" w:lineRule="auto"/>
        <w:tabs>
          <w:tab w:leader="none" w:pos="801"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SHARES</w:t>
      </w:r>
      <w:r>
        <w:rPr>
          <w:rFonts w:ascii="Arial" w:cs="Arial" w:eastAsia="Arial" w:hAnsi="Arial"/>
          <w:sz w:val="18"/>
          <w:szCs w:val="18"/>
          <w:color w:val="auto"/>
        </w:rPr>
        <w:t>. (a) The Shares shall vest on the Vesting Dates set forth below, provided that the Grantee continues to serve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Company or a subsidiary thereof as of the applicable Vesting Date (or sooner as provided for in paragraph (c) hereof), subject to the provisions of the Plan:</w:t>
      </w:r>
    </w:p>
    <w:p>
      <w:pPr>
        <w:spacing w:after="0" w:line="179" w:lineRule="exact"/>
        <w:rPr>
          <w:rFonts w:ascii="Arial" w:cs="Arial" w:eastAsia="Arial" w:hAnsi="Arial"/>
          <w:sz w:val="18"/>
          <w:szCs w:val="18"/>
          <w:color w:val="auto"/>
        </w:rPr>
      </w:pPr>
    </w:p>
    <w:p>
      <w:pPr>
        <w:ind w:left="1360" w:hanging="461"/>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 thousand (10,000) of the Shares on the first anniversary of the date hereof (the “First Vesting Date”);</w:t>
      </w:r>
    </w:p>
    <w:p>
      <w:pPr>
        <w:spacing w:after="0" w:line="225" w:lineRule="exact"/>
        <w:rPr>
          <w:rFonts w:ascii="Arial" w:cs="Arial" w:eastAsia="Arial" w:hAnsi="Arial"/>
          <w:sz w:val="18"/>
          <w:szCs w:val="18"/>
          <w:color w:val="auto"/>
        </w:rPr>
      </w:pPr>
    </w:p>
    <w:p>
      <w:pPr>
        <w:ind w:left="1360" w:hanging="461"/>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 thousand (10,000) of the Shares on the second anniversary of the date hereof (the “Second Vesting Date”); and</w:t>
      </w:r>
    </w:p>
    <w:p>
      <w:pPr>
        <w:spacing w:after="0" w:line="225" w:lineRule="exact"/>
        <w:rPr>
          <w:rFonts w:ascii="Arial" w:cs="Arial" w:eastAsia="Arial" w:hAnsi="Arial"/>
          <w:sz w:val="18"/>
          <w:szCs w:val="18"/>
          <w:color w:val="auto"/>
        </w:rPr>
      </w:pPr>
    </w:p>
    <w:p>
      <w:pPr>
        <w:ind w:left="1360" w:right="20" w:hanging="461"/>
        <w:spacing w:after="0" w:line="277" w:lineRule="auto"/>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 thousand (10,000) of the Shares on the third anniversary of the date hereof (the “Third Vesting Date”); each of the First Vesting Date, the Second Vesting Date and the Third Vesting Date is referred to hereinafter as a “Vesting Date”.</w:t>
      </w:r>
    </w:p>
    <w:p>
      <w:pPr>
        <w:spacing w:after="0" w:line="170" w:lineRule="exact"/>
        <w:rPr>
          <w:rFonts w:ascii="Arial" w:cs="Arial" w:eastAsia="Arial" w:hAnsi="Arial"/>
          <w:sz w:val="18"/>
          <w:szCs w:val="18"/>
          <w:color w:val="auto"/>
        </w:rPr>
      </w:pPr>
    </w:p>
    <w:p>
      <w:pPr>
        <w:jc w:val="both"/>
        <w:ind w:firstLine="1223"/>
        <w:spacing w:after="0" w:line="259" w:lineRule="auto"/>
        <w:tabs>
          <w:tab w:leader="none" w:pos="1486" w:val="left"/>
        </w:tabs>
        <w:numPr>
          <w:ilvl w:val="2"/>
          <w:numId w:val="64"/>
        </w:numPr>
        <w:rPr>
          <w:rFonts w:ascii="Arial" w:cs="Arial" w:eastAsia="Arial" w:hAnsi="Arial"/>
          <w:sz w:val="18"/>
          <w:szCs w:val="18"/>
          <w:color w:val="auto"/>
        </w:rPr>
      </w:pPr>
      <w:r>
        <w:rPr>
          <w:rFonts w:ascii="Arial" w:cs="Arial" w:eastAsia="Arial" w:hAnsi="Arial"/>
          <w:sz w:val="18"/>
          <w:szCs w:val="18"/>
          <w:color w:val="auto"/>
        </w:rPr>
        <w:t>Subject to the provisions of the Plan, in the event that the Grantee does not continue to serve as an employee of the Company or a subsidiary thereof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firstLine="1223"/>
        <w:spacing w:after="0" w:line="311" w:lineRule="auto"/>
        <w:tabs>
          <w:tab w:leader="none" w:pos="1465"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event that, prior to a particular Vesting Date (i) the Grantee’s employment with the Company is terminated other than for Cause or (ii) the Grantee resigns her employment with the Company for Good Reason, the Shares that were scheduled to vest on such Vesting Date and thereafter shall instead vest on the date of termination of employment or the date of resignation of employment, as the case may be (the “Termination Date”).</w:t>
      </w:r>
    </w:p>
    <w:p>
      <w:pPr>
        <w:spacing w:after="0" w:line="148" w:lineRule="exact"/>
        <w:rPr>
          <w:rFonts w:ascii="Arial" w:cs="Arial" w:eastAsia="Arial" w:hAnsi="Arial"/>
          <w:sz w:val="16"/>
          <w:szCs w:val="16"/>
          <w:color w:val="auto"/>
        </w:rPr>
      </w:pPr>
    </w:p>
    <w:p>
      <w:pPr>
        <w:ind w:firstLine="1223"/>
        <w:spacing w:after="0" w:line="277" w:lineRule="auto"/>
        <w:tabs>
          <w:tab w:leader="none" w:pos="14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that Shares vest on a Vesting Date or the Termination Date, as the case may be, the certificate representing the portion of the Shares then vested shall be issued by the Company as soon as reasonably practicable thereafter.</w:t>
      </w:r>
    </w:p>
    <w:p>
      <w:pPr>
        <w:spacing w:after="0" w:line="170" w:lineRule="exact"/>
        <w:rPr>
          <w:rFonts w:ascii="Arial" w:cs="Arial" w:eastAsia="Arial" w:hAnsi="Arial"/>
          <w:sz w:val="18"/>
          <w:szCs w:val="18"/>
          <w:color w:val="auto"/>
        </w:rPr>
      </w:pPr>
    </w:p>
    <w:p>
      <w:pPr>
        <w:ind w:firstLine="1223"/>
        <w:spacing w:after="0" w:line="277" w:lineRule="auto"/>
        <w:tabs>
          <w:tab w:leader="none" w:pos="15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number of Shares issuable to the Grantee is subject to adjustment for any stock splits, reverse stock splits and other recapitalizations that take effect prior to a particular Vesting Date or the Termination Date, as the case may be.</w:t>
      </w:r>
    </w:p>
    <w:p>
      <w:pPr>
        <w:spacing w:after="0" w:line="166" w:lineRule="exact"/>
        <w:rPr>
          <w:rFonts w:ascii="Arial" w:cs="Arial" w:eastAsia="Arial" w:hAnsi="Arial"/>
          <w:sz w:val="18"/>
          <w:szCs w:val="18"/>
          <w:color w:val="auto"/>
        </w:rPr>
      </w:pPr>
    </w:p>
    <w:p>
      <w:pPr>
        <w:ind w:left="800" w:hanging="185"/>
        <w:spacing w:after="0"/>
        <w:tabs>
          <w:tab w:leader="none" w:pos="80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INCORPORATION BY REFERENCE</w:t>
      </w:r>
      <w:r>
        <w:rPr>
          <w:rFonts w:ascii="Arial" w:cs="Arial" w:eastAsia="Arial" w:hAnsi="Arial"/>
          <w:sz w:val="17"/>
          <w:szCs w:val="17"/>
          <w:color w:val="auto"/>
        </w:rPr>
        <w:t>. The terms and conditions of the Plan are hereby incorporated by reference and made a part hereof.</w:t>
      </w:r>
    </w:p>
    <w:p>
      <w:pPr>
        <w:spacing w:after="0" w:line="236" w:lineRule="exact"/>
        <w:rPr>
          <w:rFonts w:ascii="Arial" w:cs="Arial" w:eastAsia="Arial" w:hAnsi="Arial"/>
          <w:sz w:val="17"/>
          <w:szCs w:val="17"/>
          <w:color w:val="auto"/>
        </w:rPr>
      </w:pPr>
    </w:p>
    <w:p>
      <w:pPr>
        <w:jc w:val="both"/>
        <w:ind w:firstLine="615"/>
        <w:spacing w:after="0" w:line="258" w:lineRule="auto"/>
        <w:tabs>
          <w:tab w:leader="none" w:pos="787"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given hereunder shall be deemed sufficient if in writing and hand delivered or sent by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83" w:lineRule="exact"/>
        <w:rPr>
          <w:rFonts w:ascii="Arial" w:cs="Arial" w:eastAsia="Arial" w:hAnsi="Arial"/>
          <w:sz w:val="18"/>
          <w:szCs w:val="18"/>
          <w:color w:val="auto"/>
        </w:rPr>
      </w:pPr>
    </w:p>
    <w:p>
      <w:pPr>
        <w:ind w:firstLine="615"/>
        <w:spacing w:after="0" w:line="282" w:lineRule="auto"/>
        <w:tabs>
          <w:tab w:leader="none" w:pos="787"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Stock Grant Agreement shall be binding upon and inure to the benefit of the parties hereto and their respective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w:t>
      </w:r>
    </w:p>
    <w:p>
      <w:pPr>
        <w:spacing w:after="0" w:line="161" w:lineRule="exact"/>
        <w:rPr>
          <w:rFonts w:ascii="Arial" w:cs="Arial" w:eastAsia="Arial" w:hAnsi="Arial"/>
          <w:sz w:val="18"/>
          <w:szCs w:val="18"/>
          <w:color w:val="auto"/>
        </w:rPr>
      </w:pPr>
    </w:p>
    <w:p>
      <w:pPr>
        <w:ind w:right="20" w:firstLine="615"/>
        <w:spacing w:after="0" w:line="282" w:lineRule="auto"/>
        <w:tabs>
          <w:tab w:leader="none" w:pos="801"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Stock Grant Agreement, together with the Plan, contains the entire understanding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may be modified only by an instrument executed by the party sought to be charged.</w:t>
      </w:r>
    </w:p>
    <w:p>
      <w:pPr>
        <w:spacing w:after="0" w:line="161" w:lineRule="exact"/>
        <w:rPr>
          <w:rFonts w:ascii="Arial" w:cs="Arial" w:eastAsia="Arial" w:hAnsi="Arial"/>
          <w:sz w:val="18"/>
          <w:szCs w:val="18"/>
          <w:color w:val="auto"/>
        </w:rPr>
      </w:pPr>
    </w:p>
    <w:p>
      <w:pPr>
        <w:ind w:right="20" w:firstLine="615"/>
        <w:spacing w:after="0" w:line="282" w:lineRule="auto"/>
        <w:tabs>
          <w:tab w:leader="none" w:pos="787"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Stock Grant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choice of law rules thereof.</w:t>
      </w:r>
    </w:p>
    <w:p>
      <w:pPr>
        <w:spacing w:after="0" w:line="161" w:lineRule="exact"/>
        <w:rPr>
          <w:rFonts w:ascii="Arial" w:cs="Arial" w:eastAsia="Arial" w:hAnsi="Arial"/>
          <w:sz w:val="18"/>
          <w:szCs w:val="18"/>
          <w:color w:val="auto"/>
        </w:rPr>
      </w:pPr>
    </w:p>
    <w:p>
      <w:pPr>
        <w:ind w:firstLine="615"/>
        <w:spacing w:after="0" w:line="282" w:lineRule="auto"/>
        <w:tabs>
          <w:tab w:leader="none" w:pos="787"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Stock Grant Agreement may be executed in counterparts,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both of which together shall constitute one and the same instrument.</w:t>
      </w:r>
    </w:p>
    <w:p>
      <w:pPr>
        <w:sectPr>
          <w:pgSz w:w="11900" w:h="16838" w:orient="portrait"/>
          <w:cols w:equalWidth="0" w:num="1">
            <w:col w:w="11240"/>
          </w:cols>
          <w:pgMar w:left="320" w:top="121" w:right="339" w:bottom="73" w:gutter="0" w:footer="0" w:header="0"/>
        </w:sectPr>
      </w:pPr>
    </w:p>
    <w:bookmarkStart w:id="94" w:name="page95"/>
    <w:bookmarkEnd w:id="94"/>
    <w:p>
      <w:pPr>
        <w:ind w:left="900" w:hanging="285"/>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FACSIMILE SIGNATURES</w:t>
      </w:r>
      <w:r>
        <w:rPr>
          <w:rFonts w:ascii="Arial" w:cs="Arial" w:eastAsia="Arial" w:hAnsi="Arial"/>
          <w:sz w:val="17"/>
          <w:szCs w:val="17"/>
          <w:color w:val="auto"/>
        </w:rPr>
        <w:t>. Signatures hereon which are transmitted via facsimile, or other electronic image, shall be deemed original</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signatures.</w:t>
      </w:r>
    </w:p>
    <w:p>
      <w:pPr>
        <w:spacing w:after="0" w:line="206" w:lineRule="exact"/>
        <w:rPr>
          <w:rFonts w:ascii="Arial" w:cs="Arial" w:eastAsia="Arial" w:hAnsi="Arial"/>
          <w:sz w:val="17"/>
          <w:szCs w:val="17"/>
          <w:color w:val="auto"/>
        </w:rPr>
      </w:pPr>
    </w:p>
    <w:p>
      <w:pPr>
        <w:jc w:val="both"/>
        <w:ind w:firstLine="615"/>
        <w:spacing w:after="0" w:line="314" w:lineRule="auto"/>
        <w:tabs>
          <w:tab w:leader="none" w:pos="871"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INTERPRETATION; HEADINGS</w:t>
      </w:r>
      <w:r>
        <w:rPr>
          <w:rFonts w:ascii="Arial" w:cs="Arial" w:eastAsia="Arial" w:hAnsi="Arial"/>
          <w:sz w:val="16"/>
          <w:szCs w:val="16"/>
          <w:color w:val="auto"/>
        </w:rPr>
        <w:t>. The provisions of this Stock Grant Agreement shall be interpreted in a reasonable manner to give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Stock Grant Agreement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KINGSTONE COMPANIES, INC.</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23831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-130175</wp:posOffset>
            </wp:positionV>
            <wp:extent cx="2383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23831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of Grantee</w:t>
      </w:r>
    </w:p>
    <w:p>
      <w:pPr>
        <w:spacing w:after="0" w:line="200" w:lineRule="exact"/>
        <w:rPr>
          <w:sz w:val="20"/>
          <w:szCs w:val="20"/>
          <w:color w:val="auto"/>
        </w:rPr>
      </w:pPr>
    </w:p>
    <w:p>
      <w:pPr>
        <w:spacing w:after="0" w:line="25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Address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-130175</wp:posOffset>
            </wp:positionV>
            <wp:extent cx="23831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of Kingstone Companies, Inc. on Form S-3 (No. 333-215426 and 333-221615) and Form S-8 (No. 333-207986, No. 333-245013 and No. 333-258877) of our report dated April 1, 2022, with respect to our audits of the consolidated financial statements of Kingstone Companies, Inc. and Subsidiaries as of December 31, 2021 and 2020 and for the years then ended, which report is included in this Annual Report on Form 10-K of Kingstone Companies, Inc.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5"/>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lowerRoman"/>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3"/>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21"/>
    </w:lvl>
  </w:abstractNum>
  <w:abstractNum w:abstractNumId="30">
    <w:nsid w:val="684A481A"/>
    <w:multiLevelType w:val="hybridMultilevel"/>
    <w:lvl w:ilvl="0">
      <w:lvlJc w:val="left"/>
      <w:lvlText w:val="%1"/>
      <w:numFmt w:val="decimal"/>
      <w:start w:val="32"/>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2"/>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5"/>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upperLetter"/>
      <w:start w:val="1"/>
    </w:lvl>
  </w:abstractNum>
  <w:abstractNum w:abstractNumId="44">
    <w:nsid w:val="275AC794"/>
    <w:multiLevelType w:val="hybridMultilevel"/>
    <w:lvl w:ilvl="0">
      <w:lvlJc w:val="left"/>
      <w:lvlText w:val="%1"/>
      <w:numFmt w:val="decimal"/>
      <w:start w:val="1"/>
    </w:lvl>
    <w:lvl w:ilvl="1">
      <w:lvlJc w:val="left"/>
      <w:lvlText w:val="(%2)"/>
      <w:numFmt w:val="upperLetter"/>
      <w:start w:val="2"/>
    </w:lvl>
  </w:abstractNum>
  <w:abstractNum w:abstractNumId="45">
    <w:nsid w:val="39386575"/>
    <w:multiLevelType w:val="hybridMultilevel"/>
    <w:lvl w:ilvl="0">
      <w:lvlJc w:val="left"/>
      <w:lvlText w:val="(%1)"/>
      <w:numFmt w:val="decimal"/>
      <w:start w:val="2"/>
    </w:lvl>
    <w:lvl w:ilvl="1">
      <w:lvlJc w:val="left"/>
      <w:lvlText w:val="%2"/>
      <w:numFmt w:val="upperLetter"/>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decimal"/>
      <w:start w:val="1"/>
    </w:lvl>
    <w:lvl w:ilvl="1">
      <w:lvlJc w:val="left"/>
      <w:lvlText w:val="(%2)"/>
      <w:numFmt w:val="lowerLetter"/>
      <w:start w:val="1"/>
    </w:lvl>
  </w:abstractNum>
  <w:abstractNum w:abstractNumId="49">
    <w:nsid w:val="47398C8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50">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1">
    <w:nsid w:val="15B5AF5C"/>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4"/>
    </w:lvl>
  </w:abstractNum>
  <w:abstractNum w:abstractNumId="52">
    <w:nsid w:val="741226BB"/>
    <w:multiLevelType w:val="hybridMultilevel"/>
    <w:lvl w:ilvl="0">
      <w:lvlJc w:val="left"/>
      <w:lvlText w:val="%1."/>
      <w:numFmt w:val="decimal"/>
      <w:start w:val="10"/>
    </w:lvl>
  </w:abstractNum>
  <w:abstractNum w:abstractNumId="53">
    <w:nsid w:val="D34B6A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54">
    <w:nsid w:val="10233C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5">
    <w:nsid w:val="3F6AB60F"/>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4"/>
    </w:lvl>
  </w:abstractNum>
  <w:abstractNum w:abstractNumId="56">
    <w:nsid w:val="61574095"/>
    <w:multiLevelType w:val="hybridMultilevel"/>
    <w:lvl w:ilvl="0">
      <w:lvlJc w:val="left"/>
      <w:lvlText w:val="%1."/>
      <w:numFmt w:val="decimal"/>
      <w:start w:val="11"/>
    </w:lvl>
  </w:abstractNum>
  <w:abstractNum w:abstractNumId="57">
    <w:nsid w:val="7E0C57B1"/>
    <w:multiLevelType w:val="hybridMultilevel"/>
    <w:lvl w:ilvl="0">
      <w:lvlJc w:val="left"/>
      <w:lvlText w:val="%1."/>
      <w:numFmt w:val="decimal"/>
      <w:start w:val="1"/>
    </w:lvl>
    <w:lvl w:ilvl="1">
      <w:lvlJc w:val="left"/>
      <w:lvlText w:val="(%2)"/>
      <w:numFmt w:val="lowerLetter"/>
      <w:start w:val="2"/>
    </w:lvl>
  </w:abstractNum>
  <w:abstractNum w:abstractNumId="58">
    <w:nsid w:val="77AE35EB"/>
    <w:multiLevelType w:val="hybridMultilevel"/>
    <w:lvl w:ilvl="0">
      <w:lvlJc w:val="left"/>
      <w:lvlText w:val="%1."/>
      <w:numFmt w:val="decimal"/>
      <w:start w:val="4"/>
    </w:lvl>
  </w:abstractNum>
  <w:abstractNum w:abstractNumId="59">
    <w:nsid w:val="579BE4F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60">
    <w:nsid w:val="310C50B3"/>
    <w:multiLevelType w:val="hybridMultilevel"/>
    <w:lvl w:ilvl="0">
      <w:lvlJc w:val="left"/>
      <w:lvlText w:val="%1"/>
      <w:numFmt w:val="decimal"/>
      <w:start w:val="1"/>
    </w:lvl>
    <w:lvl w:ilvl="1">
      <w:lvlJc w:val="left"/>
      <w:lvlText w:val="(%2)"/>
      <w:numFmt w:val="lowerLetter"/>
      <w:start w:val="3"/>
    </w:lvl>
  </w:abstractNum>
  <w:abstractNum w:abstractNumId="61">
    <w:nsid w:val="5FF87E05"/>
    <w:multiLevelType w:val="hybridMultilevel"/>
    <w:lvl w:ilvl="0">
      <w:lvlJc w:val="left"/>
      <w:lvlText w:val="%1."/>
      <w:numFmt w:val="decimal"/>
      <w:start w:val="4"/>
    </w:lvl>
    <w:lvl w:ilvl="1">
      <w:lvlJc w:val="left"/>
      <w:lvlText w:val="%2"/>
      <w:numFmt w:val="lowerLetter"/>
      <w:start w:val="1"/>
    </w:lvl>
  </w:abstractNum>
  <w:abstractNum w:abstractNumId="62">
    <w:nsid w:val="2F305DEF"/>
    <w:multiLevelType w:val="hybridMultilevel"/>
    <w:lvl w:ilvl="0">
      <w:lvlJc w:val="left"/>
      <w:lvlText w:val="%1."/>
      <w:numFmt w:val="decimal"/>
      <w:start w:val="10"/>
    </w:lvl>
  </w:abstractNum>
  <w:abstractNum w:abstractNumId="63">
    <w:nsid w:val="25A70BF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64">
    <w:nsid w:val="1DBABF00"/>
    <w:multiLevelType w:val="hybridMultilevel"/>
    <w:lvl w:ilvl="0">
      <w:lvlJc w:val="left"/>
      <w:lvlText w:val="%1"/>
      <w:numFmt w:val="decimal"/>
      <w:start w:val="1"/>
    </w:lvl>
    <w:lvl w:ilvl="1">
      <w:lvlJc w:val="left"/>
      <w:lvlText w:val="(%2)"/>
      <w:numFmt w:val="lowerLetter"/>
      <w:start w:val="3"/>
    </w:lvl>
  </w:abstractNum>
  <w:abstractNum w:abstractNumId="65">
    <w:nsid w:val="4AD084E9"/>
    <w:multiLevelType w:val="hybridMultilevel"/>
    <w:lvl w:ilvl="0">
      <w:lvlJc w:val="left"/>
      <w:lvlText w:val="%1."/>
      <w:numFmt w:val="decimal"/>
      <w:start w:val="4"/>
    </w:lvl>
    <w:lvl w:ilvl="1">
      <w:lvlJc w:val="left"/>
      <w:lvlText w:val="%2"/>
      <w:numFmt w:val="lowerLetter"/>
      <w:start w:val="1"/>
    </w:lvl>
  </w:abstractNum>
  <w:abstractNum w:abstractNumId="66">
    <w:nsid w:val="1F48EAA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3" Type="http://schemas.openxmlformats.org/officeDocument/2006/relationships/image" Target="media/image84.png"/><Relationship Id="rId95" Type="http://schemas.openxmlformats.org/officeDocument/2006/relationships/image" Target="media/image85.png"/><Relationship Id="rId97" Type="http://schemas.openxmlformats.org/officeDocument/2006/relationships/image" Target="media/image86.png"/><Relationship Id="rId99" Type="http://schemas.openxmlformats.org/officeDocument/2006/relationships/image" Target="media/image87.png"/><Relationship Id="rId101" Type="http://schemas.openxmlformats.org/officeDocument/2006/relationships/image" Target="media/image88.png"/><Relationship Id="rId103" Type="http://schemas.openxmlformats.org/officeDocument/2006/relationships/image" Target="media/image89.png"/><Relationship Id="rId105"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7"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90" Type="http://schemas.openxmlformats.org/officeDocument/2006/relationships/hyperlink" Target="http://www.sec.gov/Archives/edgar/data/33992/000135448814002619/kins_ex3a.htm" TargetMode="External"/><Relationship Id="rId92" Type="http://schemas.openxmlformats.org/officeDocument/2006/relationships/hyperlink" Target="http://www.sec.gov/Archives/edgar/data/33992/000102177109000069/ex3_1.htm" TargetMode="External"/><Relationship Id="rId94" Type="http://schemas.openxmlformats.org/officeDocument/2006/relationships/hyperlink" Target="http://www.sec.gov/Archives/edgar/data/33992/000102177117000105/ex4_1.htm" TargetMode="External"/><Relationship Id="rId96" Type="http://schemas.openxmlformats.org/officeDocument/2006/relationships/hyperlink" Target="http://www.sec.gov/Archives/edgar/data/33992/000102177117000105/ex4_2.htm" TargetMode="External"/><Relationship Id="rId98" Type="http://schemas.openxmlformats.org/officeDocument/2006/relationships/hyperlink" Target="http://www.sec.gov/Archives/edgar/data/33992/000102177117000105/ex4_3.htm" TargetMode="External"/><Relationship Id="rId100" Type="http://schemas.openxmlformats.org/officeDocument/2006/relationships/hyperlink" Target="http://www.sec.gov/Archives/edgar/data/33992/000102177120000052/ex10_1.htm" TargetMode="External"/><Relationship Id="rId102" Type="http://schemas.openxmlformats.org/officeDocument/2006/relationships/hyperlink" Target="http://www.sec.gov/Archives/edgar/data/33992/000102177119000065/ex10_1.htm" TargetMode="External"/><Relationship Id="rId104" Type="http://schemas.openxmlformats.org/officeDocument/2006/relationships/hyperlink" Target="http://www.sec.gov/Archives/edgar/data/33992/000165495420002719/kins_ex10c.htm" TargetMode="External"/><Relationship Id="rId106" Type="http://schemas.openxmlformats.org/officeDocument/2006/relationships/hyperlink" Target="http://www.sec.gov/Archives/edgar/data/33992/000165495420002719/kins_ex10d.htm" TargetMode="External"/><Relationship Id="rId112" Type="http://schemas.openxmlformats.org/officeDocument/2006/relationships/hyperlink" Target="http://www.sec.gov/Archives/edgar/data/33992/000102177119000054/ex99_1.htm" TargetMode="External"/><Relationship Id="rId116" Type="http://schemas.openxmlformats.org/officeDocument/2006/relationships/hyperlink" Target="http://www.sec.gov/Archives/edgar/data/33992/000102177118000025/ex10_1.htm" TargetMode="External"/><Relationship Id="rId118" Type="http://schemas.openxmlformats.org/officeDocument/2006/relationships/hyperlink" Target="http://www.sec.gov/Archives/edgar/data/33992/000165495417002100/kins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2022-04-04T05:27:53Z</dcterms:created>
  <dcterms:modified xsi:type="dcterms:W3CDTF">2022-04-04T05:27:53Z</dcterms:modified>
</cp:coreProperties>
</file>