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153035</wp:posOffset>
            </wp:positionH>
            <wp:positionV relativeFrom="page">
              <wp:posOffset>281940</wp:posOffset>
            </wp:positionV>
            <wp:extent cx="72548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32385"/>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378460</wp:posOffset>
            </wp:positionV>
            <wp:extent cx="7254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8255"/>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21" w:lineRule="exact"/>
        <w:rPr>
          <w:sz w:val="24"/>
          <w:szCs w:val="24"/>
          <w:color w:val="auto"/>
        </w:rPr>
      </w:pPr>
    </w:p>
    <w:p>
      <w:pPr>
        <w:ind w:left="4120" w:right="1780" w:hanging="3846"/>
        <w:spacing w:after="0" w:line="270" w:lineRule="auto"/>
        <w:tabs>
          <w:tab w:leader="none" w:pos="126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11" w:lineRule="exact"/>
        <w:rPr>
          <w:sz w:val="24"/>
          <w:szCs w:val="24"/>
          <w:color w:val="auto"/>
        </w:rPr>
      </w:pPr>
    </w:p>
    <w:p>
      <w:pPr>
        <w:ind w:left="3800" w:right="1780" w:hanging="3526"/>
        <w:spacing w:after="0" w:line="301" w:lineRule="auto"/>
        <w:tabs>
          <w:tab w:leader="none" w:pos="126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_________to _________</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0-1665</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KINGSTONE COMPANIES,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420"/>
          </w:cols>
          <w:pgMar w:left="240" w:top="659" w:right="239" w:bottom="1440" w:gutter="0" w:footer="0" w:header="0"/>
        </w:sectPr>
      </w:pPr>
    </w:p>
    <w:p>
      <w:pPr>
        <w:spacing w:after="0" w:line="203"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Delaware</w:t>
      </w:r>
    </w:p>
    <w:p>
      <w:pPr>
        <w:spacing w:after="0" w:line="29"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36-2476480</w:t>
      </w:r>
    </w:p>
    <w:p>
      <w:pPr>
        <w:spacing w:after="0" w:line="29" w:lineRule="exact"/>
        <w:rPr>
          <w:sz w:val="24"/>
          <w:szCs w:val="24"/>
          <w:color w:val="auto"/>
        </w:rPr>
      </w:pPr>
    </w:p>
    <w:p>
      <w:pPr>
        <w:jc w:val="center"/>
        <w:ind w:right="1320"/>
        <w:spacing w:after="0"/>
        <w:rPr>
          <w:sz w:val="20"/>
          <w:szCs w:val="20"/>
          <w:color w:val="auto"/>
        </w:rPr>
      </w:pPr>
      <w:r>
        <w:rPr>
          <w:rFonts w:ascii="Arial" w:cs="Arial" w:eastAsia="Arial" w:hAnsi="Arial"/>
          <w:sz w:val="15"/>
          <w:szCs w:val="15"/>
          <w:b w:val="1"/>
          <w:bCs w:val="1"/>
          <w:color w:val="auto"/>
        </w:rPr>
        <w:t>(I.R.S. EmployerIdentification Number)</w:t>
      </w:r>
    </w:p>
    <w:p>
      <w:pPr>
        <w:spacing w:after="0" w:line="30" w:lineRule="exact"/>
        <w:rPr>
          <w:sz w:val="24"/>
          <w:szCs w:val="24"/>
          <w:color w:val="auto"/>
        </w:rPr>
      </w:pPr>
    </w:p>
    <w:p>
      <w:pPr>
        <w:sectPr>
          <w:pgSz w:w="11900" w:h="16838" w:orient="portrait"/>
          <w:cols w:equalWidth="0" w:num="2">
            <w:col w:w="6560" w:space="720"/>
            <w:col w:w="4140"/>
          </w:cols>
          <w:pgMar w:left="240" w:top="6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15 Joys Lane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Kingston, NY 12401</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420"/>
          </w:cols>
          <w:pgMar w:left="240" w:top="659" w:right="239" w:bottom="1440" w:gutter="0" w:footer="0" w:header="0"/>
          <w:type w:val="continuous"/>
        </w:sect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(845) 802-7900</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52" w:lineRule="exact"/>
        <w:rPr>
          <w:sz w:val="24"/>
          <w:szCs w:val="24"/>
          <w:color w:val="auto"/>
        </w:rPr>
      </w:pPr>
    </w:p>
    <w:p>
      <w:pPr>
        <w:jc w:val="both"/>
        <w:spacing w:after="0" w:line="21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120"/>
        <w:spacing w:after="0" w:line="21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ind w:right="22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9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3420" w:type="dxa"/>
            <w:vAlign w:val="bottom"/>
          </w:tcPr>
          <w:p>
            <w:pPr>
              <w:ind w:left="10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4960" w:type="dxa"/>
            <w:vAlign w:val="bottom"/>
          </w:tcPr>
          <w:p>
            <w:pPr>
              <w:ind w:left="6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420" w:type="dxa"/>
            <w:vAlign w:val="bottom"/>
          </w:tcPr>
          <w:p>
            <w:pPr>
              <w:ind w:left="10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9"/>
        </w:trPr>
        <w:tc>
          <w:tcPr>
            <w:tcW w:w="21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420" w:type="dxa"/>
            <w:vAlign w:val="bottom"/>
          </w:tcPr>
          <w:p>
            <w:pPr>
              <w:ind w:left="1040"/>
              <w:spacing w:after="0"/>
              <w:rPr>
                <w:sz w:val="20"/>
                <w:szCs w:val="20"/>
                <w:color w:val="auto"/>
              </w:rPr>
            </w:pPr>
            <w:r>
              <w:rPr>
                <w:rFonts w:ascii="Arial" w:cs="Arial" w:eastAsia="Arial" w:hAnsi="Arial"/>
                <w:sz w:val="16"/>
                <w:szCs w:val="16"/>
                <w:color w:val="auto"/>
              </w:rPr>
              <w:t>Emerging growth company</w:t>
            </w:r>
          </w:p>
        </w:tc>
        <w:tc>
          <w:tcPr>
            <w:tcW w:w="74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77" w:lineRule="exact"/>
        <w:rPr>
          <w:sz w:val="24"/>
          <w:szCs w:val="24"/>
          <w:color w:val="auto"/>
        </w:rPr>
      </w:pPr>
    </w:p>
    <w:p>
      <w:pPr>
        <w:ind w:right="60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color w:val="auto"/>
        </w:rPr>
        <w:t>As of August 9, 2018, there were 10,663,599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89535</wp:posOffset>
            </wp:positionV>
            <wp:extent cx="725487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323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299085</wp:posOffset>
            </wp:positionV>
            <wp:extent cx="7254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KINGSTONE COMPANIES,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PAGE</w:t>
            </w:r>
          </w:p>
        </w:tc>
      </w:tr>
      <w:tr>
        <w:trPr>
          <w:trHeight w:val="203"/>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83"/>
        </w:trPr>
        <w:tc>
          <w:tcPr>
            <w:tcW w:w="2980" w:type="dxa"/>
            <w:vAlign w:val="bottom"/>
            <w:tcBorders>
              <w:bottom w:val="single" w:sz="8" w:color="0000EE"/>
            </w:tcBorders>
            <w:gridSpan w:val="12"/>
            <w:shd w:val="clear" w:color="auto" w:fill="CCEEFF"/>
          </w:tcPr>
          <w:p>
            <w:pPr>
              <w:spacing w:after="0" w:line="165" w:lineRule="exact"/>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PART I — FINANCIAL INFORMATION</w:t>
              </w:r>
            </w:hyperlink>
          </w:p>
        </w:tc>
        <w:tc>
          <w:tcPr>
            <w:tcW w:w="7080" w:type="dxa"/>
            <w:vAlign w:val="bottom"/>
            <w:tcBorders>
              <w:bottom w:val="single" w:sz="8" w:color="CCEEFF"/>
            </w:tcBorders>
            <w:gridSpan w:val="11"/>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18"/>
              <w:spacing w:after="0" w:line="165" w:lineRule="exact"/>
              <w:rPr>
                <w:sz w:val="20"/>
                <w:szCs w:val="20"/>
                <w:color w:val="auto"/>
              </w:rPr>
            </w:pPr>
            <w:r>
              <w:rPr>
                <w:rFonts w:ascii="Arial" w:cs="Arial" w:eastAsia="Arial" w:hAnsi="Arial"/>
                <w:sz w:val="16"/>
                <w:szCs w:val="16"/>
                <w:color w:val="auto"/>
              </w:rPr>
              <w:t>2</w:t>
            </w:r>
          </w:p>
        </w:tc>
      </w:tr>
      <w:tr>
        <w:trPr>
          <w:trHeight w:val="165"/>
        </w:trPr>
        <w:tc>
          <w:tcPr>
            <w:tcW w:w="240" w:type="dxa"/>
            <w:vAlign w:val="bottom"/>
          </w:tcPr>
          <w:p>
            <w:pPr>
              <w:spacing w:after="0"/>
              <w:rPr>
                <w:sz w:val="14"/>
                <w:szCs w:val="14"/>
                <w:color w:val="auto"/>
              </w:rPr>
            </w:pPr>
          </w:p>
        </w:tc>
        <w:tc>
          <w:tcPr>
            <w:tcW w:w="640" w:type="dxa"/>
            <w:vAlign w:val="bottom"/>
            <w:gridSpan w:val="2"/>
          </w:tcPr>
          <w:p>
            <w:pPr>
              <w:spacing w:after="0" w:line="165" w:lineRule="exact"/>
              <w:rPr>
                <w:rFonts w:ascii="Arial" w:cs="Arial" w:eastAsia="Arial" w:hAnsi="Arial"/>
                <w:sz w:val="16"/>
                <w:szCs w:val="16"/>
                <w:color w:val="0000EE"/>
                <w:w w:val="95"/>
              </w:rPr>
            </w:pPr>
            <w:hyperlink w:anchor="page4">
              <w:r>
                <w:rPr>
                  <w:rFonts w:ascii="Arial" w:cs="Arial" w:eastAsia="Arial" w:hAnsi="Arial"/>
                  <w:sz w:val="16"/>
                  <w:szCs w:val="16"/>
                  <w:color w:val="0000EE"/>
                  <w:w w:val="95"/>
                </w:rPr>
                <w:t>Item 1 —</w:t>
              </w:r>
            </w:hyperlink>
          </w:p>
        </w:tc>
        <w:tc>
          <w:tcPr>
            <w:tcW w:w="380" w:type="dxa"/>
            <w:vAlign w:val="bottom"/>
            <w:gridSpan w:val="2"/>
          </w:tcPr>
          <w:p>
            <w:pPr>
              <w:spacing w:after="0"/>
              <w:rPr>
                <w:sz w:val="14"/>
                <w:szCs w:val="14"/>
                <w:color w:val="auto"/>
              </w:rPr>
            </w:pPr>
          </w:p>
        </w:tc>
        <w:tc>
          <w:tcPr>
            <w:tcW w:w="8800" w:type="dxa"/>
            <w:vAlign w:val="bottom"/>
            <w:gridSpan w:val="18"/>
          </w:tcPr>
          <w:p>
            <w:pPr>
              <w:spacing w:after="0" w:line="165" w:lineRule="exact"/>
              <w:rPr>
                <w:rFonts w:ascii="Arial" w:cs="Arial" w:eastAsia="Arial" w:hAnsi="Arial"/>
                <w:sz w:val="16"/>
                <w:szCs w:val="16"/>
                <w:color w:val="0000EE"/>
              </w:rPr>
            </w:pPr>
            <w:hyperlink w:anchor="page4">
              <w:r>
                <w:rPr>
                  <w:rFonts w:ascii="Arial" w:cs="Arial" w:eastAsia="Arial" w:hAnsi="Arial"/>
                  <w:sz w:val="16"/>
                  <w:szCs w:val="16"/>
                  <w:color w:val="0000EE"/>
                </w:rPr>
                <w:t>Financial Statements</w:t>
              </w:r>
            </w:hyperlink>
          </w:p>
        </w:tc>
        <w:tc>
          <w:tcPr>
            <w:tcW w:w="1360" w:type="dxa"/>
            <w:vAlign w:val="bottom"/>
          </w:tcPr>
          <w:p>
            <w:pPr>
              <w:jc w:val="right"/>
              <w:ind w:right="18"/>
              <w:spacing w:after="0" w:line="165" w:lineRule="exact"/>
              <w:rPr>
                <w:sz w:val="20"/>
                <w:szCs w:val="20"/>
                <w:color w:val="auto"/>
              </w:rPr>
            </w:pPr>
            <w:r>
              <w:rPr>
                <w:rFonts w:ascii="Arial" w:cs="Arial" w:eastAsia="Arial" w:hAnsi="Arial"/>
                <w:sz w:val="16"/>
                <w:szCs w:val="16"/>
                <w:color w:val="auto"/>
              </w:rPr>
              <w:t>2</w:t>
            </w:r>
          </w:p>
        </w:tc>
      </w:tr>
      <w:tr>
        <w:trPr>
          <w:trHeight w:val="29"/>
        </w:trPr>
        <w:tc>
          <w:tcPr>
            <w:tcW w:w="24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4"/>
        </w:trPr>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0" w:type="dxa"/>
            <w:vAlign w:val="bottom"/>
            <w:gridSpan w:val="18"/>
            <w:shd w:val="clear" w:color="auto" w:fill="CCEEFF"/>
          </w:tcPr>
          <w:p>
            <w:pPr>
              <w:spacing w:after="0" w:line="174" w:lineRule="exact"/>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 at June 30, 2018 (Unaudited) and December 31, 2017</w:t>
              </w:r>
            </w:hyperlink>
          </w:p>
        </w:tc>
        <w:tc>
          <w:tcPr>
            <w:tcW w:w="1360" w:type="dxa"/>
            <w:vAlign w:val="bottom"/>
            <w:shd w:val="clear" w:color="auto" w:fill="CCEEFF"/>
          </w:tcPr>
          <w:p>
            <w:pPr>
              <w:jc w:val="right"/>
              <w:ind w:right="18"/>
              <w:spacing w:after="0" w:line="174" w:lineRule="exact"/>
              <w:rPr>
                <w:sz w:val="20"/>
                <w:szCs w:val="20"/>
                <w:color w:val="auto"/>
              </w:rPr>
            </w:pPr>
            <w:r>
              <w:rPr>
                <w:rFonts w:ascii="Arial" w:cs="Arial" w:eastAsia="Arial" w:hAnsi="Arial"/>
                <w:sz w:val="16"/>
                <w:szCs w:val="16"/>
                <w:color w:val="auto"/>
              </w:rPr>
              <w:t>2</w:t>
            </w:r>
          </w:p>
        </w:tc>
      </w:tr>
      <w:tr>
        <w:trPr>
          <w:trHeight w:val="38"/>
        </w:trPr>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10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500" w:type="dxa"/>
            <w:vAlign w:val="bottom"/>
            <w:shd w:val="clear" w:color="auto" w:fill="0000EE"/>
          </w:tcPr>
          <w:p>
            <w:pPr>
              <w:spacing w:after="0"/>
              <w:rPr>
                <w:sz w:val="3"/>
                <w:szCs w:val="3"/>
                <w:color w:val="auto"/>
              </w:rPr>
            </w:pPr>
          </w:p>
        </w:tc>
        <w:tc>
          <w:tcPr>
            <w:tcW w:w="142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r>
        <w:trPr>
          <w:trHeight w:val="165"/>
        </w:trPr>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0" w:type="dxa"/>
            <w:vAlign w:val="bottom"/>
            <w:gridSpan w:val="18"/>
          </w:tcPr>
          <w:p>
            <w:pPr>
              <w:spacing w:after="0" w:line="165" w:lineRule="exact"/>
              <w:rPr>
                <w:rFonts w:ascii="Arial" w:cs="Arial" w:eastAsia="Arial" w:hAnsi="Arial"/>
                <w:sz w:val="16"/>
                <w:szCs w:val="16"/>
                <w:color w:val="0000EE"/>
                <w:w w:val="93"/>
              </w:rPr>
            </w:pPr>
            <w:hyperlink w:anchor="page5">
              <w:r>
                <w:rPr>
                  <w:rFonts w:ascii="Arial" w:cs="Arial" w:eastAsia="Arial" w:hAnsi="Arial"/>
                  <w:sz w:val="16"/>
                  <w:szCs w:val="16"/>
                  <w:color w:val="0000EE"/>
                  <w:w w:val="93"/>
                </w:rPr>
                <w:t>Condensed Consolidated Statements of Income and Comprehensive Income (Loss) for the three months and six months ended June</w:t>
              </w:r>
            </w:hyperlink>
          </w:p>
        </w:tc>
        <w:tc>
          <w:tcPr>
            <w:tcW w:w="1360" w:type="dxa"/>
            <w:vAlign w:val="bottom"/>
          </w:tcPr>
          <w:p>
            <w:pPr>
              <w:spacing w:after="0"/>
              <w:rPr>
                <w:sz w:val="14"/>
                <w:szCs w:val="14"/>
                <w:color w:val="auto"/>
              </w:rPr>
            </w:pPr>
          </w:p>
        </w:tc>
      </w:tr>
      <w:tr>
        <w:trPr>
          <w:trHeight w:val="183"/>
        </w:trPr>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60" w:type="dxa"/>
            <w:vAlign w:val="bottom"/>
            <w:tcBorders>
              <w:top w:val="single" w:sz="8" w:color="0000EE"/>
            </w:tcBorders>
            <w:gridSpan w:val="17"/>
          </w:tcPr>
          <w:p>
            <w:pPr>
              <w:spacing w:after="0" w:line="183" w:lineRule="exact"/>
              <w:rPr>
                <w:rFonts w:ascii="Arial" w:cs="Arial" w:eastAsia="Arial" w:hAnsi="Arial"/>
                <w:sz w:val="16"/>
                <w:szCs w:val="16"/>
                <w:color w:val="0000EE"/>
              </w:rPr>
            </w:pPr>
            <w:hyperlink w:anchor="page5">
              <w:r>
                <w:rPr>
                  <w:rFonts w:ascii="Arial" w:cs="Arial" w:eastAsia="Arial" w:hAnsi="Arial"/>
                  <w:sz w:val="16"/>
                  <w:szCs w:val="16"/>
                  <w:color w:val="0000EE"/>
                </w:rPr>
                <w:t>30, 2018 (Unaudited) and 2017 (Unaudited)</w:t>
              </w:r>
            </w:hyperlink>
          </w:p>
        </w:tc>
        <w:tc>
          <w:tcPr>
            <w:tcW w:w="140" w:type="dxa"/>
            <w:vAlign w:val="bottom"/>
          </w:tcPr>
          <w:p>
            <w:pPr>
              <w:spacing w:after="0"/>
              <w:rPr>
                <w:sz w:val="15"/>
                <w:szCs w:val="15"/>
                <w:color w:val="auto"/>
              </w:rPr>
            </w:pPr>
          </w:p>
        </w:tc>
        <w:tc>
          <w:tcPr>
            <w:tcW w:w="1360" w:type="dxa"/>
            <w:vAlign w:val="bottom"/>
          </w:tcPr>
          <w:p>
            <w:pPr>
              <w:jc w:val="right"/>
              <w:ind w:right="18"/>
              <w:spacing w:after="0" w:line="183" w:lineRule="exact"/>
              <w:rPr>
                <w:sz w:val="20"/>
                <w:szCs w:val="20"/>
                <w:color w:val="auto"/>
              </w:rPr>
            </w:pPr>
            <w:r>
              <w:rPr>
                <w:rFonts w:ascii="Arial" w:cs="Arial" w:eastAsia="Arial" w:hAnsi="Arial"/>
                <w:sz w:val="16"/>
                <w:szCs w:val="16"/>
                <w:color w:val="auto"/>
              </w:rPr>
              <w:t>3</w:t>
            </w:r>
          </w:p>
        </w:tc>
      </w:tr>
      <w:tr>
        <w:trPr>
          <w:trHeight w:val="29"/>
        </w:trPr>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2"/>
        </w:trPr>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440" w:type="dxa"/>
            <w:vAlign w:val="bottom"/>
            <w:tcBorders>
              <w:bottom w:val="single" w:sz="8" w:color="0000EE"/>
            </w:tcBorders>
            <w:gridSpan w:val="15"/>
            <w:shd w:val="clear" w:color="auto" w:fill="CCEEFF"/>
          </w:tcPr>
          <w:p>
            <w:pPr>
              <w:spacing w:after="0" w:line="174" w:lineRule="exact"/>
              <w:rPr>
                <w:rFonts w:ascii="Arial" w:cs="Arial" w:eastAsia="Arial" w:hAnsi="Arial"/>
                <w:sz w:val="16"/>
                <w:szCs w:val="16"/>
                <w:color w:val="0000EE"/>
                <w:w w:val="93"/>
              </w:rPr>
            </w:pPr>
            <w:hyperlink w:anchor="page6">
              <w:r>
                <w:rPr>
                  <w:rFonts w:ascii="Arial" w:cs="Arial" w:eastAsia="Arial" w:hAnsi="Arial"/>
                  <w:sz w:val="16"/>
                  <w:szCs w:val="16"/>
                  <w:color w:val="0000EE"/>
                  <w:w w:val="93"/>
                </w:rPr>
                <w:t>Condensed Consolidated Statement of Stockholders’ Equity for the six months ended June 30, 2018 (Unaudited)</w:t>
              </w:r>
            </w:hyperlink>
          </w:p>
        </w:tc>
        <w:tc>
          <w:tcPr>
            <w:tcW w:w="1360" w:type="dxa"/>
            <w:vAlign w:val="bottom"/>
            <w:tcBorders>
              <w:bottom w:val="single" w:sz="8" w:color="CCEEFF"/>
            </w:tcBorders>
            <w:gridSpan w:val="3"/>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18"/>
              <w:spacing w:after="0" w:line="174" w:lineRule="exact"/>
              <w:rPr>
                <w:sz w:val="20"/>
                <w:szCs w:val="20"/>
                <w:color w:val="auto"/>
              </w:rPr>
            </w:pPr>
            <w:r>
              <w:rPr>
                <w:rFonts w:ascii="Arial" w:cs="Arial" w:eastAsia="Arial" w:hAnsi="Arial"/>
                <w:sz w:val="16"/>
                <w:szCs w:val="16"/>
                <w:color w:val="auto"/>
              </w:rPr>
              <w:t>4</w:t>
            </w:r>
          </w:p>
        </w:tc>
      </w:tr>
      <w:tr>
        <w:trPr>
          <w:trHeight w:val="174"/>
        </w:trPr>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360" w:type="dxa"/>
            <w:vAlign w:val="bottom"/>
            <w:tcBorders>
              <w:bottom w:val="single" w:sz="8" w:color="0000EE"/>
            </w:tcBorders>
            <w:gridSpan w:val="16"/>
          </w:tcPr>
          <w:p>
            <w:pPr>
              <w:spacing w:after="0" w:line="165" w:lineRule="exact"/>
              <w:rPr>
                <w:rFonts w:ascii="Arial" w:cs="Arial" w:eastAsia="Arial" w:hAnsi="Arial"/>
                <w:sz w:val="16"/>
                <w:szCs w:val="16"/>
                <w:color w:val="0000EE"/>
                <w:w w:val="92"/>
              </w:rPr>
            </w:pPr>
            <w:hyperlink w:anchor="page7">
              <w:r>
                <w:rPr>
                  <w:rFonts w:ascii="Arial" w:cs="Arial" w:eastAsia="Arial" w:hAnsi="Arial"/>
                  <w:sz w:val="16"/>
                  <w:szCs w:val="16"/>
                  <w:color w:val="0000EE"/>
                  <w:w w:val="92"/>
                </w:rPr>
                <w:t>Condensed Consolidated Statements of Cash Flows for the six months ended June 30, 2018 (Unaudited) and 2017 (Unaudited)</w:t>
              </w:r>
            </w:hyperlink>
          </w:p>
        </w:tc>
        <w:tc>
          <w:tcPr>
            <w:tcW w:w="440" w:type="dxa"/>
            <w:vAlign w:val="bottom"/>
            <w:gridSpan w:val="2"/>
          </w:tcPr>
          <w:p>
            <w:pPr>
              <w:spacing w:after="0"/>
              <w:rPr>
                <w:sz w:val="15"/>
                <w:szCs w:val="15"/>
                <w:color w:val="auto"/>
              </w:rPr>
            </w:pPr>
          </w:p>
        </w:tc>
        <w:tc>
          <w:tcPr>
            <w:tcW w:w="1360" w:type="dxa"/>
            <w:vAlign w:val="bottom"/>
          </w:tcPr>
          <w:p>
            <w:pPr>
              <w:jc w:val="right"/>
              <w:ind w:right="18"/>
              <w:spacing w:after="0" w:line="165" w:lineRule="exact"/>
              <w:rPr>
                <w:sz w:val="20"/>
                <w:szCs w:val="20"/>
                <w:color w:val="auto"/>
              </w:rPr>
            </w:pPr>
            <w:r>
              <w:rPr>
                <w:rFonts w:ascii="Arial" w:cs="Arial" w:eastAsia="Arial" w:hAnsi="Arial"/>
                <w:sz w:val="16"/>
                <w:szCs w:val="16"/>
                <w:color w:val="auto"/>
              </w:rPr>
              <w:t>5</w:t>
            </w:r>
          </w:p>
        </w:tc>
      </w:tr>
      <w:tr>
        <w:trPr>
          <w:trHeight w:val="192"/>
        </w:trPr>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500" w:type="dxa"/>
            <w:vAlign w:val="bottom"/>
            <w:tcBorders>
              <w:bottom w:val="single" w:sz="8" w:color="0000EE"/>
            </w:tcBorders>
            <w:gridSpan w:val="12"/>
            <w:shd w:val="clear" w:color="auto" w:fill="CCEEFF"/>
          </w:tcPr>
          <w:p>
            <w:pPr>
              <w:spacing w:after="0" w:line="174" w:lineRule="exact"/>
              <w:rPr>
                <w:rFonts w:ascii="Arial" w:cs="Arial" w:eastAsia="Arial" w:hAnsi="Arial"/>
                <w:sz w:val="16"/>
                <w:szCs w:val="16"/>
                <w:color w:val="0000EE"/>
                <w:w w:val="92"/>
              </w:rPr>
            </w:pPr>
            <w:hyperlink w:anchor="page8">
              <w:r>
                <w:rPr>
                  <w:rFonts w:ascii="Arial" w:cs="Arial" w:eastAsia="Arial" w:hAnsi="Arial"/>
                  <w:sz w:val="16"/>
                  <w:szCs w:val="16"/>
                  <w:color w:val="0000EE"/>
                  <w:w w:val="92"/>
                </w:rPr>
                <w:t>Notes to Condensed Consolidated Financial Statements (Unaudited)</w:t>
              </w:r>
            </w:hyperlink>
          </w:p>
        </w:tc>
        <w:tc>
          <w:tcPr>
            <w:tcW w:w="4300" w:type="dxa"/>
            <w:vAlign w:val="bottom"/>
            <w:tcBorders>
              <w:bottom w:val="single" w:sz="8" w:color="CCEEFF"/>
            </w:tcBorders>
            <w:gridSpan w:val="6"/>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18"/>
              <w:spacing w:after="0" w:line="174" w:lineRule="exact"/>
              <w:rPr>
                <w:sz w:val="20"/>
                <w:szCs w:val="20"/>
                <w:color w:val="auto"/>
              </w:rPr>
            </w:pPr>
            <w:r>
              <w:rPr>
                <w:rFonts w:ascii="Arial" w:cs="Arial" w:eastAsia="Arial" w:hAnsi="Arial"/>
                <w:sz w:val="16"/>
                <w:szCs w:val="16"/>
                <w:color w:val="auto"/>
              </w:rPr>
              <w:t>6</w:t>
            </w:r>
          </w:p>
        </w:tc>
      </w:tr>
      <w:tr>
        <w:trPr>
          <w:trHeight w:val="174"/>
        </w:trPr>
        <w:tc>
          <w:tcPr>
            <w:tcW w:w="240" w:type="dxa"/>
            <w:vAlign w:val="bottom"/>
          </w:tcPr>
          <w:p>
            <w:pPr>
              <w:spacing w:after="0"/>
              <w:rPr>
                <w:sz w:val="15"/>
                <w:szCs w:val="15"/>
                <w:color w:val="auto"/>
              </w:rPr>
            </w:pPr>
          </w:p>
        </w:tc>
        <w:tc>
          <w:tcPr>
            <w:tcW w:w="640" w:type="dxa"/>
            <w:vAlign w:val="bottom"/>
            <w:tcBorders>
              <w:bottom w:val="single" w:sz="8" w:color="0000EE"/>
            </w:tcBorders>
            <w:gridSpan w:val="2"/>
          </w:tcPr>
          <w:p>
            <w:pPr>
              <w:spacing w:after="0" w:line="165" w:lineRule="exact"/>
              <w:rPr>
                <w:rFonts w:ascii="Arial" w:cs="Arial" w:eastAsia="Arial" w:hAnsi="Arial"/>
                <w:sz w:val="16"/>
                <w:szCs w:val="16"/>
                <w:color w:val="0000EE"/>
                <w:w w:val="95"/>
              </w:rPr>
            </w:pPr>
            <w:hyperlink w:anchor="page41">
              <w:r>
                <w:rPr>
                  <w:rFonts w:ascii="Arial" w:cs="Arial" w:eastAsia="Arial" w:hAnsi="Arial"/>
                  <w:sz w:val="16"/>
                  <w:szCs w:val="16"/>
                  <w:color w:val="0000EE"/>
                  <w:w w:val="95"/>
                </w:rPr>
                <w:t>Item 2 —</w:t>
              </w:r>
            </w:hyperlink>
          </w:p>
        </w:tc>
        <w:tc>
          <w:tcPr>
            <w:tcW w:w="380" w:type="dxa"/>
            <w:vAlign w:val="bottom"/>
            <w:gridSpan w:val="2"/>
          </w:tcPr>
          <w:p>
            <w:pPr>
              <w:spacing w:after="0"/>
              <w:rPr>
                <w:sz w:val="15"/>
                <w:szCs w:val="15"/>
                <w:color w:val="auto"/>
              </w:rPr>
            </w:pPr>
          </w:p>
        </w:tc>
        <w:tc>
          <w:tcPr>
            <w:tcW w:w="5920" w:type="dxa"/>
            <w:vAlign w:val="bottom"/>
            <w:tcBorders>
              <w:bottom w:val="single" w:sz="8" w:color="0000EE"/>
            </w:tcBorders>
            <w:gridSpan w:val="13"/>
          </w:tcPr>
          <w:p>
            <w:pPr>
              <w:spacing w:after="0" w:line="165" w:lineRule="exact"/>
              <w:rPr>
                <w:rFonts w:ascii="Arial" w:cs="Arial" w:eastAsia="Arial" w:hAnsi="Arial"/>
                <w:sz w:val="16"/>
                <w:szCs w:val="16"/>
                <w:color w:val="0000EE"/>
                <w:w w:val="93"/>
              </w:rPr>
            </w:pPr>
            <w:hyperlink w:anchor="page41">
              <w:r>
                <w:rPr>
                  <w:rFonts w:ascii="Arial" w:cs="Arial" w:eastAsia="Arial" w:hAnsi="Arial"/>
                  <w:sz w:val="16"/>
                  <w:szCs w:val="16"/>
                  <w:color w:val="0000EE"/>
                  <w:w w:val="93"/>
                </w:rPr>
                <w:t>Management’s Discussion and Analysis of Financial Condition and Results of Operations</w:t>
              </w:r>
            </w:hyperlink>
          </w:p>
        </w:tc>
        <w:tc>
          <w:tcPr>
            <w:tcW w:w="2880" w:type="dxa"/>
            <w:vAlign w:val="bottom"/>
            <w:gridSpan w:val="5"/>
          </w:tcPr>
          <w:p>
            <w:pPr>
              <w:spacing w:after="0"/>
              <w:rPr>
                <w:sz w:val="15"/>
                <w:szCs w:val="15"/>
                <w:color w:val="auto"/>
              </w:rPr>
            </w:pPr>
          </w:p>
        </w:tc>
        <w:tc>
          <w:tcPr>
            <w:tcW w:w="1360" w:type="dxa"/>
            <w:vAlign w:val="bottom"/>
          </w:tcPr>
          <w:p>
            <w:pPr>
              <w:jc w:val="right"/>
              <w:ind w:right="18"/>
              <w:spacing w:after="0" w:line="165" w:lineRule="exact"/>
              <w:rPr>
                <w:sz w:val="20"/>
                <w:szCs w:val="20"/>
                <w:color w:val="auto"/>
              </w:rPr>
            </w:pPr>
            <w:r>
              <w:rPr>
                <w:rFonts w:ascii="Arial" w:cs="Arial" w:eastAsia="Arial" w:hAnsi="Arial"/>
                <w:sz w:val="16"/>
                <w:szCs w:val="16"/>
                <w:color w:val="auto"/>
              </w:rPr>
              <w:t>39</w:t>
            </w:r>
          </w:p>
        </w:tc>
      </w:tr>
      <w:tr>
        <w:trPr>
          <w:trHeight w:val="192"/>
        </w:trPr>
        <w:tc>
          <w:tcPr>
            <w:tcW w:w="2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0000EE"/>
            </w:tcBorders>
            <w:gridSpan w:val="2"/>
            <w:shd w:val="clear" w:color="auto" w:fill="CCEEFF"/>
          </w:tcPr>
          <w:p>
            <w:pPr>
              <w:spacing w:after="0" w:line="174" w:lineRule="exact"/>
              <w:rPr>
                <w:rFonts w:ascii="Arial" w:cs="Arial" w:eastAsia="Arial" w:hAnsi="Arial"/>
                <w:sz w:val="16"/>
                <w:szCs w:val="16"/>
                <w:color w:val="0000EE"/>
                <w:w w:val="95"/>
              </w:rPr>
            </w:pPr>
            <w:hyperlink w:anchor="page77">
              <w:r>
                <w:rPr>
                  <w:rFonts w:ascii="Arial" w:cs="Arial" w:eastAsia="Arial" w:hAnsi="Arial"/>
                  <w:sz w:val="16"/>
                  <w:szCs w:val="16"/>
                  <w:color w:val="0000EE"/>
                  <w:w w:val="95"/>
                </w:rPr>
                <w:t>Item 3 —</w:t>
              </w:r>
            </w:hyperlink>
          </w:p>
        </w:tc>
        <w:tc>
          <w:tcPr>
            <w:tcW w:w="380" w:type="dxa"/>
            <w:vAlign w:val="bottom"/>
            <w:tcBorders>
              <w:bottom w:val="single" w:sz="8" w:color="CCEEFF"/>
            </w:tcBorders>
            <w:gridSpan w:val="2"/>
            <w:shd w:val="clear" w:color="auto" w:fill="CCEEFF"/>
          </w:tcPr>
          <w:p>
            <w:pPr>
              <w:spacing w:after="0"/>
              <w:rPr>
                <w:sz w:val="16"/>
                <w:szCs w:val="16"/>
                <w:color w:val="auto"/>
              </w:rPr>
            </w:pPr>
          </w:p>
        </w:tc>
        <w:tc>
          <w:tcPr>
            <w:tcW w:w="4000" w:type="dxa"/>
            <w:vAlign w:val="bottom"/>
            <w:tcBorders>
              <w:bottom w:val="single" w:sz="8" w:color="0000EE"/>
            </w:tcBorders>
            <w:gridSpan w:val="11"/>
            <w:shd w:val="clear" w:color="auto" w:fill="CCEEFF"/>
          </w:tcPr>
          <w:p>
            <w:pPr>
              <w:spacing w:after="0" w:line="174" w:lineRule="exact"/>
              <w:rPr>
                <w:rFonts w:ascii="Arial" w:cs="Arial" w:eastAsia="Arial" w:hAnsi="Arial"/>
                <w:sz w:val="16"/>
                <w:szCs w:val="16"/>
                <w:color w:val="0000EE"/>
                <w:w w:val="95"/>
              </w:rPr>
            </w:pPr>
            <w:hyperlink w:anchor="page77">
              <w:r>
                <w:rPr>
                  <w:rFonts w:ascii="Arial" w:cs="Arial" w:eastAsia="Arial" w:hAnsi="Arial"/>
                  <w:sz w:val="16"/>
                  <w:szCs w:val="16"/>
                  <w:color w:val="0000EE"/>
                  <w:w w:val="95"/>
                </w:rPr>
                <w:t>Quantitative and Qualitative Disclosures About Market Risk</w:t>
              </w:r>
            </w:hyperlink>
          </w:p>
        </w:tc>
        <w:tc>
          <w:tcPr>
            <w:tcW w:w="4800" w:type="dxa"/>
            <w:vAlign w:val="bottom"/>
            <w:tcBorders>
              <w:bottom w:val="single" w:sz="8" w:color="CCEEFF"/>
            </w:tcBorders>
            <w:gridSpan w:val="7"/>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18"/>
              <w:spacing w:after="0" w:line="174" w:lineRule="exact"/>
              <w:rPr>
                <w:sz w:val="20"/>
                <w:szCs w:val="20"/>
                <w:color w:val="auto"/>
              </w:rPr>
            </w:pPr>
            <w:r>
              <w:rPr>
                <w:rFonts w:ascii="Arial" w:cs="Arial" w:eastAsia="Arial" w:hAnsi="Arial"/>
                <w:sz w:val="16"/>
                <w:szCs w:val="16"/>
                <w:color w:val="auto"/>
              </w:rPr>
              <w:t>75</w:t>
            </w:r>
          </w:p>
        </w:tc>
      </w:tr>
      <w:tr>
        <w:trPr>
          <w:trHeight w:val="174"/>
        </w:trPr>
        <w:tc>
          <w:tcPr>
            <w:tcW w:w="240" w:type="dxa"/>
            <w:vAlign w:val="bottom"/>
          </w:tcPr>
          <w:p>
            <w:pPr>
              <w:spacing w:after="0"/>
              <w:rPr>
                <w:sz w:val="15"/>
                <w:szCs w:val="15"/>
                <w:color w:val="auto"/>
              </w:rPr>
            </w:pPr>
          </w:p>
        </w:tc>
        <w:tc>
          <w:tcPr>
            <w:tcW w:w="640" w:type="dxa"/>
            <w:vAlign w:val="bottom"/>
            <w:gridSpan w:val="2"/>
          </w:tcPr>
          <w:p>
            <w:pPr>
              <w:spacing w:after="0" w:line="165" w:lineRule="exact"/>
              <w:rPr>
                <w:rFonts w:ascii="Arial" w:cs="Arial" w:eastAsia="Arial" w:hAnsi="Arial"/>
                <w:sz w:val="16"/>
                <w:szCs w:val="16"/>
                <w:color w:val="0000EE"/>
                <w:w w:val="95"/>
              </w:rPr>
            </w:pPr>
            <w:hyperlink w:anchor="page78">
              <w:r>
                <w:rPr>
                  <w:rFonts w:ascii="Arial" w:cs="Arial" w:eastAsia="Arial" w:hAnsi="Arial"/>
                  <w:sz w:val="16"/>
                  <w:szCs w:val="16"/>
                  <w:color w:val="0000EE"/>
                  <w:w w:val="95"/>
                </w:rPr>
                <w:t>Item 4 —</w:t>
              </w:r>
            </w:hyperlink>
          </w:p>
        </w:tc>
        <w:tc>
          <w:tcPr>
            <w:tcW w:w="380" w:type="dxa"/>
            <w:vAlign w:val="bottom"/>
            <w:gridSpan w:val="2"/>
          </w:tcPr>
          <w:p>
            <w:pPr>
              <w:spacing w:after="0"/>
              <w:rPr>
                <w:sz w:val="15"/>
                <w:szCs w:val="15"/>
                <w:color w:val="auto"/>
              </w:rPr>
            </w:pPr>
          </w:p>
        </w:tc>
        <w:tc>
          <w:tcPr>
            <w:tcW w:w="8800" w:type="dxa"/>
            <w:vAlign w:val="bottom"/>
            <w:gridSpan w:val="18"/>
          </w:tcPr>
          <w:p>
            <w:pPr>
              <w:spacing w:after="0" w:line="165" w:lineRule="exact"/>
              <w:rPr>
                <w:rFonts w:ascii="Arial" w:cs="Arial" w:eastAsia="Arial" w:hAnsi="Arial"/>
                <w:sz w:val="16"/>
                <w:szCs w:val="16"/>
                <w:color w:val="0000EE"/>
              </w:rPr>
            </w:pPr>
            <w:hyperlink w:anchor="page78">
              <w:r>
                <w:rPr>
                  <w:rFonts w:ascii="Arial" w:cs="Arial" w:eastAsia="Arial" w:hAnsi="Arial"/>
                  <w:sz w:val="16"/>
                  <w:szCs w:val="16"/>
                  <w:color w:val="0000EE"/>
                </w:rPr>
                <w:t>Controls and Procedures</w:t>
              </w:r>
            </w:hyperlink>
          </w:p>
        </w:tc>
        <w:tc>
          <w:tcPr>
            <w:tcW w:w="1360" w:type="dxa"/>
            <w:vAlign w:val="bottom"/>
          </w:tcPr>
          <w:p>
            <w:pPr>
              <w:jc w:val="right"/>
              <w:ind w:right="18"/>
              <w:spacing w:after="0" w:line="165" w:lineRule="exact"/>
              <w:rPr>
                <w:sz w:val="20"/>
                <w:szCs w:val="20"/>
                <w:color w:val="auto"/>
              </w:rPr>
            </w:pPr>
            <w:r>
              <w:rPr>
                <w:rFonts w:ascii="Arial" w:cs="Arial" w:eastAsia="Arial" w:hAnsi="Arial"/>
                <w:sz w:val="16"/>
                <w:szCs w:val="16"/>
                <w:color w:val="auto"/>
              </w:rPr>
              <w:t>76</w:t>
            </w:r>
          </w:p>
        </w:tc>
      </w:tr>
      <w:tr>
        <w:trPr>
          <w:trHeight w:val="212"/>
        </w:trPr>
        <w:tc>
          <w:tcPr>
            <w:tcW w:w="240" w:type="dxa"/>
            <w:vAlign w:val="bottom"/>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74"/>
        </w:trPr>
        <w:tc>
          <w:tcPr>
            <w:tcW w:w="2700" w:type="dxa"/>
            <w:vAlign w:val="bottom"/>
            <w:tcBorders>
              <w:bottom w:val="single" w:sz="8" w:color="0000EE"/>
            </w:tcBorders>
            <w:gridSpan w:val="10"/>
          </w:tcPr>
          <w:p>
            <w:pPr>
              <w:spacing w:after="0" w:line="165" w:lineRule="exact"/>
              <w:rPr>
                <w:rFonts w:ascii="Arial" w:cs="Arial" w:eastAsia="Arial" w:hAnsi="Arial"/>
                <w:sz w:val="16"/>
                <w:szCs w:val="16"/>
                <w:b w:val="1"/>
                <w:bCs w:val="1"/>
                <w:color w:val="0000EE"/>
              </w:rPr>
            </w:pPr>
            <w:hyperlink w:anchor="page79">
              <w:r>
                <w:rPr>
                  <w:rFonts w:ascii="Arial" w:cs="Arial" w:eastAsia="Arial" w:hAnsi="Arial"/>
                  <w:sz w:val="16"/>
                  <w:szCs w:val="16"/>
                  <w:b w:val="1"/>
                  <w:bCs w:val="1"/>
                  <w:color w:val="0000EE"/>
                </w:rPr>
                <w:t>PART II — OTHER INFORMATION</w:t>
              </w:r>
            </w:hyperlink>
          </w:p>
        </w:tc>
        <w:tc>
          <w:tcPr>
            <w:tcW w:w="7360" w:type="dxa"/>
            <w:vAlign w:val="bottom"/>
            <w:gridSpan w:val="13"/>
          </w:tcPr>
          <w:p>
            <w:pPr>
              <w:spacing w:after="0"/>
              <w:rPr>
                <w:sz w:val="15"/>
                <w:szCs w:val="15"/>
                <w:color w:val="auto"/>
              </w:rPr>
            </w:pPr>
          </w:p>
        </w:tc>
        <w:tc>
          <w:tcPr>
            <w:tcW w:w="1360" w:type="dxa"/>
            <w:vAlign w:val="bottom"/>
          </w:tcPr>
          <w:p>
            <w:pPr>
              <w:jc w:val="right"/>
              <w:ind w:right="18"/>
              <w:spacing w:after="0" w:line="165" w:lineRule="exact"/>
              <w:rPr>
                <w:sz w:val="20"/>
                <w:szCs w:val="20"/>
                <w:color w:val="auto"/>
              </w:rPr>
            </w:pPr>
            <w:r>
              <w:rPr>
                <w:rFonts w:ascii="Arial" w:cs="Arial" w:eastAsia="Arial" w:hAnsi="Arial"/>
                <w:sz w:val="16"/>
                <w:szCs w:val="16"/>
                <w:color w:val="auto"/>
              </w:rPr>
              <w:t>77</w:t>
            </w:r>
          </w:p>
        </w:tc>
      </w:tr>
      <w:tr>
        <w:trPr>
          <w:trHeight w:val="174"/>
        </w:trPr>
        <w:tc>
          <w:tcPr>
            <w:tcW w:w="2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spacing w:after="0" w:line="174" w:lineRule="exact"/>
              <w:rPr>
                <w:rFonts w:ascii="Arial" w:cs="Arial" w:eastAsia="Arial" w:hAnsi="Arial"/>
                <w:sz w:val="16"/>
                <w:szCs w:val="16"/>
                <w:color w:val="0000EE"/>
                <w:w w:val="95"/>
              </w:rPr>
            </w:pPr>
            <w:hyperlink w:anchor="page79">
              <w:r>
                <w:rPr>
                  <w:rFonts w:ascii="Arial" w:cs="Arial" w:eastAsia="Arial" w:hAnsi="Arial"/>
                  <w:sz w:val="16"/>
                  <w:szCs w:val="16"/>
                  <w:color w:val="0000EE"/>
                  <w:w w:val="95"/>
                </w:rPr>
                <w:t>Item 1 —</w:t>
              </w:r>
            </w:hyperlink>
          </w:p>
        </w:tc>
        <w:tc>
          <w:tcPr>
            <w:tcW w:w="380" w:type="dxa"/>
            <w:vAlign w:val="bottom"/>
            <w:gridSpan w:val="2"/>
            <w:shd w:val="clear" w:color="auto" w:fill="CCEEFF"/>
          </w:tcPr>
          <w:p>
            <w:pPr>
              <w:spacing w:after="0"/>
              <w:rPr>
                <w:sz w:val="15"/>
                <w:szCs w:val="15"/>
                <w:color w:val="auto"/>
              </w:rPr>
            </w:pPr>
          </w:p>
        </w:tc>
        <w:tc>
          <w:tcPr>
            <w:tcW w:w="8800" w:type="dxa"/>
            <w:vAlign w:val="bottom"/>
            <w:gridSpan w:val="18"/>
            <w:shd w:val="clear" w:color="auto" w:fill="CCEEFF"/>
          </w:tcPr>
          <w:p>
            <w:pPr>
              <w:spacing w:after="0" w:line="174" w:lineRule="exact"/>
              <w:rPr>
                <w:rFonts w:ascii="Arial" w:cs="Arial" w:eastAsia="Arial" w:hAnsi="Arial"/>
                <w:sz w:val="16"/>
                <w:szCs w:val="16"/>
                <w:color w:val="0000EE"/>
              </w:rPr>
            </w:pPr>
            <w:hyperlink w:anchor="page79">
              <w:r>
                <w:rPr>
                  <w:rFonts w:ascii="Arial" w:cs="Arial" w:eastAsia="Arial" w:hAnsi="Arial"/>
                  <w:sz w:val="16"/>
                  <w:szCs w:val="16"/>
                  <w:color w:val="0000EE"/>
                </w:rPr>
                <w:t>Legal Proceedings</w:t>
              </w:r>
            </w:hyperlink>
          </w:p>
        </w:tc>
        <w:tc>
          <w:tcPr>
            <w:tcW w:w="1360" w:type="dxa"/>
            <w:vAlign w:val="bottom"/>
            <w:shd w:val="clear" w:color="auto" w:fill="CCEEFF"/>
          </w:tcPr>
          <w:p>
            <w:pPr>
              <w:jc w:val="right"/>
              <w:ind w:right="18"/>
              <w:spacing w:after="0" w:line="174" w:lineRule="exact"/>
              <w:rPr>
                <w:sz w:val="20"/>
                <w:szCs w:val="20"/>
                <w:color w:val="auto"/>
              </w:rPr>
            </w:pPr>
            <w:r>
              <w:rPr>
                <w:rFonts w:ascii="Arial" w:cs="Arial" w:eastAsia="Arial" w:hAnsi="Arial"/>
                <w:sz w:val="16"/>
                <w:szCs w:val="16"/>
                <w:color w:val="auto"/>
              </w:rPr>
              <w:t>77</w:t>
            </w:r>
          </w:p>
        </w:tc>
      </w:tr>
      <w:tr>
        <w:trPr>
          <w:trHeight w:val="38"/>
        </w:trPr>
        <w:tc>
          <w:tcPr>
            <w:tcW w:w="240" w:type="dxa"/>
            <w:vAlign w:val="bottom"/>
            <w:shd w:val="clear" w:color="auto" w:fill="CCEEFF"/>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r>
        <w:trPr>
          <w:trHeight w:val="174"/>
        </w:trPr>
        <w:tc>
          <w:tcPr>
            <w:tcW w:w="240" w:type="dxa"/>
            <w:vAlign w:val="bottom"/>
          </w:tcPr>
          <w:p>
            <w:pPr>
              <w:spacing w:after="0"/>
              <w:rPr>
                <w:sz w:val="15"/>
                <w:szCs w:val="15"/>
                <w:color w:val="auto"/>
              </w:rPr>
            </w:pPr>
          </w:p>
        </w:tc>
        <w:tc>
          <w:tcPr>
            <w:tcW w:w="760" w:type="dxa"/>
            <w:vAlign w:val="bottom"/>
            <w:tcBorders>
              <w:bottom w:val="single" w:sz="8" w:color="0000EE"/>
            </w:tcBorders>
            <w:gridSpan w:val="3"/>
          </w:tcPr>
          <w:p>
            <w:pPr>
              <w:spacing w:after="0" w:line="165" w:lineRule="exact"/>
              <w:rPr>
                <w:rFonts w:ascii="Arial" w:cs="Arial" w:eastAsia="Arial" w:hAnsi="Arial"/>
                <w:sz w:val="16"/>
                <w:szCs w:val="16"/>
                <w:color w:val="0000EE"/>
                <w:w w:val="97"/>
              </w:rPr>
            </w:pPr>
            <w:hyperlink w:anchor="page79">
              <w:r>
                <w:rPr>
                  <w:rFonts w:ascii="Arial" w:cs="Arial" w:eastAsia="Arial" w:hAnsi="Arial"/>
                  <w:sz w:val="16"/>
                  <w:szCs w:val="16"/>
                  <w:color w:val="0000EE"/>
                  <w:w w:val="97"/>
                </w:rPr>
                <w:t>Item 1A —</w:t>
              </w:r>
            </w:hyperlink>
          </w:p>
        </w:tc>
        <w:tc>
          <w:tcPr>
            <w:tcW w:w="260" w:type="dxa"/>
            <w:vAlign w:val="bottom"/>
          </w:tcPr>
          <w:p>
            <w:pPr>
              <w:spacing w:after="0"/>
              <w:rPr>
                <w:sz w:val="15"/>
                <w:szCs w:val="15"/>
                <w:color w:val="auto"/>
              </w:rPr>
            </w:pPr>
          </w:p>
        </w:tc>
        <w:tc>
          <w:tcPr>
            <w:tcW w:w="840" w:type="dxa"/>
            <w:vAlign w:val="bottom"/>
            <w:tcBorders>
              <w:bottom w:val="single" w:sz="8" w:color="0000EE"/>
            </w:tcBorders>
            <w:gridSpan w:val="2"/>
          </w:tcPr>
          <w:p>
            <w:pPr>
              <w:spacing w:after="0" w:line="165" w:lineRule="exact"/>
              <w:rPr>
                <w:rFonts w:ascii="Arial" w:cs="Arial" w:eastAsia="Arial" w:hAnsi="Arial"/>
                <w:sz w:val="16"/>
                <w:szCs w:val="16"/>
                <w:color w:val="0000EE"/>
                <w:w w:val="92"/>
              </w:rPr>
            </w:pPr>
            <w:hyperlink w:anchor="page79">
              <w:r>
                <w:rPr>
                  <w:rFonts w:ascii="Arial" w:cs="Arial" w:eastAsia="Arial" w:hAnsi="Arial"/>
                  <w:sz w:val="16"/>
                  <w:szCs w:val="16"/>
                  <w:color w:val="0000EE"/>
                  <w:w w:val="92"/>
                </w:rPr>
                <w:t>Risk Factors</w:t>
              </w:r>
            </w:hyperlink>
          </w:p>
        </w:tc>
        <w:tc>
          <w:tcPr>
            <w:tcW w:w="7960" w:type="dxa"/>
            <w:vAlign w:val="bottom"/>
            <w:gridSpan w:val="16"/>
          </w:tcPr>
          <w:p>
            <w:pPr>
              <w:spacing w:after="0"/>
              <w:rPr>
                <w:sz w:val="15"/>
                <w:szCs w:val="15"/>
                <w:color w:val="auto"/>
              </w:rPr>
            </w:pPr>
          </w:p>
        </w:tc>
        <w:tc>
          <w:tcPr>
            <w:tcW w:w="1360" w:type="dxa"/>
            <w:vAlign w:val="bottom"/>
          </w:tcPr>
          <w:p>
            <w:pPr>
              <w:jc w:val="right"/>
              <w:ind w:right="18"/>
              <w:spacing w:after="0" w:line="165" w:lineRule="exact"/>
              <w:rPr>
                <w:sz w:val="20"/>
                <w:szCs w:val="20"/>
                <w:color w:val="auto"/>
              </w:rPr>
            </w:pPr>
            <w:r>
              <w:rPr>
                <w:rFonts w:ascii="Arial" w:cs="Arial" w:eastAsia="Arial" w:hAnsi="Arial"/>
                <w:sz w:val="16"/>
                <w:szCs w:val="16"/>
                <w:color w:val="auto"/>
              </w:rPr>
              <w:t>77</w:t>
            </w:r>
          </w:p>
        </w:tc>
      </w:tr>
      <w:tr>
        <w:trPr>
          <w:trHeight w:val="192"/>
        </w:trPr>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74" w:lineRule="exact"/>
              <w:rPr>
                <w:rFonts w:ascii="Arial" w:cs="Arial" w:eastAsia="Arial" w:hAnsi="Arial"/>
                <w:sz w:val="16"/>
                <w:szCs w:val="16"/>
                <w:color w:val="0000EE"/>
                <w:w w:val="95"/>
              </w:rPr>
            </w:pPr>
            <w:hyperlink w:anchor="page79">
              <w:r>
                <w:rPr>
                  <w:rFonts w:ascii="Arial" w:cs="Arial" w:eastAsia="Arial" w:hAnsi="Arial"/>
                  <w:sz w:val="16"/>
                  <w:szCs w:val="16"/>
                  <w:color w:val="0000EE"/>
                  <w:w w:val="95"/>
                </w:rPr>
                <w:t>Item 2 —</w:t>
              </w:r>
            </w:hyperlink>
          </w:p>
        </w:tc>
        <w:tc>
          <w:tcPr>
            <w:tcW w:w="380" w:type="dxa"/>
            <w:vAlign w:val="bottom"/>
            <w:gridSpan w:val="2"/>
            <w:shd w:val="clear" w:color="auto" w:fill="CCEEFF"/>
          </w:tcPr>
          <w:p>
            <w:pPr>
              <w:spacing w:after="0"/>
              <w:rPr>
                <w:sz w:val="16"/>
                <w:szCs w:val="16"/>
                <w:color w:val="auto"/>
              </w:rPr>
            </w:pPr>
          </w:p>
        </w:tc>
        <w:tc>
          <w:tcPr>
            <w:tcW w:w="8800" w:type="dxa"/>
            <w:vAlign w:val="bottom"/>
            <w:gridSpan w:val="18"/>
            <w:shd w:val="clear" w:color="auto" w:fill="CCEEFF"/>
          </w:tcPr>
          <w:p>
            <w:pPr>
              <w:spacing w:after="0" w:line="174" w:lineRule="exact"/>
              <w:rPr>
                <w:rFonts w:ascii="Arial" w:cs="Arial" w:eastAsia="Arial" w:hAnsi="Arial"/>
                <w:sz w:val="16"/>
                <w:szCs w:val="16"/>
                <w:color w:val="0000EE"/>
              </w:rPr>
            </w:pPr>
            <w:hyperlink w:anchor="page79">
              <w:r>
                <w:rPr>
                  <w:rFonts w:ascii="Arial" w:cs="Arial" w:eastAsia="Arial" w:hAnsi="Arial"/>
                  <w:sz w:val="16"/>
                  <w:szCs w:val="16"/>
                  <w:color w:val="0000EE"/>
                </w:rPr>
                <w:t>Unregistered Sales of Equity Securities and Use of Proceeds</w:t>
              </w:r>
            </w:hyperlink>
          </w:p>
        </w:tc>
        <w:tc>
          <w:tcPr>
            <w:tcW w:w="1360" w:type="dxa"/>
            <w:vAlign w:val="bottom"/>
            <w:shd w:val="clear" w:color="auto" w:fill="CCEEFF"/>
          </w:tcPr>
          <w:p>
            <w:pPr>
              <w:jc w:val="right"/>
              <w:ind w:right="18"/>
              <w:spacing w:after="0" w:line="174" w:lineRule="exact"/>
              <w:rPr>
                <w:sz w:val="20"/>
                <w:szCs w:val="20"/>
                <w:color w:val="auto"/>
              </w:rPr>
            </w:pPr>
            <w:r>
              <w:rPr>
                <w:rFonts w:ascii="Arial" w:cs="Arial" w:eastAsia="Arial" w:hAnsi="Arial"/>
                <w:sz w:val="16"/>
                <w:szCs w:val="16"/>
                <w:color w:val="auto"/>
              </w:rPr>
              <w:t>77</w:t>
            </w:r>
          </w:p>
        </w:tc>
      </w:tr>
      <w:tr>
        <w:trPr>
          <w:trHeight w:val="174"/>
        </w:trPr>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line="165" w:lineRule="exact"/>
              <w:rPr>
                <w:rFonts w:ascii="Arial" w:cs="Arial" w:eastAsia="Arial" w:hAnsi="Arial"/>
                <w:sz w:val="16"/>
                <w:szCs w:val="16"/>
                <w:color w:val="0000EE"/>
                <w:w w:val="95"/>
              </w:rPr>
            </w:pPr>
            <w:hyperlink w:anchor="page79">
              <w:r>
                <w:rPr>
                  <w:rFonts w:ascii="Arial" w:cs="Arial" w:eastAsia="Arial" w:hAnsi="Arial"/>
                  <w:sz w:val="16"/>
                  <w:szCs w:val="16"/>
                  <w:color w:val="0000EE"/>
                  <w:w w:val="95"/>
                </w:rPr>
                <w:t>Item 3 —</w:t>
              </w:r>
            </w:hyperlink>
          </w:p>
        </w:tc>
        <w:tc>
          <w:tcPr>
            <w:tcW w:w="380" w:type="dxa"/>
            <w:vAlign w:val="bottom"/>
            <w:tcBorders>
              <w:top w:val="single" w:sz="8" w:color="CCEEFF"/>
            </w:tcBorders>
            <w:gridSpan w:val="2"/>
          </w:tcPr>
          <w:p>
            <w:pPr>
              <w:spacing w:after="0"/>
              <w:rPr>
                <w:sz w:val="15"/>
                <w:szCs w:val="15"/>
                <w:color w:val="auto"/>
              </w:rPr>
            </w:pPr>
          </w:p>
        </w:tc>
        <w:tc>
          <w:tcPr>
            <w:tcW w:w="2140" w:type="dxa"/>
            <w:vAlign w:val="bottom"/>
            <w:tcBorders>
              <w:top w:val="single" w:sz="8" w:color="0000EE"/>
              <w:bottom w:val="single" w:sz="8" w:color="0000EE"/>
            </w:tcBorders>
            <w:gridSpan w:val="8"/>
          </w:tcPr>
          <w:p>
            <w:pPr>
              <w:spacing w:after="0" w:line="165" w:lineRule="exact"/>
              <w:rPr>
                <w:rFonts w:ascii="Arial" w:cs="Arial" w:eastAsia="Arial" w:hAnsi="Arial"/>
                <w:sz w:val="16"/>
                <w:szCs w:val="16"/>
                <w:color w:val="0000EE"/>
                <w:w w:val="93"/>
              </w:rPr>
            </w:pPr>
            <w:hyperlink w:anchor="page79">
              <w:r>
                <w:rPr>
                  <w:rFonts w:ascii="Arial" w:cs="Arial" w:eastAsia="Arial" w:hAnsi="Arial"/>
                  <w:sz w:val="16"/>
                  <w:szCs w:val="16"/>
                  <w:color w:val="0000EE"/>
                  <w:w w:val="93"/>
                </w:rPr>
                <w:t>Defaults Upon Senior Securities</w:t>
              </w:r>
            </w:hyperlink>
          </w:p>
        </w:tc>
        <w:tc>
          <w:tcPr>
            <w:tcW w:w="1840" w:type="dxa"/>
            <w:vAlign w:val="bottom"/>
            <w:tcBorders>
              <w:top w:val="single" w:sz="8" w:color="0000EE"/>
            </w:tcBorders>
            <w:gridSpan w:val="2"/>
          </w:tcPr>
          <w:p>
            <w:pPr>
              <w:spacing w:after="0"/>
              <w:rPr>
                <w:sz w:val="15"/>
                <w:szCs w:val="15"/>
                <w:color w:val="auto"/>
              </w:rPr>
            </w:pPr>
          </w:p>
        </w:tc>
        <w:tc>
          <w:tcPr>
            <w:tcW w:w="4820" w:type="dxa"/>
            <w:vAlign w:val="bottom"/>
            <w:tcBorders>
              <w:top w:val="single" w:sz="8" w:color="CCEEFF"/>
            </w:tcBorders>
            <w:gridSpan w:val="8"/>
          </w:tcPr>
          <w:p>
            <w:pPr>
              <w:spacing w:after="0"/>
              <w:rPr>
                <w:sz w:val="15"/>
                <w:szCs w:val="15"/>
                <w:color w:val="auto"/>
              </w:rPr>
            </w:pPr>
          </w:p>
        </w:tc>
        <w:tc>
          <w:tcPr>
            <w:tcW w:w="1360" w:type="dxa"/>
            <w:vAlign w:val="bottom"/>
            <w:tcBorders>
              <w:top w:val="single" w:sz="8" w:color="CCEEFF"/>
            </w:tcBorders>
          </w:tcPr>
          <w:p>
            <w:pPr>
              <w:jc w:val="right"/>
              <w:ind w:right="18"/>
              <w:spacing w:after="0" w:line="165" w:lineRule="exact"/>
              <w:rPr>
                <w:sz w:val="20"/>
                <w:szCs w:val="20"/>
                <w:color w:val="auto"/>
              </w:rPr>
            </w:pPr>
            <w:r>
              <w:rPr>
                <w:rFonts w:ascii="Arial" w:cs="Arial" w:eastAsia="Arial" w:hAnsi="Arial"/>
                <w:sz w:val="16"/>
                <w:szCs w:val="16"/>
                <w:color w:val="auto"/>
              </w:rPr>
              <w:t>77</w:t>
            </w:r>
          </w:p>
        </w:tc>
      </w:tr>
      <w:tr>
        <w:trPr>
          <w:trHeight w:val="192"/>
        </w:trPr>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74" w:lineRule="exact"/>
              <w:rPr>
                <w:rFonts w:ascii="Arial" w:cs="Arial" w:eastAsia="Arial" w:hAnsi="Arial"/>
                <w:sz w:val="16"/>
                <w:szCs w:val="16"/>
                <w:color w:val="0000EE"/>
                <w:w w:val="95"/>
              </w:rPr>
            </w:pPr>
            <w:hyperlink w:anchor="page79">
              <w:r>
                <w:rPr>
                  <w:rFonts w:ascii="Arial" w:cs="Arial" w:eastAsia="Arial" w:hAnsi="Arial"/>
                  <w:sz w:val="16"/>
                  <w:szCs w:val="16"/>
                  <w:color w:val="0000EE"/>
                  <w:w w:val="95"/>
                </w:rPr>
                <w:t>Item 4 —</w:t>
              </w:r>
            </w:hyperlink>
          </w:p>
        </w:tc>
        <w:tc>
          <w:tcPr>
            <w:tcW w:w="380" w:type="dxa"/>
            <w:vAlign w:val="bottom"/>
            <w:gridSpan w:val="2"/>
            <w:shd w:val="clear" w:color="auto" w:fill="CCEEFF"/>
          </w:tcPr>
          <w:p>
            <w:pPr>
              <w:spacing w:after="0"/>
              <w:rPr>
                <w:sz w:val="16"/>
                <w:szCs w:val="16"/>
                <w:color w:val="auto"/>
              </w:rPr>
            </w:pPr>
          </w:p>
        </w:tc>
        <w:tc>
          <w:tcPr>
            <w:tcW w:w="8800" w:type="dxa"/>
            <w:vAlign w:val="bottom"/>
            <w:gridSpan w:val="18"/>
            <w:shd w:val="clear" w:color="auto" w:fill="CCEEFF"/>
          </w:tcPr>
          <w:p>
            <w:pPr>
              <w:spacing w:after="0" w:line="174" w:lineRule="exact"/>
              <w:rPr>
                <w:rFonts w:ascii="Arial" w:cs="Arial" w:eastAsia="Arial" w:hAnsi="Arial"/>
                <w:sz w:val="16"/>
                <w:szCs w:val="16"/>
                <w:color w:val="0000EE"/>
              </w:rPr>
            </w:pPr>
            <w:hyperlink w:anchor="page79">
              <w:r>
                <w:rPr>
                  <w:rFonts w:ascii="Arial" w:cs="Arial" w:eastAsia="Arial" w:hAnsi="Arial"/>
                  <w:sz w:val="16"/>
                  <w:szCs w:val="16"/>
                  <w:color w:val="0000EE"/>
                </w:rPr>
                <w:t>Mine Safety Disclosures</w:t>
              </w:r>
            </w:hyperlink>
          </w:p>
        </w:tc>
        <w:tc>
          <w:tcPr>
            <w:tcW w:w="1360" w:type="dxa"/>
            <w:vAlign w:val="bottom"/>
            <w:shd w:val="clear" w:color="auto" w:fill="CCEEFF"/>
          </w:tcPr>
          <w:p>
            <w:pPr>
              <w:jc w:val="right"/>
              <w:ind w:right="18"/>
              <w:spacing w:after="0" w:line="174" w:lineRule="exact"/>
              <w:rPr>
                <w:sz w:val="20"/>
                <w:szCs w:val="20"/>
                <w:color w:val="auto"/>
              </w:rPr>
            </w:pPr>
            <w:r>
              <w:rPr>
                <w:rFonts w:ascii="Arial" w:cs="Arial" w:eastAsia="Arial" w:hAnsi="Arial"/>
                <w:sz w:val="16"/>
                <w:szCs w:val="16"/>
                <w:color w:val="auto"/>
              </w:rPr>
              <w:t>77</w:t>
            </w:r>
          </w:p>
        </w:tc>
      </w:tr>
      <w:tr>
        <w:trPr>
          <w:trHeight w:val="174"/>
        </w:trPr>
        <w:tc>
          <w:tcPr>
            <w:tcW w:w="240" w:type="dxa"/>
            <w:vAlign w:val="bottom"/>
            <w:tcBorders>
              <w:top w:val="single" w:sz="8" w:color="CCEEFF"/>
            </w:tcBorders>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line="165" w:lineRule="exact"/>
              <w:rPr>
                <w:rFonts w:ascii="Arial" w:cs="Arial" w:eastAsia="Arial" w:hAnsi="Arial"/>
                <w:sz w:val="16"/>
                <w:szCs w:val="16"/>
                <w:color w:val="0000EE"/>
                <w:w w:val="95"/>
              </w:rPr>
            </w:pPr>
            <w:hyperlink w:anchor="page79">
              <w:r>
                <w:rPr>
                  <w:rFonts w:ascii="Arial" w:cs="Arial" w:eastAsia="Arial" w:hAnsi="Arial"/>
                  <w:sz w:val="16"/>
                  <w:szCs w:val="16"/>
                  <w:color w:val="0000EE"/>
                  <w:w w:val="95"/>
                </w:rPr>
                <w:t>Item 5 —</w:t>
              </w:r>
            </w:hyperlink>
          </w:p>
        </w:tc>
        <w:tc>
          <w:tcPr>
            <w:tcW w:w="380" w:type="dxa"/>
            <w:vAlign w:val="bottom"/>
            <w:tcBorders>
              <w:top w:val="single" w:sz="8" w:color="CCEEFF"/>
            </w:tcBorders>
            <w:gridSpan w:val="2"/>
          </w:tcPr>
          <w:p>
            <w:pPr>
              <w:spacing w:after="0"/>
              <w:rPr>
                <w:sz w:val="15"/>
                <w:szCs w:val="15"/>
                <w:color w:val="auto"/>
              </w:rPr>
            </w:pPr>
          </w:p>
        </w:tc>
        <w:tc>
          <w:tcPr>
            <w:tcW w:w="1220" w:type="dxa"/>
            <w:vAlign w:val="bottom"/>
            <w:tcBorders>
              <w:top w:val="single" w:sz="8" w:color="0000EE"/>
              <w:bottom w:val="single" w:sz="8" w:color="0000EE"/>
            </w:tcBorders>
            <w:gridSpan w:val="3"/>
          </w:tcPr>
          <w:p>
            <w:pPr>
              <w:spacing w:after="0" w:line="165" w:lineRule="exact"/>
              <w:rPr>
                <w:rFonts w:ascii="Arial" w:cs="Arial" w:eastAsia="Arial" w:hAnsi="Arial"/>
                <w:sz w:val="16"/>
                <w:szCs w:val="16"/>
                <w:color w:val="0000EE"/>
                <w:w w:val="96"/>
              </w:rPr>
            </w:pPr>
            <w:hyperlink w:anchor="page79">
              <w:r>
                <w:rPr>
                  <w:rFonts w:ascii="Arial" w:cs="Arial" w:eastAsia="Arial" w:hAnsi="Arial"/>
                  <w:sz w:val="16"/>
                  <w:szCs w:val="16"/>
                  <w:color w:val="0000EE"/>
                  <w:w w:val="96"/>
                </w:rPr>
                <w:t>Other Information</w:t>
              </w:r>
            </w:hyperlink>
          </w:p>
        </w:tc>
        <w:tc>
          <w:tcPr>
            <w:tcW w:w="400" w:type="dxa"/>
            <w:vAlign w:val="bottom"/>
            <w:tcBorders>
              <w:top w:val="single" w:sz="8" w:color="0000EE"/>
            </w:tcBorders>
            <w:gridSpan w:val="3"/>
          </w:tcPr>
          <w:p>
            <w:pPr>
              <w:spacing w:after="0"/>
              <w:rPr>
                <w:sz w:val="15"/>
                <w:szCs w:val="15"/>
                <w:color w:val="auto"/>
              </w:rPr>
            </w:pPr>
          </w:p>
        </w:tc>
        <w:tc>
          <w:tcPr>
            <w:tcW w:w="7180" w:type="dxa"/>
            <w:vAlign w:val="bottom"/>
            <w:tcBorders>
              <w:top w:val="single" w:sz="8" w:color="CCEEFF"/>
            </w:tcBorders>
            <w:gridSpan w:val="12"/>
          </w:tcPr>
          <w:p>
            <w:pPr>
              <w:spacing w:after="0"/>
              <w:rPr>
                <w:sz w:val="15"/>
                <w:szCs w:val="15"/>
                <w:color w:val="auto"/>
              </w:rPr>
            </w:pPr>
          </w:p>
        </w:tc>
        <w:tc>
          <w:tcPr>
            <w:tcW w:w="1360" w:type="dxa"/>
            <w:vAlign w:val="bottom"/>
            <w:tcBorders>
              <w:top w:val="single" w:sz="8" w:color="CCEEFF"/>
            </w:tcBorders>
          </w:tcPr>
          <w:p>
            <w:pPr>
              <w:jc w:val="right"/>
              <w:ind w:right="18"/>
              <w:spacing w:after="0" w:line="165" w:lineRule="exact"/>
              <w:rPr>
                <w:sz w:val="20"/>
                <w:szCs w:val="20"/>
                <w:color w:val="auto"/>
              </w:rPr>
            </w:pPr>
            <w:r>
              <w:rPr>
                <w:rFonts w:ascii="Arial" w:cs="Arial" w:eastAsia="Arial" w:hAnsi="Arial"/>
                <w:sz w:val="16"/>
                <w:szCs w:val="16"/>
                <w:color w:val="auto"/>
              </w:rPr>
              <w:t>77</w:t>
            </w:r>
          </w:p>
        </w:tc>
      </w:tr>
      <w:tr>
        <w:trPr>
          <w:trHeight w:val="192"/>
        </w:trPr>
        <w:tc>
          <w:tcPr>
            <w:tcW w:w="2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0000EE"/>
            </w:tcBorders>
            <w:gridSpan w:val="2"/>
            <w:shd w:val="clear" w:color="auto" w:fill="CCEEFF"/>
          </w:tcPr>
          <w:p>
            <w:pPr>
              <w:spacing w:after="0" w:line="174" w:lineRule="exact"/>
              <w:rPr>
                <w:rFonts w:ascii="Arial" w:cs="Arial" w:eastAsia="Arial" w:hAnsi="Arial"/>
                <w:sz w:val="16"/>
                <w:szCs w:val="16"/>
                <w:color w:val="0000EE"/>
                <w:w w:val="95"/>
              </w:rPr>
            </w:pPr>
            <w:hyperlink w:anchor="page80">
              <w:r>
                <w:rPr>
                  <w:rFonts w:ascii="Arial" w:cs="Arial" w:eastAsia="Arial" w:hAnsi="Arial"/>
                  <w:sz w:val="16"/>
                  <w:szCs w:val="16"/>
                  <w:color w:val="0000EE"/>
                  <w:w w:val="95"/>
                </w:rPr>
                <w:t>Item 6 —</w:t>
              </w:r>
            </w:hyperlink>
          </w:p>
        </w:tc>
        <w:tc>
          <w:tcPr>
            <w:tcW w:w="380" w:type="dxa"/>
            <w:vAlign w:val="bottom"/>
            <w:tcBorders>
              <w:bottom w:val="single" w:sz="8" w:color="CCEEFF"/>
            </w:tcBorders>
            <w:gridSpan w:val="2"/>
            <w:shd w:val="clear" w:color="auto" w:fill="CCEEFF"/>
          </w:tcPr>
          <w:p>
            <w:pPr>
              <w:spacing w:after="0"/>
              <w:rPr>
                <w:sz w:val="16"/>
                <w:szCs w:val="16"/>
                <w:color w:val="auto"/>
              </w:rPr>
            </w:pPr>
          </w:p>
        </w:tc>
        <w:tc>
          <w:tcPr>
            <w:tcW w:w="560" w:type="dxa"/>
            <w:vAlign w:val="bottom"/>
            <w:tcBorders>
              <w:bottom w:val="single" w:sz="8" w:color="0000EE"/>
            </w:tcBorders>
            <w:shd w:val="clear" w:color="auto" w:fill="CCEEFF"/>
          </w:tcPr>
          <w:p>
            <w:pPr>
              <w:spacing w:after="0" w:line="174" w:lineRule="exact"/>
              <w:rPr>
                <w:rFonts w:ascii="Arial" w:cs="Arial" w:eastAsia="Arial" w:hAnsi="Arial"/>
                <w:sz w:val="16"/>
                <w:szCs w:val="16"/>
                <w:color w:val="0000EE"/>
                <w:w w:val="96"/>
              </w:rPr>
            </w:pPr>
            <w:hyperlink w:anchor="page80">
              <w:r>
                <w:rPr>
                  <w:rFonts w:ascii="Arial" w:cs="Arial" w:eastAsia="Arial" w:hAnsi="Arial"/>
                  <w:sz w:val="16"/>
                  <w:szCs w:val="16"/>
                  <w:color w:val="0000EE"/>
                  <w:w w:val="96"/>
                </w:rPr>
                <w:t>Exhibits</w:t>
              </w:r>
            </w:hyperlink>
          </w:p>
        </w:tc>
        <w:tc>
          <w:tcPr>
            <w:tcW w:w="8240" w:type="dxa"/>
            <w:vAlign w:val="bottom"/>
            <w:tcBorders>
              <w:bottom w:val="single" w:sz="8" w:color="CCEEFF"/>
            </w:tcBorders>
            <w:gridSpan w:val="17"/>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18"/>
              <w:spacing w:after="0" w:line="174" w:lineRule="exact"/>
              <w:rPr>
                <w:sz w:val="20"/>
                <w:szCs w:val="20"/>
                <w:color w:val="auto"/>
              </w:rPr>
            </w:pPr>
            <w:r>
              <w:rPr>
                <w:rFonts w:ascii="Arial" w:cs="Arial" w:eastAsia="Arial" w:hAnsi="Arial"/>
                <w:sz w:val="16"/>
                <w:szCs w:val="16"/>
                <w:color w:val="auto"/>
              </w:rPr>
              <w:t>78</w:t>
            </w:r>
          </w:p>
        </w:tc>
      </w:tr>
      <w:tr>
        <w:trPr>
          <w:trHeight w:val="165"/>
        </w:trPr>
        <w:tc>
          <w:tcPr>
            <w:tcW w:w="700" w:type="dxa"/>
            <w:vAlign w:val="bottom"/>
            <w:tcBorders>
              <w:bottom w:val="single" w:sz="8" w:color="0000EE"/>
            </w:tcBorders>
            <w:gridSpan w:val="2"/>
          </w:tcPr>
          <w:p>
            <w:pPr>
              <w:spacing w:after="0" w:line="165" w:lineRule="exact"/>
              <w:rPr>
                <w:rFonts w:ascii="Arial" w:cs="Arial" w:eastAsia="Arial" w:hAnsi="Arial"/>
                <w:sz w:val="16"/>
                <w:szCs w:val="16"/>
                <w:color w:val="0000EE"/>
                <w:w w:val="88"/>
              </w:rPr>
            </w:pPr>
            <w:hyperlink w:anchor="page81">
              <w:r>
                <w:rPr>
                  <w:rFonts w:ascii="Arial" w:cs="Arial" w:eastAsia="Arial" w:hAnsi="Arial"/>
                  <w:sz w:val="16"/>
                  <w:szCs w:val="16"/>
                  <w:color w:val="0000EE"/>
                  <w:w w:val="88"/>
                </w:rPr>
                <w:t>Signatures</w:t>
              </w:r>
            </w:hyperlink>
          </w:p>
        </w:tc>
        <w:tc>
          <w:tcPr>
            <w:tcW w:w="560" w:type="dxa"/>
            <w:vAlign w:val="bottom"/>
            <w:gridSpan w:val="3"/>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EXHIBIT 3(a)</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EXHIBIT 3(b)</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EXHIBIT 31(a)</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EXHIBIT 31(b)</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EXHIBIT 32</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EXHIBIT 101.INS XBRL Instance Document</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EXHIBIT 101.SCH XBRL Taxonomy Extension Schema</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EXHIBIT 101.CAL XBRL Taxonomy Extension Calculation Linkbase</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EXHIBIT 101.DEF XBRL Taxonomy Extension Definition Linkbase</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EXHIBIT 101.LAB XBRL Taxonomy Extension Label Linkbase</w:t>
      </w:r>
    </w:p>
    <w:p>
      <w:pPr>
        <w:spacing w:after="0" w:line="19" w:lineRule="exact"/>
        <w:rPr>
          <w:sz w:val="20"/>
          <w:szCs w:val="20"/>
          <w:color w:val="auto"/>
        </w:rPr>
      </w:pPr>
    </w:p>
    <w:p>
      <w:pPr>
        <w:ind w:left="80"/>
        <w:spacing w:after="0"/>
        <w:rPr>
          <w:sz w:val="20"/>
          <w:szCs w:val="20"/>
          <w:color w:val="auto"/>
        </w:rPr>
      </w:pPr>
      <w:r>
        <w:rPr>
          <w:rFonts w:ascii="Arial" w:cs="Arial" w:eastAsia="Arial" w:hAnsi="Arial"/>
          <w:sz w:val="16"/>
          <w:szCs w:val="16"/>
          <w:color w:val="auto"/>
        </w:rPr>
        <w:t>EXHIBIT 101.PRE 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271145</wp:posOffset>
            </wp:positionV>
            <wp:extent cx="7254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This Quarterly Report on Form 10-Q contains forward-looking statements as that term is defined in the federal securities laws. The events described in forward-looking statements contained in this Quarterly Report may not occur. Generally, these statements relate to business plans or strategies, projected or anticipated benefits or other consequences of our plans or strategies, projected or anticipated benefits from acquisitions to be made by us, or projections involving anticipated revenues, earnings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that may influence the accuracy of the statements and the projections upon which the statements are based. Factors which may affect our results include, but are not limited to, the risks and uncertainties discussed in Item 7 of our Annual Report on Form 10-K for the year ended December 31, 2017 under “Factors That May Affect Future Results and Financial Condition.”</w:t>
      </w:r>
    </w:p>
    <w:p>
      <w:pPr>
        <w:spacing w:after="0" w:line="9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 xml:space="preserve">PART I. </w:t>
      </w:r>
      <w:r>
        <w:rPr>
          <w:rFonts w:ascii="Arial" w:cs="Arial" w:eastAsia="Arial" w:hAnsi="Arial"/>
          <w:sz w:val="16"/>
          <w:szCs w:val="16"/>
          <w:b w:val="1"/>
          <w:bCs w:val="1"/>
          <w:u w:val="single" w:color="auto"/>
          <w:color w:val="auto"/>
        </w:rPr>
        <w:t>FINANCIAL INFORMATION</w:t>
      </w:r>
    </w:p>
    <w:p>
      <w:pPr>
        <w:spacing w:after="0" w:line="158"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u w:val="single" w:color="auto"/>
          <w:color w:val="auto"/>
        </w:rPr>
        <w:t>Financial Statements</w:t>
      </w:r>
      <w:r>
        <w:rPr>
          <w:rFonts w:ascii="Arial" w:cs="Arial" w:eastAsia="Arial" w:hAnsi="Arial"/>
          <w:sz w:val="14"/>
          <w:szCs w:val="14"/>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25487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74" w:lineRule="exact"/>
        <w:rPr>
          <w:sz w:val="20"/>
          <w:szCs w:val="20"/>
          <w:color w:val="auto"/>
        </w:rPr>
      </w:pPr>
    </w:p>
    <w:p>
      <w:pPr>
        <w:ind w:left="9140"/>
        <w:spacing w:after="0"/>
        <w:tabs>
          <w:tab w:leader="none" w:pos="1034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42" w:lineRule="exact"/>
        <w:rPr>
          <w:sz w:val="20"/>
          <w:szCs w:val="20"/>
          <w:color w:val="auto"/>
        </w:rPr>
      </w:pPr>
    </w:p>
    <w:p>
      <w:pPr>
        <w:ind w:left="9240"/>
        <w:spacing w:after="0"/>
        <w:tabs>
          <w:tab w:leader="none" w:pos="10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725487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51" w:lineRule="exact"/>
        <w:rPr>
          <w:sz w:val="20"/>
          <w:szCs w:val="20"/>
          <w:color w:val="auto"/>
        </w:rPr>
      </w:pPr>
    </w:p>
    <w:p>
      <w:pPr>
        <w:ind w:left="9080"/>
        <w:spacing w:after="0"/>
        <w:rPr>
          <w:sz w:val="20"/>
          <w:szCs w:val="20"/>
          <w:color w:val="auto"/>
        </w:rPr>
      </w:pPr>
      <w:r>
        <w:rPr>
          <w:rFonts w:ascii="Arial" w:cs="Arial" w:eastAsia="Arial" w:hAnsi="Arial"/>
          <w:sz w:val="14"/>
          <w:szCs w:val="14"/>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7254875" cy="144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14478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44" w:lineRule="exact"/>
        <w:rPr>
          <w:sz w:val="20"/>
          <w:szCs w:val="20"/>
          <w:color w:val="auto"/>
        </w:rPr>
      </w:pPr>
    </w:p>
    <w:p>
      <w:pPr>
        <w:ind w:left="600" w:right="2880" w:hanging="303"/>
        <w:spacing w:after="0" w:line="286" w:lineRule="auto"/>
        <w:rPr>
          <w:sz w:val="20"/>
          <w:szCs w:val="20"/>
          <w:color w:val="auto"/>
        </w:rPr>
      </w:pPr>
      <w:r>
        <w:rPr>
          <w:rFonts w:ascii="Arial" w:cs="Arial" w:eastAsia="Arial" w:hAnsi="Arial"/>
          <w:sz w:val="15"/>
          <w:szCs w:val="15"/>
          <w:color w:val="auto"/>
        </w:rPr>
        <w:t>Fixed-maturity securities, held-to-maturity, at amortized cost (fair value of $5,033,545 at June 30, 2018 and $5,150,076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725487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600" w:right="2700" w:hanging="303"/>
        <w:spacing w:after="0" w:line="302" w:lineRule="auto"/>
        <w:rPr>
          <w:sz w:val="20"/>
          <w:szCs w:val="20"/>
          <w:color w:val="auto"/>
        </w:rPr>
      </w:pPr>
      <w:r>
        <w:rPr>
          <w:rFonts w:ascii="Arial" w:cs="Arial" w:eastAsia="Arial" w:hAnsi="Arial"/>
          <w:sz w:val="14"/>
          <w:szCs w:val="14"/>
          <w:color w:val="auto"/>
        </w:rPr>
        <w:t>Fixed-maturity securities, available-for-sale, at fair value (amortized cost of $145,707,769 at June 30, 2018 and $119,122,106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725487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600" w:right="3020" w:hanging="303"/>
        <w:spacing w:after="0" w:line="264" w:lineRule="auto"/>
        <w:rPr>
          <w:sz w:val="20"/>
          <w:szCs w:val="20"/>
          <w:color w:val="auto"/>
        </w:rPr>
      </w:pPr>
      <w:r>
        <w:rPr>
          <w:rFonts w:ascii="Arial" w:cs="Arial" w:eastAsia="Arial" w:hAnsi="Arial"/>
          <w:sz w:val="16"/>
          <w:szCs w:val="16"/>
          <w:color w:val="auto"/>
        </w:rPr>
        <w:t>Equity securities, at fair value (cost of $17,291,038 at June 30, 2018 and $13,761,841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-125730</wp:posOffset>
            </wp:positionV>
            <wp:extent cx="725487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Other investments</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Total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5487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Cash and cash equivalents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Investment subscription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Premiums receivable, net</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Reinsurance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Deferred policy acquisition costs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Property and equipment, net</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Other assets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254875" cy="160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160655"/>
                    </a:xfrm>
                    <a:prstGeom prst="rect">
                      <a:avLst/>
                    </a:prstGeom>
                    <a:noFill/>
                  </pic:spPr>
                </pic:pic>
              </a:graphicData>
            </a:graphic>
          </wp:anchor>
        </w:drawing>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25487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Loss and loss adjustment expense reserves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Advance premiums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Reinsurance balances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Deferred ceding commission revenue</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Accounts payable, 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Deferred income taxes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Long-term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44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14478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725487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Commitments and 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tabs>
          <w:tab w:leader="none" w:pos="420" w:val="left"/>
          <w:tab w:leader="none" w:pos="1360" w:val="left"/>
          <w:tab w:leader="none" w:pos="18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4,870,743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4,869,808</w:t>
      </w:r>
    </w:p>
    <w:p>
      <w:pPr>
        <w:spacing w:after="0" w:line="221" w:lineRule="exact"/>
        <w:rPr>
          <w:sz w:val="20"/>
          <w:szCs w:val="20"/>
          <w:color w:val="auto"/>
        </w:rPr>
      </w:pPr>
    </w:p>
    <w:p>
      <w:pPr>
        <w:jc w:val="both"/>
        <w:ind w:left="280"/>
        <w:spacing w:after="0"/>
        <w:tabs>
          <w:tab w:leader="none" w:pos="1640" w:val="left"/>
        </w:tabs>
        <w:rPr>
          <w:sz w:val="20"/>
          <w:szCs w:val="20"/>
          <w:color w:val="auto"/>
        </w:rPr>
      </w:pPr>
      <w:r>
        <w:rPr>
          <w:rFonts w:ascii="Arial" w:cs="Arial" w:eastAsia="Arial" w:hAnsi="Arial"/>
          <w:sz w:val="16"/>
          <w:szCs w:val="16"/>
          <w:color w:val="auto"/>
        </w:rPr>
        <w:t>142,545,533</w:t>
      </w:r>
      <w:r>
        <w:rPr>
          <w:sz w:val="20"/>
          <w:szCs w:val="20"/>
          <w:color w:val="auto"/>
        </w:rPr>
        <w:tab/>
      </w:r>
      <w:r>
        <w:rPr>
          <w:rFonts w:ascii="Arial" w:cs="Arial" w:eastAsia="Arial" w:hAnsi="Arial"/>
          <w:sz w:val="16"/>
          <w:szCs w:val="16"/>
          <w:color w:val="auto"/>
        </w:rPr>
        <w:t>119,988,256</w:t>
      </w:r>
    </w:p>
    <w:p>
      <w:pPr>
        <w:spacing w:after="0" w:line="221" w:lineRule="exact"/>
        <w:rPr>
          <w:sz w:val="20"/>
          <w:szCs w:val="20"/>
          <w:color w:val="auto"/>
        </w:rPr>
      </w:pPr>
    </w:p>
    <w:p>
      <w:pPr>
        <w:jc w:val="both"/>
        <w:ind w:left="360"/>
        <w:spacing w:after="0"/>
        <w:tabs>
          <w:tab w:leader="none" w:pos="1700" w:val="left"/>
        </w:tabs>
        <w:rPr>
          <w:sz w:val="20"/>
          <w:szCs w:val="20"/>
          <w:color w:val="auto"/>
        </w:rPr>
      </w:pPr>
      <w:r>
        <w:rPr>
          <w:rFonts w:ascii="Arial" w:cs="Arial" w:eastAsia="Arial" w:hAnsi="Arial"/>
          <w:sz w:val="16"/>
          <w:szCs w:val="16"/>
          <w:color w:val="auto"/>
        </w:rPr>
        <w:t>17,384,984</w:t>
      </w:r>
      <w:r>
        <w:rPr>
          <w:sz w:val="20"/>
          <w:szCs w:val="20"/>
          <w:color w:val="auto"/>
        </w:rPr>
        <w:tab/>
      </w:r>
      <w:r>
        <w:rPr>
          <w:rFonts w:ascii="Arial" w:cs="Arial" w:eastAsia="Arial" w:hAnsi="Arial"/>
          <w:sz w:val="16"/>
          <w:szCs w:val="16"/>
          <w:color w:val="auto"/>
        </w:rPr>
        <w:t>14,286,198</w:t>
      </w:r>
    </w:p>
    <w:p>
      <w:pPr>
        <w:spacing w:after="0" w:line="25" w:lineRule="exact"/>
        <w:rPr>
          <w:sz w:val="20"/>
          <w:szCs w:val="20"/>
          <w:color w:val="auto"/>
        </w:rPr>
      </w:pPr>
    </w:p>
    <w:p>
      <w:pPr>
        <w:jc w:val="both"/>
        <w:ind w:left="440"/>
        <w:spacing w:after="0"/>
        <w:tabs>
          <w:tab w:leader="none" w:pos="2400" w:val="left"/>
        </w:tabs>
        <w:rPr>
          <w:sz w:val="20"/>
          <w:szCs w:val="20"/>
          <w:color w:val="auto"/>
        </w:rPr>
      </w:pPr>
      <w:r>
        <w:rPr>
          <w:rFonts w:ascii="Arial" w:cs="Arial" w:eastAsia="Arial" w:hAnsi="Arial"/>
          <w:sz w:val="16"/>
          <w:szCs w:val="16"/>
          <w:color w:val="auto"/>
        </w:rPr>
        <w:t>2,120,700</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13335</wp:posOffset>
            </wp:positionV>
            <wp:extent cx="173736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37360" cy="15875"/>
                    </a:xfrm>
                    <a:prstGeom prst="rect">
                      <a:avLst/>
                    </a:prstGeom>
                    <a:noFill/>
                  </pic:spPr>
                </pic:pic>
              </a:graphicData>
            </a:graphic>
          </wp:anchor>
        </w:drawing>
      </w:r>
    </w:p>
    <w:p>
      <w:pPr>
        <w:spacing w:after="0" w:line="18" w:lineRule="exact"/>
        <w:rPr>
          <w:sz w:val="20"/>
          <w:szCs w:val="20"/>
          <w:color w:val="auto"/>
        </w:rPr>
      </w:pPr>
    </w:p>
    <w:p>
      <w:pPr>
        <w:jc w:val="both"/>
        <w:ind w:left="280"/>
        <w:spacing w:after="0"/>
        <w:tabs>
          <w:tab w:leader="none" w:pos="1620" w:val="left"/>
        </w:tabs>
        <w:rPr>
          <w:sz w:val="20"/>
          <w:szCs w:val="20"/>
          <w:color w:val="auto"/>
        </w:rPr>
      </w:pPr>
      <w:r>
        <w:rPr>
          <w:rFonts w:ascii="Arial" w:cs="Arial" w:eastAsia="Arial" w:hAnsi="Arial"/>
          <w:sz w:val="16"/>
          <w:szCs w:val="16"/>
          <w:color w:val="auto"/>
        </w:rPr>
        <w:t>166,921,960</w:t>
      </w:r>
      <w:r>
        <w:rPr>
          <w:sz w:val="20"/>
          <w:szCs w:val="20"/>
          <w:color w:val="auto"/>
        </w:rPr>
        <w:tab/>
      </w:r>
      <w:r>
        <w:rPr>
          <w:rFonts w:ascii="Arial" w:cs="Arial" w:eastAsia="Arial" w:hAnsi="Arial"/>
          <w:sz w:val="16"/>
          <w:szCs w:val="16"/>
          <w:color w:val="auto"/>
        </w:rPr>
        <w:t>139,144,262</w:t>
      </w:r>
    </w:p>
    <w:p>
      <w:pPr>
        <w:spacing w:after="0" w:line="25" w:lineRule="exact"/>
        <w:rPr>
          <w:sz w:val="20"/>
          <w:szCs w:val="20"/>
          <w:color w:val="auto"/>
        </w:rPr>
      </w:pPr>
    </w:p>
    <w:p>
      <w:pPr>
        <w:jc w:val="both"/>
        <w:ind w:left="360"/>
        <w:spacing w:after="0"/>
        <w:tabs>
          <w:tab w:leader="none" w:pos="1700" w:val="left"/>
        </w:tabs>
        <w:rPr>
          <w:sz w:val="20"/>
          <w:szCs w:val="20"/>
          <w:color w:val="auto"/>
        </w:rPr>
      </w:pPr>
      <w:r>
        <w:rPr>
          <w:rFonts w:ascii="Arial" w:cs="Arial" w:eastAsia="Arial" w:hAnsi="Arial"/>
          <w:sz w:val="16"/>
          <w:szCs w:val="16"/>
          <w:color w:val="auto"/>
        </w:rPr>
        <w:t>19,387,971</w:t>
      </w:r>
      <w:r>
        <w:rPr>
          <w:sz w:val="20"/>
          <w:szCs w:val="20"/>
          <w:color w:val="auto"/>
        </w:rPr>
        <w:tab/>
      </w:r>
      <w:r>
        <w:rPr>
          <w:rFonts w:ascii="Arial" w:cs="Arial" w:eastAsia="Arial" w:hAnsi="Arial"/>
          <w:sz w:val="16"/>
          <w:szCs w:val="16"/>
          <w:color w:val="auto"/>
        </w:rPr>
        <w:t>48,381,633</w:t>
      </w:r>
    </w:p>
    <w:p>
      <w:pPr>
        <w:spacing w:after="0" w:line="19" w:lineRule="exact"/>
        <w:rPr>
          <w:sz w:val="20"/>
          <w:szCs w:val="20"/>
          <w:color w:val="auto"/>
        </w:rPr>
      </w:pPr>
    </w:p>
    <w:p>
      <w:pPr>
        <w:ind w:left="1820" w:hanging="773"/>
        <w:spacing w:after="0"/>
        <w:tabs>
          <w:tab w:leader="none" w:pos="1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2,000,000</w:t>
      </w:r>
    </w:p>
    <w:p>
      <w:pPr>
        <w:spacing w:after="0" w:line="41"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6"/>
          <w:szCs w:val="16"/>
          <w:color w:val="auto"/>
        </w:rPr>
        <w:t>14,337,192</w:t>
      </w:r>
      <w:r>
        <w:rPr>
          <w:rFonts w:ascii="Arial" w:cs="Arial" w:eastAsia="Arial" w:hAnsi="Arial"/>
          <w:sz w:val="14"/>
          <w:szCs w:val="14"/>
          <w:color w:val="auto"/>
        </w:rPr>
        <w:t>13,217,698</w:t>
      </w:r>
    </w:p>
    <w:p>
      <w:pPr>
        <w:spacing w:after="0" w:line="18"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6"/>
          <w:szCs w:val="16"/>
          <w:color w:val="auto"/>
        </w:rPr>
        <w:t>27,892,404</w:t>
      </w:r>
      <w:r>
        <w:rPr>
          <w:rFonts w:ascii="Arial" w:cs="Arial" w:eastAsia="Arial" w:hAnsi="Arial"/>
          <w:sz w:val="14"/>
          <w:szCs w:val="14"/>
          <w:color w:val="auto"/>
        </w:rPr>
        <w:t>28,519,130</w:t>
      </w:r>
    </w:p>
    <w:p>
      <w:pPr>
        <w:spacing w:after="0" w:line="18"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6"/>
          <w:szCs w:val="16"/>
          <w:color w:val="auto"/>
        </w:rPr>
        <w:t>16,071,756</w:t>
      </w:r>
      <w:r>
        <w:rPr>
          <w:rFonts w:ascii="Arial" w:cs="Arial" w:eastAsia="Arial" w:hAnsi="Arial"/>
          <w:sz w:val="14"/>
          <w:szCs w:val="14"/>
          <w:color w:val="auto"/>
        </w:rPr>
        <w:t>14,847,236</w:t>
      </w:r>
    </w:p>
    <w:p>
      <w:pPr>
        <w:spacing w:after="0" w:line="18"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840,000</w:t>
      </w:r>
      <w:r>
        <w:rPr>
          <w:rFonts w:ascii="Arial" w:cs="Arial" w:eastAsia="Arial" w:hAnsi="Arial"/>
          <w:sz w:val="14"/>
          <w:szCs w:val="14"/>
          <w:color w:val="auto"/>
        </w:rPr>
        <w:t>1,010,000</w:t>
      </w:r>
    </w:p>
    <w:p>
      <w:pPr>
        <w:spacing w:after="0" w:line="18"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6"/>
          <w:szCs w:val="16"/>
          <w:color w:val="auto"/>
        </w:rPr>
        <w:t>5,456,563</w:t>
      </w:r>
      <w:r>
        <w:rPr>
          <w:rFonts w:ascii="Arial" w:cs="Arial" w:eastAsia="Arial" w:hAnsi="Arial"/>
          <w:sz w:val="14"/>
          <w:szCs w:val="14"/>
          <w:color w:val="auto"/>
        </w:rPr>
        <w:t>4,772,577</w:t>
      </w:r>
    </w:p>
    <w:p>
      <w:pPr>
        <w:spacing w:after="0" w:line="18"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429,459</w:t>
      </w:r>
      <w:r>
        <w:rPr>
          <w:rFonts w:ascii="Arial" w:cs="Arial" w:eastAsia="Arial" w:hAnsi="Arial"/>
          <w:sz w:val="12"/>
          <w:szCs w:val="12"/>
          <w:color w:val="auto"/>
        </w:rPr>
        <w:t>-</w:t>
      </w:r>
    </w:p>
    <w:p>
      <w:pPr>
        <w:spacing w:after="0" w:line="19" w:lineRule="exact"/>
        <w:rPr>
          <w:sz w:val="20"/>
          <w:szCs w:val="20"/>
          <w:color w:val="auto"/>
        </w:rPr>
      </w:pPr>
    </w:p>
    <w:p>
      <w:pPr>
        <w:jc w:val="both"/>
        <w:ind w:left="440"/>
        <w:spacing w:after="0"/>
        <w:tabs>
          <w:tab w:leader="none" w:pos="1800" w:val="left"/>
        </w:tabs>
        <w:rPr>
          <w:sz w:val="20"/>
          <w:szCs w:val="20"/>
          <w:color w:val="auto"/>
        </w:rPr>
      </w:pPr>
      <w:r>
        <w:rPr>
          <w:rFonts w:ascii="Arial" w:cs="Arial" w:eastAsia="Arial" w:hAnsi="Arial"/>
          <w:sz w:val="16"/>
          <w:szCs w:val="16"/>
          <w:color w:val="auto"/>
        </w:rPr>
        <w:t>4,052,494</w:t>
      </w:r>
      <w:r>
        <w:rPr>
          <w:sz w:val="20"/>
          <w:szCs w:val="20"/>
          <w:color w:val="auto"/>
        </w:rPr>
        <w:tab/>
      </w:r>
      <w:r>
        <w:rPr>
          <w:rFonts w:ascii="Arial" w:cs="Arial" w:eastAsia="Arial" w:hAnsi="Arial"/>
          <w:sz w:val="16"/>
          <w:szCs w:val="16"/>
          <w:color w:val="auto"/>
        </w:rPr>
        <w:t>2,655,527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13335</wp:posOffset>
            </wp:positionV>
            <wp:extent cx="173736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37360" cy="15875"/>
                    </a:xfrm>
                    <a:prstGeom prst="rect">
                      <a:avLst/>
                    </a:prstGeom>
                    <a:noFill/>
                  </pic:spPr>
                </pic:pic>
              </a:graphicData>
            </a:graphic>
          </wp:anchor>
        </w:drawing>
      </w:r>
    </w:p>
    <w:p>
      <w:pPr>
        <w:spacing w:after="0" w:line="18" w:lineRule="exact"/>
        <w:rPr>
          <w:sz w:val="20"/>
          <w:szCs w:val="20"/>
          <w:color w:val="auto"/>
        </w:rPr>
      </w:pPr>
    </w:p>
    <w:p>
      <w:pPr>
        <w:spacing w:after="0"/>
        <w:tabs>
          <w:tab w:leader="none" w:pos="260" w:val="left"/>
          <w:tab w:leader="none" w:pos="1360" w:val="left"/>
          <w:tab w:leader="none" w:pos="1620" w:val="left"/>
        </w:tabs>
        <w:rPr>
          <w:sz w:val="20"/>
          <w:szCs w:val="20"/>
          <w:color w:val="auto"/>
        </w:rPr>
      </w:pPr>
      <w:r>
        <w:rPr>
          <w:rFonts w:ascii="Arial" w:cs="Arial" w:eastAsia="Arial" w:hAnsi="Arial"/>
          <w:sz w:val="16"/>
          <w:szCs w:val="16"/>
          <w:color w:val="auto"/>
        </w:rPr>
        <w:t>$</w:t>
        <w:tab/>
        <w:t>255,389,799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254,548,063</w:t>
      </w:r>
    </w:p>
    <w:p>
      <w:pPr>
        <w:spacing w:after="0" w:line="200" w:lineRule="exact"/>
        <w:rPr>
          <w:sz w:val="20"/>
          <w:szCs w:val="20"/>
          <w:color w:val="auto"/>
        </w:rPr>
      </w:pPr>
    </w:p>
    <w:p>
      <w:pPr>
        <w:spacing w:after="0" w:line="275" w:lineRule="exact"/>
        <w:rPr>
          <w:sz w:val="20"/>
          <w:szCs w:val="20"/>
          <w:color w:val="auto"/>
        </w:rPr>
      </w:pPr>
    </w:p>
    <w:p>
      <w:pPr>
        <w:jc w:val="both"/>
        <w:spacing w:after="0"/>
        <w:tabs>
          <w:tab w:leader="none" w:pos="340" w:val="left"/>
          <w:tab w:leader="none" w:pos="1360" w:val="left"/>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49,257,856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48,799,622</w:t>
      </w:r>
    </w:p>
    <w:p>
      <w:pPr>
        <w:spacing w:after="0" w:line="25" w:lineRule="exact"/>
        <w:rPr>
          <w:sz w:val="20"/>
          <w:szCs w:val="20"/>
          <w:color w:val="auto"/>
        </w:rPr>
      </w:pPr>
    </w:p>
    <w:p>
      <w:pPr>
        <w:jc w:val="both"/>
        <w:ind w:left="360"/>
        <w:spacing w:after="0"/>
        <w:tabs>
          <w:tab w:leader="none" w:pos="1700" w:val="left"/>
        </w:tabs>
        <w:rPr>
          <w:sz w:val="20"/>
          <w:szCs w:val="20"/>
          <w:color w:val="auto"/>
        </w:rPr>
      </w:pPr>
      <w:r>
        <w:rPr>
          <w:rFonts w:ascii="Arial" w:cs="Arial" w:eastAsia="Arial" w:hAnsi="Arial"/>
          <w:sz w:val="16"/>
          <w:szCs w:val="16"/>
          <w:color w:val="auto"/>
        </w:rPr>
        <w:t>71,139,929</w:t>
      </w:r>
      <w:r>
        <w:rPr>
          <w:sz w:val="20"/>
          <w:szCs w:val="20"/>
          <w:color w:val="auto"/>
        </w:rPr>
        <w:tab/>
      </w:r>
      <w:r>
        <w:rPr>
          <w:rFonts w:ascii="Arial" w:cs="Arial" w:eastAsia="Arial" w:hAnsi="Arial"/>
          <w:sz w:val="16"/>
          <w:szCs w:val="16"/>
          <w:color w:val="auto"/>
        </w:rPr>
        <w:t>65,647,663</w:t>
      </w:r>
    </w:p>
    <w:p>
      <w:pPr>
        <w:spacing w:after="0" w:line="19" w:lineRule="exact"/>
        <w:rPr>
          <w:sz w:val="20"/>
          <w:szCs w:val="20"/>
          <w:color w:val="auto"/>
        </w:rPr>
      </w:pPr>
    </w:p>
    <w:p>
      <w:pPr>
        <w:jc w:val="both"/>
        <w:ind w:left="440"/>
        <w:spacing w:after="0"/>
        <w:tabs>
          <w:tab w:leader="none" w:pos="1800" w:val="left"/>
        </w:tabs>
        <w:rPr>
          <w:sz w:val="20"/>
          <w:szCs w:val="20"/>
          <w:color w:val="auto"/>
        </w:rPr>
      </w:pPr>
      <w:r>
        <w:rPr>
          <w:rFonts w:ascii="Arial" w:cs="Arial" w:eastAsia="Arial" w:hAnsi="Arial"/>
          <w:sz w:val="16"/>
          <w:szCs w:val="16"/>
          <w:color w:val="auto"/>
        </w:rPr>
        <w:t>2,831,829</w:t>
      </w:r>
      <w:r>
        <w:rPr>
          <w:sz w:val="20"/>
          <w:szCs w:val="20"/>
          <w:color w:val="auto"/>
        </w:rPr>
        <w:tab/>
      </w:r>
      <w:r>
        <w:rPr>
          <w:rFonts w:ascii="Arial" w:cs="Arial" w:eastAsia="Arial" w:hAnsi="Arial"/>
          <w:sz w:val="16"/>
          <w:szCs w:val="16"/>
          <w:color w:val="auto"/>
        </w:rPr>
        <w:t>1,477,693</w:t>
      </w:r>
    </w:p>
    <w:p>
      <w:pPr>
        <w:spacing w:after="0" w:line="19" w:lineRule="exact"/>
        <w:rPr>
          <w:sz w:val="20"/>
          <w:szCs w:val="20"/>
          <w:color w:val="auto"/>
        </w:rPr>
      </w:pPr>
    </w:p>
    <w:p>
      <w:pPr>
        <w:jc w:val="both"/>
        <w:ind w:left="440"/>
        <w:spacing w:after="0"/>
        <w:tabs>
          <w:tab w:leader="none" w:pos="1800" w:val="left"/>
        </w:tabs>
        <w:rPr>
          <w:sz w:val="20"/>
          <w:szCs w:val="20"/>
          <w:color w:val="auto"/>
        </w:rPr>
      </w:pPr>
      <w:r>
        <w:rPr>
          <w:rFonts w:ascii="Arial" w:cs="Arial" w:eastAsia="Arial" w:hAnsi="Arial"/>
          <w:sz w:val="16"/>
          <w:szCs w:val="16"/>
          <w:color w:val="auto"/>
        </w:rPr>
        <w:t>4,185,624</w:t>
      </w:r>
      <w:r>
        <w:rPr>
          <w:sz w:val="20"/>
          <w:szCs w:val="20"/>
          <w:color w:val="auto"/>
        </w:rPr>
        <w:tab/>
      </w:r>
      <w:r>
        <w:rPr>
          <w:rFonts w:ascii="Arial" w:cs="Arial" w:eastAsia="Arial" w:hAnsi="Arial"/>
          <w:sz w:val="16"/>
          <w:szCs w:val="16"/>
          <w:color w:val="auto"/>
        </w:rPr>
        <w:t>2,563,966</w:t>
      </w:r>
    </w:p>
    <w:p>
      <w:pPr>
        <w:spacing w:after="0" w:line="19" w:lineRule="exact"/>
        <w:rPr>
          <w:sz w:val="20"/>
          <w:szCs w:val="20"/>
          <w:color w:val="auto"/>
        </w:rPr>
      </w:pPr>
    </w:p>
    <w:p>
      <w:pPr>
        <w:jc w:val="both"/>
        <w:ind w:left="440"/>
        <w:spacing w:after="0"/>
        <w:tabs>
          <w:tab w:leader="none" w:pos="1800" w:val="left"/>
        </w:tabs>
        <w:rPr>
          <w:sz w:val="20"/>
          <w:szCs w:val="20"/>
          <w:color w:val="auto"/>
        </w:rPr>
      </w:pPr>
      <w:r>
        <w:rPr>
          <w:rFonts w:ascii="Arial" w:cs="Arial" w:eastAsia="Arial" w:hAnsi="Arial"/>
          <w:sz w:val="16"/>
          <w:szCs w:val="16"/>
          <w:color w:val="auto"/>
        </w:rPr>
        <w:t>4,759,134</w:t>
      </w:r>
      <w:r>
        <w:rPr>
          <w:sz w:val="20"/>
          <w:szCs w:val="20"/>
          <w:color w:val="auto"/>
        </w:rPr>
        <w:tab/>
      </w:r>
      <w:r>
        <w:rPr>
          <w:rFonts w:ascii="Arial" w:cs="Arial" w:eastAsia="Arial" w:hAnsi="Arial"/>
          <w:sz w:val="16"/>
          <w:szCs w:val="16"/>
          <w:color w:val="auto"/>
        </w:rPr>
        <w:t>4,266,412</w:t>
      </w:r>
    </w:p>
    <w:p>
      <w:pPr>
        <w:spacing w:after="0" w:line="19" w:lineRule="exact"/>
        <w:rPr>
          <w:sz w:val="20"/>
          <w:szCs w:val="20"/>
          <w:color w:val="auto"/>
        </w:rPr>
      </w:pPr>
    </w:p>
    <w:p>
      <w:pPr>
        <w:jc w:val="both"/>
        <w:ind w:left="440"/>
        <w:spacing w:after="0"/>
        <w:tabs>
          <w:tab w:leader="none" w:pos="1800" w:val="left"/>
        </w:tabs>
        <w:rPr>
          <w:sz w:val="20"/>
          <w:szCs w:val="20"/>
          <w:color w:val="auto"/>
        </w:rPr>
      </w:pPr>
      <w:r>
        <w:rPr>
          <w:rFonts w:ascii="Arial" w:cs="Arial" w:eastAsia="Arial" w:hAnsi="Arial"/>
          <w:sz w:val="16"/>
          <w:szCs w:val="16"/>
          <w:color w:val="auto"/>
        </w:rPr>
        <w:t>5,281,458</w:t>
      </w:r>
      <w:r>
        <w:rPr>
          <w:sz w:val="20"/>
          <w:szCs w:val="20"/>
          <w:color w:val="auto"/>
        </w:rPr>
        <w:tab/>
      </w:r>
      <w:r>
        <w:rPr>
          <w:rFonts w:ascii="Arial" w:cs="Arial" w:eastAsia="Arial" w:hAnsi="Arial"/>
          <w:sz w:val="16"/>
          <w:szCs w:val="16"/>
          <w:color w:val="auto"/>
        </w:rPr>
        <w:t>7,487,654</w:t>
      </w:r>
    </w:p>
    <w:p>
      <w:pPr>
        <w:spacing w:after="0" w:line="19" w:lineRule="exact"/>
        <w:rPr>
          <w:sz w:val="20"/>
          <w:szCs w:val="20"/>
          <w:color w:val="auto"/>
        </w:rPr>
      </w:pPr>
    </w:p>
    <w:p>
      <w:pPr>
        <w:ind w:left="1940" w:hanging="893"/>
        <w:spacing w:after="0"/>
        <w:tabs>
          <w:tab w:leader="none" w:pos="1940" w:val="left"/>
        </w:tabs>
        <w:numPr>
          <w:ilvl w:val="0"/>
          <w:numId w:val="4"/>
        </w:numPr>
        <w:rPr>
          <w:rFonts w:ascii="Arial" w:cs="Arial" w:eastAsia="Arial" w:hAnsi="Arial"/>
          <w:sz w:val="14"/>
          <w:szCs w:val="14"/>
          <w:color w:val="auto"/>
        </w:rPr>
      </w:pPr>
      <w:r>
        <w:rPr>
          <w:rFonts w:ascii="Arial" w:cs="Arial" w:eastAsia="Arial" w:hAnsi="Arial"/>
          <w:sz w:val="14"/>
          <w:szCs w:val="14"/>
          <w:color w:val="auto"/>
        </w:rPr>
        <w:t>600,342</w:t>
      </w:r>
    </w:p>
    <w:p>
      <w:pPr>
        <w:spacing w:after="0" w:line="41"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6"/>
          <w:szCs w:val="16"/>
          <w:color w:val="auto"/>
        </w:rPr>
        <w:t>29,207,161</w:t>
      </w:r>
      <w:r>
        <w:rPr>
          <w:rFonts w:ascii="Arial" w:cs="Arial" w:eastAsia="Arial" w:hAnsi="Arial"/>
          <w:sz w:val="14"/>
          <w:szCs w:val="14"/>
          <w:color w:val="auto"/>
        </w:rPr>
        <w:t>29,126,965</w:t>
      </w:r>
    </w:p>
    <w:p>
      <w:pPr>
        <w:spacing w:after="0" w:line="38" w:lineRule="exact"/>
        <w:rPr>
          <w:sz w:val="20"/>
          <w:szCs w:val="20"/>
          <w:color w:val="auto"/>
        </w:rPr>
      </w:pPr>
    </w:p>
    <w:p>
      <w:pPr>
        <w:jc w:val="both"/>
        <w:ind w:left="280"/>
        <w:spacing w:after="0"/>
        <w:tabs>
          <w:tab w:leader="none" w:pos="1620" w:val="left"/>
        </w:tabs>
        <w:rPr>
          <w:sz w:val="20"/>
          <w:szCs w:val="20"/>
          <w:color w:val="auto"/>
        </w:rPr>
      </w:pPr>
      <w:r>
        <w:rPr>
          <w:rFonts w:ascii="Arial" w:cs="Arial" w:eastAsia="Arial" w:hAnsi="Arial"/>
          <w:sz w:val="16"/>
          <w:szCs w:val="16"/>
          <w:color w:val="auto"/>
        </w:rPr>
        <w:t>166,662,991</w:t>
      </w:r>
      <w:r>
        <w:rPr>
          <w:sz w:val="20"/>
          <w:szCs w:val="20"/>
          <w:color w:val="auto"/>
        </w:rPr>
        <w:tab/>
      </w:r>
      <w:r>
        <w:rPr>
          <w:rFonts w:ascii="Arial" w:cs="Arial" w:eastAsia="Arial" w:hAnsi="Arial"/>
          <w:sz w:val="16"/>
          <w:szCs w:val="16"/>
          <w:color w:val="auto"/>
        </w:rPr>
        <w:t>159,970,317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17145</wp:posOffset>
            </wp:positionV>
            <wp:extent cx="173736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37360" cy="15875"/>
                    </a:xfrm>
                    <a:prstGeom prst="rect">
                      <a:avLst/>
                    </a:prstGeom>
                    <a:noFill/>
                  </pic:spPr>
                </pic:pic>
              </a:graphicData>
            </a:graphic>
          </wp:anchor>
        </w:drawing>
      </w:r>
    </w:p>
    <w:p>
      <w:pPr>
        <w:spacing w:after="0" w:line="475" w:lineRule="exact"/>
        <w:rPr>
          <w:sz w:val="20"/>
          <w:szCs w:val="20"/>
          <w:color w:val="auto"/>
        </w:rPr>
      </w:pPr>
    </w:p>
    <w:p>
      <w:pPr>
        <w:sectPr>
          <w:pgSz w:w="11900" w:h="16838" w:orient="portrait"/>
          <w:cols w:equalWidth="0" w:num="2">
            <w:col w:w="8100" w:space="720"/>
            <w:col w:w="2600"/>
          </w:cols>
          <w:pgMar w:left="240" w:top="329" w:right="2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87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8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Preferred stock, $.01 par value; authorized 2,500,000 shares</w:t>
            </w:r>
          </w:p>
        </w:tc>
        <w:tc>
          <w:tcPr>
            <w:tcW w:w="13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r>
      <w:tr>
        <w:trPr>
          <w:trHeight w:val="203"/>
        </w:trPr>
        <w:tc>
          <w:tcPr>
            <w:tcW w:w="8700" w:type="dxa"/>
            <w:vAlign w:val="bottom"/>
          </w:tcPr>
          <w:p>
            <w:pPr>
              <w:ind w:left="300"/>
              <w:spacing w:after="0"/>
              <w:rPr>
                <w:sz w:val="20"/>
                <w:szCs w:val="20"/>
                <w:color w:val="auto"/>
              </w:rPr>
            </w:pPr>
            <w:r>
              <w:rPr>
                <w:rFonts w:ascii="Arial" w:cs="Arial" w:eastAsia="Arial" w:hAnsi="Arial"/>
                <w:sz w:val="16"/>
                <w:szCs w:val="16"/>
                <w:color w:val="auto"/>
              </w:rPr>
              <w:t>Common stock, $.01 par value; authorized 20,000,000 shares; issued 11,685,904 shares</w:t>
            </w: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8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at June 30, 2018 and 11,618,646 at December 31, 2017; outstanding</w:t>
            </w:r>
          </w:p>
        </w:tc>
        <w:tc>
          <w:tcPr>
            <w:tcW w:w="1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3"/>
        </w:trPr>
        <w:tc>
          <w:tcPr>
            <w:tcW w:w="8700" w:type="dxa"/>
            <w:vAlign w:val="bottom"/>
          </w:tcPr>
          <w:p>
            <w:pPr>
              <w:ind w:left="600"/>
              <w:spacing w:after="0"/>
              <w:rPr>
                <w:sz w:val="20"/>
                <w:szCs w:val="20"/>
                <w:color w:val="auto"/>
              </w:rPr>
            </w:pPr>
            <w:r>
              <w:rPr>
                <w:rFonts w:ascii="Arial" w:cs="Arial" w:eastAsia="Arial" w:hAnsi="Arial"/>
                <w:sz w:val="16"/>
                <w:szCs w:val="16"/>
                <w:color w:val="auto"/>
              </w:rPr>
              <w:t>10,661,460 shares at June 30, 2018 and 10,631,837 shares at December 31, 2017</w:t>
            </w:r>
          </w:p>
        </w:tc>
        <w:tc>
          <w:tcPr>
            <w:tcW w:w="1380" w:type="dxa"/>
            <w:vAlign w:val="bottom"/>
          </w:tcPr>
          <w:p>
            <w:pPr>
              <w:jc w:val="right"/>
              <w:ind w:right="78"/>
              <w:spacing w:after="0"/>
              <w:rPr>
                <w:sz w:val="20"/>
                <w:szCs w:val="20"/>
                <w:color w:val="auto"/>
              </w:rPr>
            </w:pPr>
            <w:r>
              <w:rPr>
                <w:rFonts w:ascii="Arial" w:cs="Arial" w:eastAsia="Arial" w:hAnsi="Arial"/>
                <w:sz w:val="16"/>
                <w:szCs w:val="16"/>
                <w:color w:val="auto"/>
              </w:rPr>
              <w:t>116,859</w:t>
            </w: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116,186</w:t>
            </w:r>
          </w:p>
        </w:tc>
      </w:tr>
      <w:tr>
        <w:trPr>
          <w:trHeight w:val="203"/>
        </w:trPr>
        <w:tc>
          <w:tcPr>
            <w:tcW w:w="8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in excess of par</w:t>
            </w:r>
          </w:p>
        </w:tc>
        <w:tc>
          <w:tcPr>
            <w:tcW w:w="13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68,347,784</w:t>
            </w:r>
          </w:p>
        </w:tc>
        <w:tc>
          <w:tcPr>
            <w:tcW w:w="1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68,380,390</w:t>
            </w:r>
          </w:p>
        </w:tc>
      </w:tr>
      <w:tr>
        <w:trPr>
          <w:trHeight w:val="203"/>
        </w:trPr>
        <w:tc>
          <w:tcPr>
            <w:tcW w:w="8700" w:type="dxa"/>
            <w:vAlign w:val="bottom"/>
          </w:tcPr>
          <w:p>
            <w:pPr>
              <w:ind w:left="300"/>
              <w:spacing w:after="0"/>
              <w:rPr>
                <w:sz w:val="20"/>
                <w:szCs w:val="20"/>
                <w:color w:val="auto"/>
              </w:rPr>
            </w:pPr>
            <w:r>
              <w:rPr>
                <w:rFonts w:ascii="Arial" w:cs="Arial" w:eastAsia="Arial" w:hAnsi="Arial"/>
                <w:sz w:val="16"/>
                <w:szCs w:val="16"/>
                <w:color w:val="auto"/>
              </w:rPr>
              <w:t>Accumulated other comprehensive (loss) income</w:t>
            </w:r>
          </w:p>
        </w:tc>
        <w:tc>
          <w:tcPr>
            <w:tcW w:w="1380" w:type="dxa"/>
            <w:vAlign w:val="bottom"/>
          </w:tcPr>
          <w:p>
            <w:pPr>
              <w:jc w:val="right"/>
              <w:ind w:right="18"/>
              <w:spacing w:after="0"/>
              <w:rPr>
                <w:sz w:val="20"/>
                <w:szCs w:val="20"/>
                <w:color w:val="auto"/>
              </w:rPr>
            </w:pPr>
            <w:r>
              <w:rPr>
                <w:rFonts w:ascii="Arial" w:cs="Arial" w:eastAsia="Arial" w:hAnsi="Arial"/>
                <w:sz w:val="16"/>
                <w:szCs w:val="16"/>
                <w:color w:val="auto"/>
              </w:rPr>
              <w:t>(2,496,981)</w:t>
            </w: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1,100,647</w:t>
            </w:r>
          </w:p>
        </w:tc>
      </w:tr>
      <w:tr>
        <w:trPr>
          <w:trHeight w:val="208"/>
        </w:trPr>
        <w:tc>
          <w:tcPr>
            <w:tcW w:w="8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Retained earnings</w:t>
            </w:r>
          </w:p>
        </w:tc>
        <w:tc>
          <w:tcPr>
            <w:tcW w:w="1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25,471,668</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27,152,822</w:t>
            </w:r>
          </w:p>
        </w:tc>
      </w:tr>
      <w:tr>
        <w:trPr>
          <w:trHeight w:val="203"/>
        </w:trPr>
        <w:tc>
          <w:tcPr>
            <w:tcW w:w="8700" w:type="dxa"/>
            <w:vAlign w:val="bottom"/>
          </w:tcPr>
          <w:p>
            <w:pPr>
              <w:spacing w:after="0"/>
              <w:rPr>
                <w:sz w:val="17"/>
                <w:szCs w:val="17"/>
                <w:color w:val="auto"/>
              </w:rPr>
            </w:pPr>
          </w:p>
        </w:tc>
        <w:tc>
          <w:tcPr>
            <w:tcW w:w="1380" w:type="dxa"/>
            <w:vAlign w:val="bottom"/>
          </w:tcPr>
          <w:p>
            <w:pPr>
              <w:jc w:val="right"/>
              <w:ind w:right="78"/>
              <w:spacing w:after="0"/>
              <w:rPr>
                <w:sz w:val="20"/>
                <w:szCs w:val="20"/>
                <w:color w:val="auto"/>
              </w:rPr>
            </w:pPr>
            <w:r>
              <w:rPr>
                <w:rFonts w:ascii="Arial" w:cs="Arial" w:eastAsia="Arial" w:hAnsi="Arial"/>
                <w:sz w:val="16"/>
                <w:szCs w:val="16"/>
                <w:color w:val="auto"/>
              </w:rPr>
              <w:t>91,439,330</w:t>
            </w:r>
          </w:p>
        </w:tc>
        <w:tc>
          <w:tcPr>
            <w:tcW w:w="1340" w:type="dxa"/>
            <w:vAlign w:val="bottom"/>
          </w:tcPr>
          <w:p>
            <w:pPr>
              <w:jc w:val="right"/>
              <w:ind w:right="58"/>
              <w:spacing w:after="0"/>
              <w:rPr>
                <w:sz w:val="20"/>
                <w:szCs w:val="20"/>
                <w:color w:val="auto"/>
              </w:rPr>
            </w:pPr>
            <w:r>
              <w:rPr>
                <w:rFonts w:ascii="Arial" w:cs="Arial" w:eastAsia="Arial" w:hAnsi="Arial"/>
                <w:sz w:val="16"/>
                <w:szCs w:val="16"/>
                <w:color w:val="auto"/>
              </w:rPr>
              <w:t>96,750,045</w:t>
            </w:r>
          </w:p>
        </w:tc>
      </w:tr>
      <w:tr>
        <w:trPr>
          <w:trHeight w:val="203"/>
        </w:trPr>
        <w:tc>
          <w:tcPr>
            <w:tcW w:w="8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Treasury stock, at cost, 1,024,444 shares at June 30, 2018</w:t>
            </w:r>
          </w:p>
        </w:tc>
        <w:tc>
          <w:tcPr>
            <w:tcW w:w="1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8"/>
        </w:trPr>
        <w:tc>
          <w:tcPr>
            <w:tcW w:w="8700" w:type="dxa"/>
            <w:vAlign w:val="bottom"/>
          </w:tcPr>
          <w:p>
            <w:pPr>
              <w:ind w:left="600"/>
              <w:spacing w:after="0"/>
              <w:rPr>
                <w:sz w:val="20"/>
                <w:szCs w:val="20"/>
                <w:color w:val="auto"/>
              </w:rPr>
            </w:pPr>
            <w:r>
              <w:rPr>
                <w:rFonts w:ascii="Arial" w:cs="Arial" w:eastAsia="Arial" w:hAnsi="Arial"/>
                <w:sz w:val="16"/>
                <w:szCs w:val="16"/>
                <w:color w:val="auto"/>
              </w:rPr>
              <w:t>and 986,809 shares at December 31, 2017</w:t>
            </w:r>
          </w:p>
        </w:tc>
        <w:tc>
          <w:tcPr>
            <w:tcW w:w="13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(2,712,522)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(2,172,299)</w:t>
            </w:r>
          </w:p>
        </w:tc>
      </w:tr>
      <w:tr>
        <w:trPr>
          <w:trHeight w:val="208"/>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1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88,726,808</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94,577,746</w:t>
            </w:r>
          </w:p>
        </w:tc>
      </w:tr>
      <w:tr>
        <w:trPr>
          <w:trHeight w:val="203"/>
        </w:trPr>
        <w:tc>
          <w:tcPr>
            <w:tcW w:w="8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1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   255,389,799</w:t>
            </w:r>
          </w:p>
        </w:tc>
        <w:tc>
          <w:tcPr>
            <w:tcW w:w="1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   254,548,063</w:t>
            </w:r>
          </w:p>
        </w:tc>
      </w:tr>
      <w:tr>
        <w:trPr>
          <w:trHeight w:val="383"/>
        </w:trPr>
        <w:tc>
          <w:tcPr>
            <w:tcW w:w="8700" w:type="dxa"/>
            <w:vAlign w:val="bottom"/>
          </w:tcPr>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3"/>
        </w:trPr>
        <w:tc>
          <w:tcPr>
            <w:tcW w:w="8700" w:type="dxa"/>
            <w:vAlign w:val="bottom"/>
          </w:tcPr>
          <w:p>
            <w:pPr>
              <w:spacing w:after="0"/>
              <w:rPr>
                <w:sz w:val="20"/>
                <w:szCs w:val="20"/>
                <w:color w:val="auto"/>
              </w:rPr>
            </w:pPr>
            <w:r>
              <w:rPr>
                <w:rFonts w:ascii="Arial" w:cs="Arial" w:eastAsia="Arial" w:hAnsi="Arial"/>
                <w:sz w:val="16"/>
                <w:szCs w:val="16"/>
                <w:b w:val="1"/>
                <w:bCs w:val="1"/>
                <w:color w:val="auto"/>
                <w:w w:val="92"/>
              </w:rPr>
              <w:t>_________________________________________________________________________________________________________</w:t>
            </w: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546"/>
        </w:trPr>
        <w:tc>
          <w:tcPr>
            <w:tcW w:w="8700" w:type="dxa"/>
            <w:vAlign w:val="bottom"/>
            <w:tcBorders>
              <w:bottom w:val="single" w:sz="8" w:color="auto"/>
            </w:tcBorders>
          </w:tcPr>
          <w:p>
            <w:pPr>
              <w:ind w:left="5680"/>
              <w:spacing w:after="0"/>
              <w:rPr>
                <w:sz w:val="20"/>
                <w:szCs w:val="20"/>
                <w:color w:val="auto"/>
              </w:rPr>
            </w:pPr>
            <w:r>
              <w:rPr>
                <w:rFonts w:ascii="Arial" w:cs="Arial" w:eastAsia="Arial" w:hAnsi="Arial"/>
                <w:sz w:val="16"/>
                <w:szCs w:val="16"/>
                <w:color w:val="auto"/>
              </w:rPr>
              <w:t>2</w:t>
            </w:r>
          </w:p>
        </w:tc>
        <w:tc>
          <w:tcPr>
            <w:tcW w:w="1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9" w:right="239" w:bottom="1440" w:gutter="0" w:footer="0" w:header="0"/>
          <w:type w:val="continuous"/>
        </w:sectPr>
      </w:pPr>
    </w:p>
    <w:bookmarkStart w:id="4" w:name="page5"/>
    <w:bookmarkEnd w:id="4"/>
    <w:p>
      <w:pPr>
        <w:ind w:left="738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Income and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25487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20" w:type="dxa"/>
            <w:vAlign w:val="bottom"/>
            <w:gridSpan w:val="3"/>
          </w:tcPr>
          <w:p>
            <w:pPr>
              <w:jc w:val="right"/>
              <w:ind w:right="438"/>
              <w:spacing w:after="0"/>
              <w:rPr>
                <w:sz w:val="20"/>
                <w:szCs w:val="20"/>
                <w:color w:val="auto"/>
              </w:rPr>
            </w:pPr>
            <w:r>
              <w:rPr>
                <w:rFonts w:ascii="Arial" w:cs="Arial" w:eastAsia="Arial" w:hAnsi="Arial"/>
                <w:sz w:val="14"/>
                <w:szCs w:val="14"/>
                <w:b w:val="1"/>
                <w:bCs w:val="1"/>
                <w:color w:val="auto"/>
                <w:w w:val="99"/>
              </w:rPr>
              <w:t>For the Three Months Ended</w:t>
            </w:r>
          </w:p>
        </w:tc>
        <w:tc>
          <w:tcPr>
            <w:tcW w:w="320" w:type="dxa"/>
            <w:vAlign w:val="bottom"/>
          </w:tcPr>
          <w:p>
            <w:pPr>
              <w:spacing w:after="0"/>
              <w:rPr>
                <w:sz w:val="15"/>
                <w:szCs w:val="15"/>
                <w:color w:val="auto"/>
              </w:rPr>
            </w:pPr>
          </w:p>
        </w:tc>
        <w:tc>
          <w:tcPr>
            <w:tcW w:w="2380" w:type="dxa"/>
            <w:vAlign w:val="bottom"/>
            <w:gridSpan w:val="3"/>
          </w:tcPr>
          <w:p>
            <w:pPr>
              <w:jc w:val="right"/>
              <w:ind w:right="498"/>
              <w:spacing w:after="0"/>
              <w:rPr>
                <w:sz w:val="20"/>
                <w:szCs w:val="20"/>
                <w:color w:val="auto"/>
              </w:rPr>
            </w:pPr>
            <w:r>
              <w:rPr>
                <w:rFonts w:ascii="Arial" w:cs="Arial" w:eastAsia="Arial" w:hAnsi="Arial"/>
                <w:sz w:val="14"/>
                <w:szCs w:val="14"/>
                <w:b w:val="1"/>
                <w:bCs w:val="1"/>
                <w:color w:val="auto"/>
              </w:rPr>
              <w:t>For the Six Months Ended</w:t>
            </w:r>
          </w:p>
        </w:tc>
      </w:tr>
      <w:tr>
        <w:trPr>
          <w:trHeight w:val="191"/>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208"/>
        </w:trPr>
        <w:tc>
          <w:tcPr>
            <w:tcW w:w="5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2017</w:t>
            </w:r>
          </w:p>
        </w:tc>
      </w:tr>
      <w:tr>
        <w:trPr>
          <w:trHeight w:val="228"/>
        </w:trPr>
        <w:tc>
          <w:tcPr>
            <w:tcW w:w="5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8"/>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r>
              <w:rPr>
                <w:rFonts w:ascii="Arial" w:cs="Arial" w:eastAsia="Arial" w:hAnsi="Arial"/>
                <w:sz w:val="16"/>
                <w:szCs w:val="16"/>
                <w:color w:val="auto"/>
              </w:rPr>
              <w: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Net premiums earned</w:t>
            </w:r>
          </w:p>
        </w:tc>
        <w:tc>
          <w:tcPr>
            <w:tcW w:w="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24,104,614</w:t>
            </w:r>
          </w:p>
        </w:tc>
        <w:tc>
          <w:tcPr>
            <w:tcW w:w="3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16,953,727</w:t>
            </w:r>
          </w:p>
        </w:tc>
        <w:tc>
          <w:tcPr>
            <w:tcW w:w="3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46,942,231</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33,323,475</w:t>
            </w: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Ceding commission revenue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1,691,168</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3,305,938</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3,386,326</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6,490,390</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Net investment income</w:t>
            </w:r>
          </w:p>
        </w:tc>
        <w:tc>
          <w:tcPr>
            <w:tcW w:w="34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1,556,866</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1,026,004</w:t>
            </w:r>
          </w:p>
        </w:tc>
        <w:tc>
          <w:tcPr>
            <w:tcW w:w="32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2,940,855</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1,883,804</w:t>
            </w: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(losses) gains on investments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(106,733)</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130,423</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(629,860)</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75,917</w:t>
            </w:r>
          </w:p>
        </w:tc>
      </w:tr>
      <w:tr>
        <w:trPr>
          <w:trHeight w:val="208"/>
        </w:trPr>
        <w:tc>
          <w:tcPr>
            <w:tcW w:w="5960" w:type="dxa"/>
            <w:vAlign w:val="bottom"/>
          </w:tcPr>
          <w:p>
            <w:pPr>
              <w:ind w:left="20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300,271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308,159</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608,504</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597,859</w:t>
            </w: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27,546,186</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21,724,251</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53,248,056</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42,371,445</w:t>
            </w:r>
          </w:p>
        </w:tc>
      </w:tr>
      <w:tr>
        <w:trPr>
          <w:trHeight w:val="203"/>
        </w:trPr>
        <w:tc>
          <w:tcPr>
            <w:tcW w:w="5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w:t>
            </w:r>
            <w:r>
              <w:rPr>
                <w:rFonts w:ascii="Arial" w:cs="Arial" w:eastAsia="Arial" w:hAnsi="Arial"/>
                <w:sz w:val="16"/>
                <w:szCs w:val="16"/>
                <w:color w:val="auto"/>
              </w:rPr>
              <w:t>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Loss and loss adjustment expenses</w:t>
            </w:r>
          </w:p>
        </w:tc>
        <w:tc>
          <w:tcPr>
            <w:tcW w:w="34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11,176,085</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7,454,922</w:t>
            </w:r>
          </w:p>
        </w:tc>
        <w:tc>
          <w:tcPr>
            <w:tcW w:w="32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28,442,415</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15,747,918</w:t>
            </w: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Commission expense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6,017,189</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5,101,566</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11,817,137</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9,990,544</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Other underwriting expenses</w:t>
            </w:r>
          </w:p>
        </w:tc>
        <w:tc>
          <w:tcPr>
            <w:tcW w:w="34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5,075,986</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4,199,616</w:t>
            </w:r>
          </w:p>
        </w:tc>
        <w:tc>
          <w:tcPr>
            <w:tcW w:w="32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10,107,489</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8,412,033</w:t>
            </w: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operating expenses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843,816</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906,690</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1,090,674</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1,662,494</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424,161</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326,174</w:t>
            </w:r>
          </w:p>
        </w:tc>
        <w:tc>
          <w:tcPr>
            <w:tcW w:w="32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833,592</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644,872</w:t>
            </w: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451,962</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908,507</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Total expenses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23,989,199</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17,988,968</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53,199,814</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36,457,861</w:t>
            </w:r>
          </w:p>
        </w:tc>
      </w:tr>
      <w:tr>
        <w:trPr>
          <w:trHeight w:val="203"/>
        </w:trPr>
        <w:tc>
          <w:tcPr>
            <w:tcW w:w="5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Income from operations before taxes</w:t>
            </w:r>
          </w:p>
        </w:tc>
        <w:tc>
          <w:tcPr>
            <w:tcW w:w="34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3,556,987</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3,735,283</w:t>
            </w:r>
          </w:p>
        </w:tc>
        <w:tc>
          <w:tcPr>
            <w:tcW w:w="320" w:type="dxa"/>
            <w:vAlign w:val="bottom"/>
          </w:tcPr>
          <w:p>
            <w:pPr>
              <w:spacing w:after="0"/>
              <w:rPr>
                <w:sz w:val="17"/>
                <w:szCs w:val="17"/>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48,242</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5,913,584</w:t>
            </w: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799,690</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1,224,891</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8,879</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1,932,612</w:t>
            </w:r>
          </w:p>
        </w:tc>
      </w:tr>
      <w:tr>
        <w:trPr>
          <w:trHeight w:val="208"/>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2,757,297</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2,510,392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39,363</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3,980,972</w:t>
            </w:r>
          </w:p>
        </w:tc>
      </w:tr>
      <w:tr>
        <w:trPr>
          <w:trHeight w:val="203"/>
        </w:trPr>
        <w:tc>
          <w:tcPr>
            <w:tcW w:w="5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6"/>
                <w:szCs w:val="16"/>
                <w:b w:val="1"/>
                <w:bCs w:val="1"/>
                <w:color w:val="auto"/>
              </w:rPr>
              <w:t>Other comprehensive (loss) income, net of tax</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Gross change in unrealized (losses) gains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03"/>
        </w:trPr>
        <w:tc>
          <w:tcPr>
            <w:tcW w:w="5960" w:type="dxa"/>
            <w:vAlign w:val="bottom"/>
          </w:tcPr>
          <w:p>
            <w:pPr>
              <w:ind w:left="300"/>
              <w:spacing w:after="0"/>
              <w:rPr>
                <w:sz w:val="20"/>
                <w:szCs w:val="20"/>
                <w:color w:val="auto"/>
              </w:rPr>
            </w:pPr>
            <w:r>
              <w:rPr>
                <w:rFonts w:ascii="Arial" w:cs="Arial" w:eastAsia="Arial" w:hAnsi="Arial"/>
                <w:sz w:val="16"/>
                <w:szCs w:val="16"/>
                <w:color w:val="auto"/>
              </w:rPr>
              <w:t>on available-for-sale-securities</w:t>
            </w:r>
          </w:p>
        </w:tc>
        <w:tc>
          <w:tcPr>
            <w:tcW w:w="3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(1,475,767)</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951,047</w:t>
            </w: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(4,349,246)</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1,475,869</w:t>
            </w:r>
          </w:p>
        </w:tc>
      </w:tr>
      <w:tr>
        <w:trPr>
          <w:trHeight w:val="203"/>
        </w:trPr>
        <w:tc>
          <w:tcPr>
            <w:tcW w:w="5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5960" w:type="dxa"/>
            <w:vAlign w:val="bottom"/>
          </w:tcPr>
          <w:p>
            <w:pPr>
              <w:ind w:left="160"/>
              <w:spacing w:after="0"/>
              <w:rPr>
                <w:sz w:val="20"/>
                <w:szCs w:val="20"/>
                <w:color w:val="auto"/>
              </w:rPr>
            </w:pPr>
            <w:r>
              <w:rPr>
                <w:rFonts w:ascii="Arial" w:cs="Arial" w:eastAsia="Arial" w:hAnsi="Arial"/>
                <w:sz w:val="16"/>
                <w:szCs w:val="16"/>
                <w:color w:val="auto"/>
              </w:rPr>
              <w:t>Reclassification adjustment for (losses) gains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5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included in net income</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76,126</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(130,423)</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319,899</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(75,917)</w:t>
            </w:r>
          </w:p>
        </w:tc>
      </w:tr>
      <w:tr>
        <w:trPr>
          <w:trHeight w:val="203"/>
        </w:trPr>
        <w:tc>
          <w:tcPr>
            <w:tcW w:w="5960" w:type="dxa"/>
            <w:vAlign w:val="bottom"/>
          </w:tcPr>
          <w:p>
            <w:pPr>
              <w:ind w:left="460"/>
              <w:spacing w:after="0"/>
              <w:rPr>
                <w:sz w:val="20"/>
                <w:szCs w:val="20"/>
                <w:color w:val="auto"/>
              </w:rPr>
            </w:pPr>
            <w:r>
              <w:rPr>
                <w:rFonts w:ascii="Arial" w:cs="Arial" w:eastAsia="Arial" w:hAnsi="Arial"/>
                <w:sz w:val="16"/>
                <w:szCs w:val="16"/>
                <w:color w:val="auto"/>
              </w:rPr>
              <w:t>Net change in unrealized (losses) gains</w:t>
            </w:r>
          </w:p>
        </w:tc>
        <w:tc>
          <w:tcPr>
            <w:tcW w:w="3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(1,399,641)</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820,624</w:t>
            </w:r>
          </w:p>
        </w:tc>
        <w:tc>
          <w:tcPr>
            <w:tcW w:w="32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(4,029,347)</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1,399,952</w:t>
            </w:r>
          </w:p>
        </w:tc>
      </w:tr>
      <w:tr>
        <w:trPr>
          <w:trHeight w:val="228"/>
        </w:trPr>
        <w:tc>
          <w:tcPr>
            <w:tcW w:w="5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benefit (expense) related to items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08"/>
        </w:trPr>
        <w:tc>
          <w:tcPr>
            <w:tcW w:w="5960" w:type="dxa"/>
            <w:vAlign w:val="bottom"/>
          </w:tcPr>
          <w:p>
            <w:pPr>
              <w:ind w:left="300"/>
              <w:spacing w:after="0"/>
              <w:rPr>
                <w:sz w:val="20"/>
                <w:szCs w:val="20"/>
                <w:color w:val="auto"/>
              </w:rPr>
            </w:pPr>
            <w:r>
              <w:rPr>
                <w:rFonts w:ascii="Arial" w:cs="Arial" w:eastAsia="Arial" w:hAnsi="Arial"/>
                <w:sz w:val="16"/>
                <w:szCs w:val="16"/>
                <w:color w:val="auto"/>
              </w:rPr>
              <w:t>of other comprehensive (loss) income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293,723</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(279,012)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845,961</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(475,984)</w:t>
            </w:r>
          </w:p>
        </w:tc>
      </w:tr>
      <w:tr>
        <w:trPr>
          <w:trHeight w:val="208"/>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Other comprehensive (loss) income, net of tax</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(1,105,918)</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541,612</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(3,183,386)</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923,968</w:t>
            </w:r>
          </w:p>
        </w:tc>
      </w:tr>
      <w:tr>
        <w:trPr>
          <w:trHeight w:val="203"/>
        </w:trPr>
        <w:tc>
          <w:tcPr>
            <w:tcW w:w="5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Comprehensive income (loss)</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1,651,379</w:t>
            </w:r>
          </w:p>
        </w:tc>
        <w:tc>
          <w:tcPr>
            <w:tcW w:w="3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3,052,004</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(3,144,023)</w:t>
            </w:r>
          </w:p>
        </w:tc>
        <w:tc>
          <w:tcPr>
            <w:tcW w:w="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4,904,940</w:t>
            </w:r>
          </w:p>
        </w:tc>
      </w:tr>
      <w:tr>
        <w:trPr>
          <w:trHeight w:val="193"/>
        </w:trPr>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common share: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5960" w:type="dxa"/>
            <w:vAlign w:val="bottom"/>
          </w:tcPr>
          <w:p>
            <w:pPr>
              <w:ind w:left="16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0.26</w:t>
            </w:r>
          </w:p>
        </w:tc>
        <w:tc>
          <w:tcPr>
            <w:tcW w:w="3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0.24</w:t>
            </w:r>
          </w:p>
        </w:tc>
        <w:tc>
          <w:tcPr>
            <w:tcW w:w="3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0.00</w:t>
            </w: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0.39</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3"/>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0.25</w:t>
            </w:r>
          </w:p>
        </w:tc>
        <w:tc>
          <w:tcPr>
            <w:tcW w:w="3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0.23</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0.00</w:t>
            </w:r>
          </w:p>
        </w:tc>
        <w:tc>
          <w:tcPr>
            <w:tcW w:w="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0.39</w:t>
            </w:r>
          </w:p>
        </w:tc>
      </w:tr>
      <w:tr>
        <w:trPr>
          <w:trHeight w:val="193"/>
        </w:trPr>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8"/>
        </w:trPr>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03"/>
        </w:trPr>
        <w:tc>
          <w:tcPr>
            <w:tcW w:w="5960" w:type="dxa"/>
            <w:vAlign w:val="bottom"/>
          </w:tcPr>
          <w:p>
            <w:pPr>
              <w:ind w:left="16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10,664,806</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10,622,496</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10,667,385</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10,145,772</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3"/>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10,820,322</w:t>
            </w: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10,822,577</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10,828,020</w:t>
            </w: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10,337,213</w:t>
            </w:r>
          </w:p>
        </w:tc>
      </w:tr>
      <w:tr>
        <w:trPr>
          <w:trHeight w:val="193"/>
        </w:trPr>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3"/>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Dividends declared and paid per common share</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0.1000</w:t>
            </w:r>
          </w:p>
        </w:tc>
        <w:tc>
          <w:tcPr>
            <w:tcW w:w="3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0.0800</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0.2000</w:t>
            </w:r>
          </w:p>
        </w:tc>
        <w:tc>
          <w:tcPr>
            <w:tcW w:w="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0.1425</w:t>
            </w:r>
          </w:p>
        </w:tc>
      </w:tr>
    </w:tbl>
    <w:p>
      <w:pPr>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ind w:left="738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25487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1587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7"/>
              </w:rPr>
              <w:t>Accumulated</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7"/>
                <w:szCs w:val="17"/>
                <w:color w:val="auto"/>
              </w:rPr>
            </w:pPr>
          </w:p>
        </w:tc>
        <w:tc>
          <w:tcPr>
            <w:tcW w:w="760" w:type="dxa"/>
            <w:vAlign w:val="bottom"/>
          </w:tcPr>
          <w:p>
            <w:pPr>
              <w:jc w:val="right"/>
              <w:ind w:right="230"/>
              <w:spacing w:after="0"/>
              <w:rPr>
                <w:sz w:val="20"/>
                <w:szCs w:val="20"/>
                <w:color w:val="auto"/>
              </w:rPr>
            </w:pPr>
            <w:r>
              <w:rPr>
                <w:rFonts w:ascii="Arial" w:cs="Arial" w:eastAsia="Arial" w:hAnsi="Arial"/>
                <w:sz w:val="14"/>
                <w:szCs w:val="14"/>
                <w:b w:val="1"/>
                <w:bCs w:val="1"/>
                <w:color w:val="auto"/>
              </w:rPr>
              <w:t>Other</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1"/>
        </w:trPr>
        <w:tc>
          <w:tcPr>
            <w:tcW w:w="22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6"/>
              </w:rPr>
              <w:t>in Excess</w:t>
            </w:r>
          </w:p>
        </w:tc>
        <w:tc>
          <w:tcPr>
            <w:tcW w:w="18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96"/>
              </w:rPr>
              <w:t>Comprehensive  Retained</w:t>
            </w:r>
          </w:p>
        </w:tc>
        <w:tc>
          <w:tcPr>
            <w:tcW w:w="18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Treasury Stock</w:t>
            </w:r>
          </w:p>
        </w:tc>
        <w:tc>
          <w:tcPr>
            <w:tcW w:w="900" w:type="dxa"/>
            <w:vAlign w:val="bottom"/>
          </w:tcPr>
          <w:p>
            <w:pPr>
              <w:spacing w:after="0"/>
              <w:rPr>
                <w:sz w:val="16"/>
                <w:szCs w:val="16"/>
                <w:color w:val="auto"/>
              </w:rPr>
            </w:pPr>
          </w:p>
        </w:tc>
      </w:tr>
      <w:tr>
        <w:trPr>
          <w:trHeight w:val="139"/>
        </w:trPr>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190"/>
              <w:spacing w:after="0" w:line="139" w:lineRule="exact"/>
              <w:rPr>
                <w:sz w:val="20"/>
                <w:szCs w:val="20"/>
                <w:color w:val="auto"/>
              </w:rPr>
            </w:pPr>
            <w:r>
              <w:rPr>
                <w:rFonts w:ascii="Arial" w:cs="Arial" w:eastAsia="Arial" w:hAnsi="Arial"/>
                <w:sz w:val="14"/>
                <w:szCs w:val="14"/>
                <w:b w:val="1"/>
                <w:bCs w:val="1"/>
                <w:color w:val="auto"/>
                <w:w w:val="97"/>
              </w:rPr>
              <w:t>Income</w:t>
            </w: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71"/>
        </w:trPr>
        <w:tc>
          <w:tcPr>
            <w:tcW w:w="2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4"/>
              </w:rPr>
              <w:t>Shares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Par</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w w:val="99"/>
              </w:rPr>
              <w:t>(Loss)</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Earnings</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Shares</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Total</w:t>
            </w:r>
          </w:p>
        </w:tc>
      </w:tr>
      <w:tr>
        <w:trPr>
          <w:trHeight w:val="152"/>
        </w:trPr>
        <w:tc>
          <w:tcPr>
            <w:tcW w:w="29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Balance, January 1, 2018, as reported</w:t>
            </w:r>
          </w:p>
        </w:tc>
        <w:tc>
          <w:tcPr>
            <w:tcW w:w="18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30"/>
              <w:spacing w:after="0" w:line="15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90"/>
              <w:spacing w:after="0" w:line="152" w:lineRule="exact"/>
              <w:rPr>
                <w:sz w:val="20"/>
                <w:szCs w:val="20"/>
                <w:color w:val="auto"/>
              </w:rPr>
            </w:pPr>
            <w:r>
              <w:rPr>
                <w:rFonts w:ascii="Arial" w:cs="Arial" w:eastAsia="Arial" w:hAnsi="Arial"/>
                <w:sz w:val="14"/>
                <w:szCs w:val="14"/>
                <w:color w:val="auto"/>
                <w:w w:val="84"/>
              </w:rPr>
              <w:t>-</w:t>
            </w:r>
          </w:p>
        </w:tc>
        <w:tc>
          <w:tcPr>
            <w:tcW w:w="88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11,618,646</w:t>
            </w:r>
          </w:p>
        </w:tc>
        <w:tc>
          <w:tcPr>
            <w:tcW w:w="1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116,186</w:t>
            </w:r>
          </w:p>
        </w:tc>
        <w:tc>
          <w:tcPr>
            <w:tcW w:w="94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w w:val="97"/>
              </w:rPr>
              <w:t>$ 68,380,390</w:t>
            </w:r>
          </w:p>
        </w:tc>
        <w:tc>
          <w:tcPr>
            <w:tcW w:w="2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w w:val="99"/>
              </w:rPr>
              <w:t>1,100,647</w:t>
            </w:r>
          </w:p>
        </w:tc>
        <w:tc>
          <w:tcPr>
            <w:tcW w:w="9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w w:val="95"/>
              </w:rPr>
              <w:t>$ 27,152,822</w:t>
            </w:r>
          </w:p>
        </w:tc>
        <w:tc>
          <w:tcPr>
            <w:tcW w:w="90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986,809</w:t>
            </w:r>
          </w:p>
        </w:tc>
        <w:tc>
          <w:tcPr>
            <w:tcW w:w="9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 (2,172,299)</w:t>
            </w:r>
          </w:p>
        </w:tc>
        <w:tc>
          <w:tcPr>
            <w:tcW w:w="90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w w:val="97"/>
              </w:rPr>
              <w:t>$ 94,577,746</w:t>
            </w:r>
          </w:p>
        </w:tc>
      </w:tr>
      <w:tr>
        <w:trPr>
          <w:trHeight w:val="143"/>
        </w:trPr>
        <w:tc>
          <w:tcPr>
            <w:tcW w:w="2980" w:type="dxa"/>
            <w:vAlign w:val="bottom"/>
            <w:gridSpan w:val="2"/>
          </w:tcPr>
          <w:p>
            <w:pPr>
              <w:spacing w:after="0" w:line="143" w:lineRule="exact"/>
              <w:rPr>
                <w:sz w:val="20"/>
                <w:szCs w:val="20"/>
                <w:color w:val="auto"/>
              </w:rPr>
            </w:pPr>
            <w:r>
              <w:rPr>
                <w:rFonts w:ascii="Arial" w:cs="Arial" w:eastAsia="Arial" w:hAnsi="Arial"/>
                <w:sz w:val="14"/>
                <w:szCs w:val="14"/>
                <w:color w:val="auto"/>
              </w:rPr>
              <w:t>Cumulative effect of adoption of</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1"/>
        </w:trPr>
        <w:tc>
          <w:tcPr>
            <w:tcW w:w="2980" w:type="dxa"/>
            <w:vAlign w:val="bottom"/>
            <w:gridSpan w:val="2"/>
          </w:tcPr>
          <w:p>
            <w:pPr>
              <w:ind w:left="160"/>
              <w:spacing w:after="0"/>
              <w:rPr>
                <w:sz w:val="20"/>
                <w:szCs w:val="20"/>
                <w:color w:val="auto"/>
              </w:rPr>
            </w:pPr>
            <w:r>
              <w:rPr>
                <w:rFonts w:ascii="Arial" w:cs="Arial" w:eastAsia="Arial" w:hAnsi="Arial"/>
                <w:sz w:val="14"/>
                <w:szCs w:val="14"/>
                <w:color w:val="auto"/>
              </w:rPr>
              <w:t>updated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2"/>
        </w:trPr>
        <w:tc>
          <w:tcPr>
            <w:tcW w:w="2980" w:type="dxa"/>
            <w:vAlign w:val="bottom"/>
            <w:gridSpan w:val="2"/>
            <w:shd w:val="clear" w:color="auto" w:fill="CCEEFF"/>
          </w:tcPr>
          <w:p>
            <w:pPr>
              <w:ind w:left="160"/>
              <w:spacing w:after="0" w:line="152" w:lineRule="exact"/>
              <w:rPr>
                <w:sz w:val="20"/>
                <w:szCs w:val="20"/>
                <w:color w:val="auto"/>
              </w:rPr>
            </w:pPr>
            <w:r>
              <w:rPr>
                <w:rFonts w:ascii="Arial" w:cs="Arial" w:eastAsia="Arial" w:hAnsi="Arial"/>
                <w:sz w:val="14"/>
                <w:szCs w:val="14"/>
                <w:color w:val="auto"/>
              </w:rPr>
              <w:t>accounting guidance for equity</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3"/>
        </w:trPr>
        <w:tc>
          <w:tcPr>
            <w:tcW w:w="298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financial instruments at January 1,</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7"/>
        </w:trPr>
        <w:tc>
          <w:tcPr>
            <w:tcW w:w="2260" w:type="dxa"/>
            <w:vAlign w:val="bottom"/>
          </w:tcPr>
          <w:p>
            <w:pPr>
              <w:ind w:left="160"/>
              <w:spacing w:after="0"/>
              <w:rPr>
                <w:sz w:val="20"/>
                <w:szCs w:val="20"/>
                <w:color w:val="auto"/>
              </w:rPr>
            </w:pPr>
            <w:r>
              <w:rPr>
                <w:rFonts w:ascii="Arial" w:cs="Arial" w:eastAsia="Arial" w:hAnsi="Arial"/>
                <w:sz w:val="14"/>
                <w:szCs w:val="14"/>
                <w:color w:val="auto"/>
              </w:rPr>
              <w:t>2018</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84"/>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(414,242)</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414,242</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r>
      <w:tr>
        <w:trPr>
          <w:trHeight w:val="152"/>
        </w:trPr>
        <w:tc>
          <w:tcPr>
            <w:tcW w:w="29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Balance, January 1, 2018, as adjusted</w:t>
            </w:r>
          </w:p>
        </w:tc>
        <w:tc>
          <w:tcPr>
            <w:tcW w:w="18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90"/>
              <w:spacing w:after="0" w:line="152" w:lineRule="exact"/>
              <w:rPr>
                <w:sz w:val="20"/>
                <w:szCs w:val="20"/>
                <w:color w:val="auto"/>
              </w:rPr>
            </w:pPr>
            <w:r>
              <w:rPr>
                <w:rFonts w:ascii="Arial" w:cs="Arial" w:eastAsia="Arial" w:hAnsi="Arial"/>
                <w:sz w:val="14"/>
                <w:szCs w:val="14"/>
                <w:color w:val="auto"/>
                <w:w w:val="84"/>
              </w:rPr>
              <w:t>-</w:t>
            </w:r>
          </w:p>
        </w:tc>
        <w:tc>
          <w:tcPr>
            <w:tcW w:w="88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11,618,646</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116,186</w:t>
            </w:r>
          </w:p>
        </w:tc>
        <w:tc>
          <w:tcPr>
            <w:tcW w:w="94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68,380,390</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686,405</w:t>
            </w:r>
          </w:p>
        </w:tc>
        <w:tc>
          <w:tcPr>
            <w:tcW w:w="9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27,567,064</w:t>
            </w:r>
          </w:p>
        </w:tc>
        <w:tc>
          <w:tcPr>
            <w:tcW w:w="90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986,809</w:t>
            </w:r>
          </w:p>
        </w:tc>
        <w:tc>
          <w:tcPr>
            <w:tcW w:w="9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(2,172,299)</w:t>
            </w:r>
          </w:p>
        </w:tc>
        <w:tc>
          <w:tcPr>
            <w:tcW w:w="90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94,577,746</w:t>
            </w:r>
          </w:p>
        </w:tc>
      </w:tr>
      <w:tr>
        <w:trPr>
          <w:trHeight w:val="152"/>
        </w:trPr>
        <w:tc>
          <w:tcPr>
            <w:tcW w:w="2980" w:type="dxa"/>
            <w:vAlign w:val="bottom"/>
            <w:gridSpan w:val="2"/>
          </w:tcPr>
          <w:p>
            <w:pPr>
              <w:spacing w:after="0" w:line="152" w:lineRule="exact"/>
              <w:rPr>
                <w:sz w:val="20"/>
                <w:szCs w:val="20"/>
                <w:color w:val="auto"/>
              </w:rPr>
            </w:pPr>
            <w:r>
              <w:rPr>
                <w:rFonts w:ascii="Arial" w:cs="Arial" w:eastAsia="Arial" w:hAnsi="Arial"/>
                <w:sz w:val="14"/>
                <w:szCs w:val="14"/>
                <w:color w:val="auto"/>
              </w:rPr>
              <w:t>Stock-based compensation</w:t>
            </w:r>
          </w:p>
        </w:tc>
        <w:tc>
          <w:tcPr>
            <w:tcW w:w="180" w:type="dxa"/>
            <w:vAlign w:val="bottom"/>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220" w:type="dxa"/>
            <w:vAlign w:val="bottom"/>
          </w:tcPr>
          <w:p>
            <w:pPr>
              <w:jc w:val="right"/>
              <w:ind w:right="90"/>
              <w:spacing w:after="0" w:line="152" w:lineRule="exact"/>
              <w:rPr>
                <w:sz w:val="20"/>
                <w:szCs w:val="20"/>
                <w:color w:val="auto"/>
              </w:rPr>
            </w:pPr>
            <w:r>
              <w:rPr>
                <w:rFonts w:ascii="Arial" w:cs="Arial" w:eastAsia="Arial" w:hAnsi="Arial"/>
                <w:sz w:val="14"/>
                <w:szCs w:val="14"/>
                <w:color w:val="auto"/>
                <w:w w:val="84"/>
              </w:rPr>
              <w:t>-</w:t>
            </w:r>
          </w:p>
        </w:tc>
        <w:tc>
          <w:tcPr>
            <w:tcW w:w="880" w:type="dxa"/>
            <w:vAlign w:val="bottom"/>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line="152" w:lineRule="exact"/>
              <w:rPr>
                <w:sz w:val="20"/>
                <w:szCs w:val="20"/>
                <w:color w:val="auto"/>
              </w:rPr>
            </w:pPr>
            <w:r>
              <w:rPr>
                <w:rFonts w:ascii="Arial" w:cs="Arial" w:eastAsia="Arial" w:hAnsi="Arial"/>
                <w:sz w:val="14"/>
                <w:szCs w:val="14"/>
                <w:color w:val="auto"/>
              </w:rPr>
              <w:t>284,477</w:t>
            </w:r>
          </w:p>
        </w:tc>
        <w:tc>
          <w:tcPr>
            <w:tcW w:w="200" w:type="dxa"/>
            <w:vAlign w:val="bottom"/>
          </w:tcPr>
          <w:p>
            <w:pPr>
              <w:spacing w:after="0"/>
              <w:rPr>
                <w:sz w:val="13"/>
                <w:szCs w:val="13"/>
                <w:color w:val="auto"/>
              </w:rPr>
            </w:pPr>
          </w:p>
        </w:tc>
        <w:tc>
          <w:tcPr>
            <w:tcW w:w="760" w:type="dxa"/>
            <w:vAlign w:val="bottom"/>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line="152" w:lineRule="exact"/>
              <w:rPr>
                <w:sz w:val="20"/>
                <w:szCs w:val="20"/>
                <w:color w:val="auto"/>
              </w:rPr>
            </w:pPr>
            <w:r>
              <w:rPr>
                <w:rFonts w:ascii="Arial" w:cs="Arial" w:eastAsia="Arial" w:hAnsi="Arial"/>
                <w:sz w:val="14"/>
                <w:szCs w:val="14"/>
                <w:color w:val="auto"/>
              </w:rPr>
              <w:t>284,477</w:t>
            </w:r>
          </w:p>
        </w:tc>
      </w:tr>
      <w:tr>
        <w:trPr>
          <w:trHeight w:val="152"/>
        </w:trPr>
        <w:tc>
          <w:tcPr>
            <w:tcW w:w="29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Shares deducted from exercise of stock</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3"/>
        </w:trPr>
        <w:tc>
          <w:tcPr>
            <w:tcW w:w="298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options for payment of withholding</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1"/>
        </w:trPr>
        <w:tc>
          <w:tcPr>
            <w:tcW w:w="2980" w:type="dxa"/>
            <w:vAlign w:val="bottom"/>
            <w:gridSpan w:val="2"/>
          </w:tcPr>
          <w:p>
            <w:pPr>
              <w:ind w:left="160"/>
              <w:spacing w:after="0"/>
              <w:rPr>
                <w:sz w:val="20"/>
                <w:szCs w:val="20"/>
                <w:color w:val="auto"/>
              </w:rPr>
            </w:pPr>
            <w:r>
              <w:rPr>
                <w:rFonts w:ascii="Arial" w:cs="Arial" w:eastAsia="Arial" w:hAnsi="Arial"/>
                <w:sz w:val="14"/>
                <w:szCs w:val="14"/>
                <w:color w:val="auto"/>
              </w:rPr>
              <w:t>taxes</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220" w:type="dxa"/>
            <w:vAlign w:val="bottom"/>
          </w:tcPr>
          <w:p>
            <w:pPr>
              <w:jc w:val="right"/>
              <w:ind w:right="90"/>
              <w:spacing w:after="0"/>
              <w:rPr>
                <w:sz w:val="20"/>
                <w:szCs w:val="20"/>
                <w:color w:val="auto"/>
              </w:rPr>
            </w:pPr>
            <w:r>
              <w:rPr>
                <w:rFonts w:ascii="Arial" w:cs="Arial" w:eastAsia="Arial" w:hAnsi="Arial"/>
                <w:sz w:val="14"/>
                <w:szCs w:val="14"/>
                <w:color w:val="auto"/>
                <w:w w:val="84"/>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(15,750)</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w:t>
            </w:r>
          </w:p>
        </w:tc>
        <w:tc>
          <w:tcPr>
            <w:tcW w:w="940" w:type="dxa"/>
            <w:vAlign w:val="bottom"/>
          </w:tcPr>
          <w:p>
            <w:pPr>
              <w:jc w:val="right"/>
              <w:spacing w:after="0"/>
              <w:rPr>
                <w:sz w:val="20"/>
                <w:szCs w:val="20"/>
                <w:color w:val="auto"/>
              </w:rPr>
            </w:pPr>
            <w:r>
              <w:rPr>
                <w:rFonts w:ascii="Arial" w:cs="Arial" w:eastAsia="Arial" w:hAnsi="Arial"/>
                <w:sz w:val="14"/>
                <w:szCs w:val="14"/>
                <w:color w:val="auto"/>
              </w:rPr>
              <w:t>(341,612)</w:t>
            </w:r>
          </w:p>
        </w:tc>
        <w:tc>
          <w:tcPr>
            <w:tcW w:w="200" w:type="dxa"/>
            <w:vAlign w:val="bottom"/>
          </w:tcPr>
          <w:p>
            <w:pPr>
              <w:spacing w:after="0"/>
              <w:rPr>
                <w:sz w:val="14"/>
                <w:szCs w:val="1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(341,770)</w:t>
            </w:r>
          </w:p>
        </w:tc>
      </w:tr>
      <w:tr>
        <w:trPr>
          <w:trHeight w:val="152"/>
        </w:trPr>
        <w:tc>
          <w:tcPr>
            <w:tcW w:w="29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Vesting of restricted stock awards</w:t>
            </w:r>
          </w:p>
        </w:tc>
        <w:tc>
          <w:tcPr>
            <w:tcW w:w="18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90"/>
              <w:spacing w:after="0" w:line="152" w:lineRule="exact"/>
              <w:rPr>
                <w:sz w:val="20"/>
                <w:szCs w:val="20"/>
                <w:color w:val="auto"/>
              </w:rPr>
            </w:pPr>
            <w:r>
              <w:rPr>
                <w:rFonts w:ascii="Arial" w:cs="Arial" w:eastAsia="Arial" w:hAnsi="Arial"/>
                <w:sz w:val="14"/>
                <w:szCs w:val="14"/>
                <w:color w:val="auto"/>
                <w:w w:val="84"/>
              </w:rPr>
              <w:t>-</w:t>
            </w:r>
          </w:p>
        </w:tc>
        <w:tc>
          <w:tcPr>
            <w:tcW w:w="88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10,886</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109</w:t>
            </w:r>
          </w:p>
        </w:tc>
        <w:tc>
          <w:tcPr>
            <w:tcW w:w="9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(109)</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r>
      <w:tr>
        <w:trPr>
          <w:trHeight w:val="152"/>
        </w:trPr>
        <w:tc>
          <w:tcPr>
            <w:tcW w:w="2980" w:type="dxa"/>
            <w:vAlign w:val="bottom"/>
            <w:gridSpan w:val="2"/>
          </w:tcPr>
          <w:p>
            <w:pPr>
              <w:spacing w:after="0" w:line="152" w:lineRule="exact"/>
              <w:rPr>
                <w:sz w:val="20"/>
                <w:szCs w:val="20"/>
                <w:color w:val="auto"/>
              </w:rPr>
            </w:pPr>
            <w:r>
              <w:rPr>
                <w:rFonts w:ascii="Arial" w:cs="Arial" w:eastAsia="Arial" w:hAnsi="Arial"/>
                <w:sz w:val="14"/>
                <w:szCs w:val="14"/>
                <w:color w:val="auto"/>
              </w:rPr>
              <w:t>Shares deducted from restricted stock</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3"/>
        </w:trPr>
        <w:tc>
          <w:tcPr>
            <w:tcW w:w="298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rPr>
              <w:t>awards for payment of withholding</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61"/>
        </w:trPr>
        <w:tc>
          <w:tcPr>
            <w:tcW w:w="29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taxes</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84"/>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(1,154)</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(21,509)</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(21,523)</w:t>
            </w:r>
          </w:p>
        </w:tc>
      </w:tr>
      <w:tr>
        <w:trPr>
          <w:trHeight w:val="152"/>
        </w:trPr>
        <w:tc>
          <w:tcPr>
            <w:tcW w:w="2980" w:type="dxa"/>
            <w:vAlign w:val="bottom"/>
            <w:gridSpan w:val="2"/>
          </w:tcPr>
          <w:p>
            <w:pPr>
              <w:spacing w:after="0" w:line="152" w:lineRule="exact"/>
              <w:rPr>
                <w:sz w:val="20"/>
                <w:szCs w:val="20"/>
                <w:color w:val="auto"/>
              </w:rPr>
            </w:pPr>
            <w:r>
              <w:rPr>
                <w:rFonts w:ascii="Arial" w:cs="Arial" w:eastAsia="Arial" w:hAnsi="Arial"/>
                <w:sz w:val="14"/>
                <w:szCs w:val="14"/>
                <w:color w:val="auto"/>
              </w:rPr>
              <w:t>Exercise of stock options</w:t>
            </w:r>
          </w:p>
        </w:tc>
        <w:tc>
          <w:tcPr>
            <w:tcW w:w="180" w:type="dxa"/>
            <w:vAlign w:val="bottom"/>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220" w:type="dxa"/>
            <w:vAlign w:val="bottom"/>
          </w:tcPr>
          <w:p>
            <w:pPr>
              <w:jc w:val="right"/>
              <w:ind w:right="90"/>
              <w:spacing w:after="0" w:line="152" w:lineRule="exact"/>
              <w:rPr>
                <w:sz w:val="20"/>
                <w:szCs w:val="20"/>
                <w:color w:val="auto"/>
              </w:rPr>
            </w:pPr>
            <w:r>
              <w:rPr>
                <w:rFonts w:ascii="Arial" w:cs="Arial" w:eastAsia="Arial" w:hAnsi="Arial"/>
                <w:sz w:val="14"/>
                <w:szCs w:val="14"/>
                <w:color w:val="auto"/>
                <w:w w:val="84"/>
              </w:rPr>
              <w:t>-</w:t>
            </w:r>
          </w:p>
        </w:tc>
        <w:tc>
          <w:tcPr>
            <w:tcW w:w="880" w:type="dxa"/>
            <w:vAlign w:val="bottom"/>
          </w:tcPr>
          <w:p>
            <w:pPr>
              <w:jc w:val="right"/>
              <w:ind w:right="50"/>
              <w:spacing w:after="0" w:line="152" w:lineRule="exact"/>
              <w:rPr>
                <w:sz w:val="20"/>
                <w:szCs w:val="20"/>
                <w:color w:val="auto"/>
              </w:rPr>
            </w:pPr>
            <w:r>
              <w:rPr>
                <w:rFonts w:ascii="Arial" w:cs="Arial" w:eastAsia="Arial" w:hAnsi="Arial"/>
                <w:sz w:val="14"/>
                <w:szCs w:val="14"/>
                <w:color w:val="auto"/>
              </w:rPr>
              <w:t>73,276</w:t>
            </w:r>
          </w:p>
        </w:tc>
        <w:tc>
          <w:tcPr>
            <w:tcW w:w="160" w:type="dxa"/>
            <w:vAlign w:val="bottom"/>
          </w:tcPr>
          <w:p>
            <w:pPr>
              <w:spacing w:after="0"/>
              <w:rPr>
                <w:sz w:val="13"/>
                <w:szCs w:val="13"/>
                <w:color w:val="auto"/>
              </w:rPr>
            </w:pPr>
          </w:p>
        </w:tc>
        <w:tc>
          <w:tcPr>
            <w:tcW w:w="720" w:type="dxa"/>
            <w:vAlign w:val="bottom"/>
          </w:tcPr>
          <w:p>
            <w:pPr>
              <w:jc w:val="right"/>
              <w:ind w:right="10"/>
              <w:spacing w:after="0" w:line="152" w:lineRule="exact"/>
              <w:rPr>
                <w:sz w:val="20"/>
                <w:szCs w:val="20"/>
                <w:color w:val="auto"/>
              </w:rPr>
            </w:pPr>
            <w:r>
              <w:rPr>
                <w:rFonts w:ascii="Arial" w:cs="Arial" w:eastAsia="Arial" w:hAnsi="Arial"/>
                <w:sz w:val="14"/>
                <w:szCs w:val="14"/>
                <w:color w:val="auto"/>
              </w:rPr>
              <w:t>736</w:t>
            </w:r>
          </w:p>
        </w:tc>
        <w:tc>
          <w:tcPr>
            <w:tcW w:w="940" w:type="dxa"/>
            <w:vAlign w:val="bottom"/>
          </w:tcPr>
          <w:p>
            <w:pPr>
              <w:jc w:val="right"/>
              <w:ind w:right="50"/>
              <w:spacing w:after="0" w:line="152" w:lineRule="exact"/>
              <w:rPr>
                <w:sz w:val="20"/>
                <w:szCs w:val="20"/>
                <w:color w:val="auto"/>
              </w:rPr>
            </w:pPr>
            <w:r>
              <w:rPr>
                <w:rFonts w:ascii="Arial" w:cs="Arial" w:eastAsia="Arial" w:hAnsi="Arial"/>
                <w:sz w:val="14"/>
                <w:szCs w:val="14"/>
                <w:color w:val="auto"/>
              </w:rPr>
              <w:t>46,147</w:t>
            </w:r>
          </w:p>
        </w:tc>
        <w:tc>
          <w:tcPr>
            <w:tcW w:w="200" w:type="dxa"/>
            <w:vAlign w:val="bottom"/>
          </w:tcPr>
          <w:p>
            <w:pPr>
              <w:spacing w:after="0"/>
              <w:rPr>
                <w:sz w:val="13"/>
                <w:szCs w:val="13"/>
                <w:color w:val="auto"/>
              </w:rPr>
            </w:pPr>
          </w:p>
        </w:tc>
        <w:tc>
          <w:tcPr>
            <w:tcW w:w="760" w:type="dxa"/>
            <w:vAlign w:val="bottom"/>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line="152" w:lineRule="exact"/>
              <w:rPr>
                <w:sz w:val="20"/>
                <w:szCs w:val="20"/>
                <w:color w:val="auto"/>
              </w:rPr>
            </w:pPr>
            <w:r>
              <w:rPr>
                <w:rFonts w:ascii="Arial" w:cs="Arial" w:eastAsia="Arial" w:hAnsi="Arial"/>
                <w:sz w:val="14"/>
                <w:szCs w:val="14"/>
                <w:color w:val="auto"/>
              </w:rPr>
              <w:t>46,883</w:t>
            </w:r>
          </w:p>
        </w:tc>
      </w:tr>
      <w:tr>
        <w:trPr>
          <w:trHeight w:val="152"/>
        </w:trPr>
        <w:tc>
          <w:tcPr>
            <w:tcW w:w="29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Acquisition of treasury stock</w:t>
            </w:r>
          </w:p>
        </w:tc>
        <w:tc>
          <w:tcPr>
            <w:tcW w:w="18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90"/>
              <w:spacing w:after="0" w:line="152" w:lineRule="exact"/>
              <w:rPr>
                <w:sz w:val="20"/>
                <w:szCs w:val="20"/>
                <w:color w:val="auto"/>
              </w:rPr>
            </w:pPr>
            <w:r>
              <w:rPr>
                <w:rFonts w:ascii="Arial" w:cs="Arial" w:eastAsia="Arial" w:hAnsi="Arial"/>
                <w:sz w:val="14"/>
                <w:szCs w:val="14"/>
                <w:color w:val="auto"/>
                <w:w w:val="84"/>
              </w:rPr>
              <w:t>-</w:t>
            </w:r>
          </w:p>
        </w:tc>
        <w:tc>
          <w:tcPr>
            <w:tcW w:w="88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37,635</w:t>
            </w:r>
          </w:p>
        </w:tc>
        <w:tc>
          <w:tcPr>
            <w:tcW w:w="9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(540,223)</w:t>
            </w:r>
          </w:p>
        </w:tc>
        <w:tc>
          <w:tcPr>
            <w:tcW w:w="9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(540,223)</w:t>
            </w:r>
          </w:p>
        </w:tc>
      </w:tr>
      <w:tr>
        <w:trPr>
          <w:trHeight w:val="152"/>
        </w:trPr>
        <w:tc>
          <w:tcPr>
            <w:tcW w:w="2980" w:type="dxa"/>
            <w:vAlign w:val="bottom"/>
            <w:gridSpan w:val="2"/>
          </w:tcPr>
          <w:p>
            <w:pPr>
              <w:spacing w:after="0" w:line="152" w:lineRule="exact"/>
              <w:rPr>
                <w:sz w:val="20"/>
                <w:szCs w:val="20"/>
                <w:color w:val="auto"/>
              </w:rPr>
            </w:pPr>
            <w:r>
              <w:rPr>
                <w:rFonts w:ascii="Arial" w:cs="Arial" w:eastAsia="Arial" w:hAnsi="Arial"/>
                <w:sz w:val="14"/>
                <w:szCs w:val="14"/>
                <w:color w:val="auto"/>
              </w:rPr>
              <w:t>Dividends</w:t>
            </w:r>
          </w:p>
        </w:tc>
        <w:tc>
          <w:tcPr>
            <w:tcW w:w="180" w:type="dxa"/>
            <w:vAlign w:val="bottom"/>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220" w:type="dxa"/>
            <w:vAlign w:val="bottom"/>
          </w:tcPr>
          <w:p>
            <w:pPr>
              <w:jc w:val="right"/>
              <w:ind w:right="90"/>
              <w:spacing w:after="0" w:line="152" w:lineRule="exact"/>
              <w:rPr>
                <w:sz w:val="20"/>
                <w:szCs w:val="20"/>
                <w:color w:val="auto"/>
              </w:rPr>
            </w:pPr>
            <w:r>
              <w:rPr>
                <w:rFonts w:ascii="Arial" w:cs="Arial" w:eastAsia="Arial" w:hAnsi="Arial"/>
                <w:sz w:val="14"/>
                <w:szCs w:val="14"/>
                <w:color w:val="auto"/>
                <w:w w:val="84"/>
              </w:rPr>
              <w:t>-</w:t>
            </w:r>
          </w:p>
        </w:tc>
        <w:tc>
          <w:tcPr>
            <w:tcW w:w="880" w:type="dxa"/>
            <w:vAlign w:val="bottom"/>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760" w:type="dxa"/>
            <w:vAlign w:val="bottom"/>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2" w:lineRule="exact"/>
              <w:rPr>
                <w:sz w:val="20"/>
                <w:szCs w:val="20"/>
                <w:color w:val="auto"/>
              </w:rPr>
            </w:pPr>
            <w:r>
              <w:rPr>
                <w:rFonts w:ascii="Arial" w:cs="Arial" w:eastAsia="Arial" w:hAnsi="Arial"/>
                <w:sz w:val="14"/>
                <w:szCs w:val="14"/>
                <w:color w:val="auto"/>
              </w:rPr>
              <w:t>(2,134,759)</w:t>
            </w:r>
          </w:p>
        </w:tc>
        <w:tc>
          <w:tcPr>
            <w:tcW w:w="900" w:type="dxa"/>
            <w:vAlign w:val="bottom"/>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2" w:lineRule="exact"/>
              <w:rPr>
                <w:sz w:val="20"/>
                <w:szCs w:val="20"/>
                <w:color w:val="auto"/>
              </w:rPr>
            </w:pPr>
            <w:r>
              <w:rPr>
                <w:rFonts w:ascii="Arial" w:cs="Arial" w:eastAsia="Arial" w:hAnsi="Arial"/>
                <w:sz w:val="14"/>
                <w:szCs w:val="14"/>
                <w:color w:val="auto"/>
              </w:rPr>
              <w:t>(2,134,759)</w:t>
            </w:r>
          </w:p>
        </w:tc>
      </w:tr>
      <w:tr>
        <w:trPr>
          <w:trHeight w:val="152"/>
        </w:trPr>
        <w:tc>
          <w:tcPr>
            <w:tcW w:w="29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90"/>
              <w:spacing w:after="0" w:line="152" w:lineRule="exact"/>
              <w:rPr>
                <w:sz w:val="20"/>
                <w:szCs w:val="20"/>
                <w:color w:val="auto"/>
              </w:rPr>
            </w:pPr>
            <w:r>
              <w:rPr>
                <w:rFonts w:ascii="Arial" w:cs="Arial" w:eastAsia="Arial" w:hAnsi="Arial"/>
                <w:sz w:val="14"/>
                <w:szCs w:val="14"/>
                <w:color w:val="auto"/>
                <w:w w:val="84"/>
              </w:rPr>
              <w:t>-</w:t>
            </w:r>
          </w:p>
        </w:tc>
        <w:tc>
          <w:tcPr>
            <w:tcW w:w="88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39,363</w:t>
            </w:r>
          </w:p>
        </w:tc>
        <w:tc>
          <w:tcPr>
            <w:tcW w:w="90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39,363</w:t>
            </w:r>
          </w:p>
        </w:tc>
      </w:tr>
      <w:tr>
        <w:trPr>
          <w:trHeight w:val="143"/>
        </w:trPr>
        <w:tc>
          <w:tcPr>
            <w:tcW w:w="2980" w:type="dxa"/>
            <w:vAlign w:val="bottom"/>
            <w:gridSpan w:val="2"/>
          </w:tcPr>
          <w:p>
            <w:pPr>
              <w:spacing w:after="0" w:line="143" w:lineRule="exact"/>
              <w:rPr>
                <w:sz w:val="20"/>
                <w:szCs w:val="20"/>
                <w:color w:val="auto"/>
              </w:rPr>
            </w:pPr>
            <w:r>
              <w:rPr>
                <w:rFonts w:ascii="Arial" w:cs="Arial" w:eastAsia="Arial" w:hAnsi="Arial"/>
                <w:sz w:val="14"/>
                <w:szCs w:val="14"/>
                <w:color w:val="auto"/>
              </w:rPr>
              <w:t>Change in unrealized losses on</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1"/>
        </w:trPr>
        <w:tc>
          <w:tcPr>
            <w:tcW w:w="2980" w:type="dxa"/>
            <w:vAlign w:val="bottom"/>
            <w:gridSpan w:val="2"/>
          </w:tcPr>
          <w:p>
            <w:pPr>
              <w:ind w:left="160"/>
              <w:spacing w:after="0"/>
              <w:rPr>
                <w:sz w:val="20"/>
                <w:szCs w:val="20"/>
                <w:color w:val="auto"/>
              </w:rPr>
            </w:pPr>
            <w:r>
              <w:rPr>
                <w:rFonts w:ascii="Arial" w:cs="Arial" w:eastAsia="Arial" w:hAnsi="Arial"/>
                <w:sz w:val="14"/>
                <w:szCs w:val="14"/>
                <w:color w:val="auto"/>
              </w:rPr>
              <w:t>available-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7"/>
        </w:trPr>
        <w:tc>
          <w:tcPr>
            <w:tcW w:w="2260" w:type="dxa"/>
            <w:vAlign w:val="bottom"/>
            <w:tcBorders>
              <w:bottom w:val="single" w:sz="8" w:color="CCEEFF"/>
            </w:tcBorders>
            <w:shd w:val="clear" w:color="auto" w:fill="CCEEFF"/>
          </w:tcPr>
          <w:p>
            <w:pPr>
              <w:ind w:left="160"/>
              <w:spacing w:after="0" w:line="152" w:lineRule="exact"/>
              <w:rPr>
                <w:sz w:val="20"/>
                <w:szCs w:val="20"/>
                <w:color w:val="auto"/>
              </w:rPr>
            </w:pPr>
            <w:r>
              <w:rPr>
                <w:rFonts w:ascii="Arial" w:cs="Arial" w:eastAsia="Arial" w:hAnsi="Arial"/>
                <w:sz w:val="14"/>
                <w:szCs w:val="14"/>
                <w:color w:val="auto"/>
              </w:rPr>
              <w:t>for-sale securities, net of tax</w:t>
            </w:r>
          </w:p>
        </w:tc>
        <w:tc>
          <w:tcPr>
            <w:tcW w:w="7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90"/>
              <w:spacing w:after="0" w:line="152" w:lineRule="exact"/>
              <w:rPr>
                <w:sz w:val="20"/>
                <w:szCs w:val="20"/>
                <w:color w:val="auto"/>
              </w:rPr>
            </w:pPr>
            <w:r>
              <w:rPr>
                <w:rFonts w:ascii="Arial" w:cs="Arial" w:eastAsia="Arial" w:hAnsi="Arial"/>
                <w:sz w:val="14"/>
                <w:szCs w:val="14"/>
                <w:color w:val="auto"/>
                <w:w w:val="84"/>
              </w:rPr>
              <w:t>-</w:t>
            </w:r>
          </w:p>
        </w:tc>
        <w:tc>
          <w:tcPr>
            <w:tcW w:w="880" w:type="dxa"/>
            <w:vAlign w:val="bottom"/>
            <w:tcBorders>
              <w:bottom w:val="single" w:sz="8" w:color="auto"/>
            </w:tcBorders>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w w:val="92"/>
              </w:rPr>
              <w:t>(3,183,386)</w:t>
            </w:r>
          </w:p>
        </w:tc>
        <w:tc>
          <w:tcPr>
            <w:tcW w:w="9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(3,183,386)</w:t>
            </w:r>
          </w:p>
        </w:tc>
      </w:tr>
      <w:tr>
        <w:trPr>
          <w:trHeight w:val="152"/>
        </w:trPr>
        <w:tc>
          <w:tcPr>
            <w:tcW w:w="2980" w:type="dxa"/>
            <w:vAlign w:val="bottom"/>
            <w:gridSpan w:val="2"/>
          </w:tcPr>
          <w:p>
            <w:pPr>
              <w:spacing w:after="0" w:line="152" w:lineRule="exact"/>
              <w:rPr>
                <w:sz w:val="20"/>
                <w:szCs w:val="20"/>
                <w:color w:val="auto"/>
              </w:rPr>
            </w:pPr>
            <w:r>
              <w:rPr>
                <w:rFonts w:ascii="Arial" w:cs="Arial" w:eastAsia="Arial" w:hAnsi="Arial"/>
                <w:sz w:val="14"/>
                <w:szCs w:val="14"/>
                <w:color w:val="auto"/>
              </w:rPr>
              <w:t>Balance, June 30, 2018</w:t>
            </w:r>
          </w:p>
        </w:tc>
        <w:tc>
          <w:tcPr>
            <w:tcW w:w="180" w:type="dxa"/>
            <w:vAlign w:val="bottom"/>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530"/>
              <w:spacing w:after="0" w:line="152"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90"/>
              <w:spacing w:after="0" w:line="152" w:lineRule="exact"/>
              <w:rPr>
                <w:sz w:val="20"/>
                <w:szCs w:val="20"/>
                <w:color w:val="auto"/>
              </w:rPr>
            </w:pPr>
            <w:r>
              <w:rPr>
                <w:rFonts w:ascii="Arial" w:cs="Arial" w:eastAsia="Arial" w:hAnsi="Arial"/>
                <w:sz w:val="14"/>
                <w:szCs w:val="14"/>
                <w:color w:val="auto"/>
                <w:w w:val="84"/>
              </w:rPr>
              <w:t>-</w:t>
            </w:r>
          </w:p>
        </w:tc>
        <w:tc>
          <w:tcPr>
            <w:tcW w:w="880" w:type="dxa"/>
            <w:vAlign w:val="bottom"/>
          </w:tcPr>
          <w:p>
            <w:pPr>
              <w:jc w:val="right"/>
              <w:ind w:right="50"/>
              <w:spacing w:after="0" w:line="152" w:lineRule="exact"/>
              <w:rPr>
                <w:sz w:val="20"/>
                <w:szCs w:val="20"/>
                <w:color w:val="auto"/>
              </w:rPr>
            </w:pPr>
            <w:r>
              <w:rPr>
                <w:rFonts w:ascii="Arial" w:cs="Arial" w:eastAsia="Arial" w:hAnsi="Arial"/>
                <w:sz w:val="14"/>
                <w:szCs w:val="14"/>
                <w:color w:val="auto"/>
              </w:rPr>
              <w:t>11,685,904</w:t>
            </w:r>
          </w:p>
        </w:tc>
        <w:tc>
          <w:tcPr>
            <w:tcW w:w="1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line="152" w:lineRule="exact"/>
              <w:rPr>
                <w:sz w:val="20"/>
                <w:szCs w:val="20"/>
                <w:color w:val="auto"/>
              </w:rPr>
            </w:pPr>
            <w:r>
              <w:rPr>
                <w:rFonts w:ascii="Arial" w:cs="Arial" w:eastAsia="Arial" w:hAnsi="Arial"/>
                <w:sz w:val="14"/>
                <w:szCs w:val="14"/>
                <w:color w:val="auto"/>
              </w:rPr>
              <w:t>116,859</w:t>
            </w:r>
          </w:p>
        </w:tc>
        <w:tc>
          <w:tcPr>
            <w:tcW w:w="940" w:type="dxa"/>
            <w:vAlign w:val="bottom"/>
          </w:tcPr>
          <w:p>
            <w:pPr>
              <w:jc w:val="right"/>
              <w:ind w:right="50"/>
              <w:spacing w:after="0" w:line="152" w:lineRule="exact"/>
              <w:rPr>
                <w:sz w:val="20"/>
                <w:szCs w:val="20"/>
                <w:color w:val="auto"/>
              </w:rPr>
            </w:pPr>
            <w:r>
              <w:rPr>
                <w:rFonts w:ascii="Arial" w:cs="Arial" w:eastAsia="Arial" w:hAnsi="Arial"/>
                <w:sz w:val="14"/>
                <w:szCs w:val="14"/>
                <w:color w:val="auto"/>
                <w:w w:val="97"/>
              </w:rPr>
              <w:t>$ 68,347,784</w:t>
            </w:r>
          </w:p>
        </w:tc>
        <w:tc>
          <w:tcPr>
            <w:tcW w:w="20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line="152" w:lineRule="exact"/>
              <w:rPr>
                <w:sz w:val="20"/>
                <w:szCs w:val="20"/>
                <w:color w:val="auto"/>
              </w:rPr>
            </w:pPr>
            <w:r>
              <w:rPr>
                <w:rFonts w:ascii="Arial" w:cs="Arial" w:eastAsia="Arial" w:hAnsi="Arial"/>
                <w:sz w:val="14"/>
                <w:szCs w:val="14"/>
                <w:color w:val="auto"/>
                <w:w w:val="92"/>
              </w:rPr>
              <w:t>(2,496,981)</w:t>
            </w:r>
          </w:p>
        </w:tc>
        <w:tc>
          <w:tcPr>
            <w:tcW w:w="900" w:type="dxa"/>
            <w:vAlign w:val="bottom"/>
          </w:tcPr>
          <w:p>
            <w:pPr>
              <w:jc w:val="right"/>
              <w:ind w:right="30"/>
              <w:spacing w:after="0" w:line="152" w:lineRule="exact"/>
              <w:rPr>
                <w:sz w:val="20"/>
                <w:szCs w:val="20"/>
                <w:color w:val="auto"/>
              </w:rPr>
            </w:pPr>
            <w:r>
              <w:rPr>
                <w:rFonts w:ascii="Arial" w:cs="Arial" w:eastAsia="Arial" w:hAnsi="Arial"/>
                <w:sz w:val="14"/>
                <w:szCs w:val="14"/>
                <w:color w:val="auto"/>
                <w:w w:val="95"/>
              </w:rPr>
              <w:t>$ 25,471,668</w:t>
            </w:r>
          </w:p>
        </w:tc>
        <w:tc>
          <w:tcPr>
            <w:tcW w:w="900" w:type="dxa"/>
            <w:vAlign w:val="bottom"/>
          </w:tcPr>
          <w:p>
            <w:pPr>
              <w:jc w:val="right"/>
              <w:ind w:right="10"/>
              <w:spacing w:after="0" w:line="152" w:lineRule="exact"/>
              <w:rPr>
                <w:sz w:val="20"/>
                <w:szCs w:val="20"/>
                <w:color w:val="auto"/>
              </w:rPr>
            </w:pPr>
            <w:r>
              <w:rPr>
                <w:rFonts w:ascii="Arial" w:cs="Arial" w:eastAsia="Arial" w:hAnsi="Arial"/>
                <w:sz w:val="14"/>
                <w:szCs w:val="14"/>
                <w:color w:val="auto"/>
              </w:rPr>
              <w:t>1,024,444</w:t>
            </w:r>
          </w:p>
        </w:tc>
        <w:tc>
          <w:tcPr>
            <w:tcW w:w="920" w:type="dxa"/>
            <w:vAlign w:val="bottom"/>
          </w:tcPr>
          <w:p>
            <w:pPr>
              <w:jc w:val="right"/>
              <w:spacing w:after="0" w:line="152" w:lineRule="exact"/>
              <w:rPr>
                <w:sz w:val="20"/>
                <w:szCs w:val="20"/>
                <w:color w:val="auto"/>
              </w:rPr>
            </w:pPr>
            <w:r>
              <w:rPr>
                <w:rFonts w:ascii="Arial" w:cs="Arial" w:eastAsia="Arial" w:hAnsi="Arial"/>
                <w:sz w:val="14"/>
                <w:szCs w:val="14"/>
                <w:color w:val="auto"/>
              </w:rPr>
              <w:t>$ (2,712,522)</w:t>
            </w:r>
          </w:p>
        </w:tc>
        <w:tc>
          <w:tcPr>
            <w:tcW w:w="900" w:type="dxa"/>
            <w:vAlign w:val="bottom"/>
          </w:tcPr>
          <w:p>
            <w:pPr>
              <w:jc w:val="right"/>
              <w:ind w:right="10"/>
              <w:spacing w:after="0" w:line="152" w:lineRule="exact"/>
              <w:rPr>
                <w:sz w:val="20"/>
                <w:szCs w:val="20"/>
                <w:color w:val="auto"/>
              </w:rPr>
            </w:pPr>
            <w:r>
              <w:rPr>
                <w:rFonts w:ascii="Arial" w:cs="Arial" w:eastAsia="Arial" w:hAnsi="Arial"/>
                <w:sz w:val="14"/>
                <w:szCs w:val="14"/>
                <w:color w:val="auto"/>
                <w:w w:val="97"/>
              </w:rPr>
              <w:t>$ 88,726,808</w:t>
            </w:r>
          </w:p>
        </w:tc>
      </w:tr>
      <w:tr>
        <w:trPr>
          <w:trHeight w:val="20"/>
        </w:trPr>
        <w:tc>
          <w:tcPr>
            <w:tcW w:w="2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____________________________________________________________________________________________________________________________________________</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520"/>
          </w:cols>
          <w:pgMar w:left="240" w:top="532" w:right="139" w:bottom="1440" w:gutter="0" w:footer="0" w:header="0"/>
        </w:sectPr>
      </w:pPr>
    </w:p>
    <w:bookmarkStart w:id="6" w:name="page7"/>
    <w:bookmarkEnd w:id="6"/>
    <w:p>
      <w:pPr>
        <w:ind w:left="738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Six months ended June 30,</w:t>
            </w:r>
          </w:p>
        </w:tc>
        <w:tc>
          <w:tcPr>
            <w:tcW w:w="45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254875" cy="144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44780"/>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Adjustments to reconcile net income to net 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-107315</wp:posOffset>
            </wp:positionV>
            <wp:extent cx="725487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Net losses (gains) on investments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Amortization of bond premium, net</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Amortization of discount and issuance costs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Stock-based compensation</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Deferred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(Increase) decrease in operating assets: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Premiums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Reinsurance receivables, net</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Other assets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Increase (decrease) in operating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Loss and loss adjustment expense reserves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Advance premiums</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Reinsurance balances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auto"/>
        </w:rPr>
        <w:t>Deferred ceding commission revenue</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Accounts payable, 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44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14478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725487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Purchase - fixed-maturity securities 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Purchase - equity securities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Sale and redemption - fixed-maturity securities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Sale or maturity - fixed-maturity securities available-for-sale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Sale - equity securities 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Acquisition of fixed assets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254875"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144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25487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proceeds from issuance of common stock</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Withholding taxes paid on net exercise of stock options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Withholding taxes paid on vested retricted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-114300</wp:posOffset>
            </wp:positionV>
            <wp:extent cx="725487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Purchase of treasury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6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39,363</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3,980,972</w:t>
            </w:r>
          </w:p>
        </w:tc>
      </w:tr>
      <w:tr>
        <w:trPr>
          <w:trHeight w:val="399"/>
        </w:trPr>
        <w:tc>
          <w:tcPr>
            <w:tcW w:w="360" w:type="dxa"/>
            <w:vAlign w:val="bottom"/>
          </w:tcPr>
          <w:p>
            <w:pPr>
              <w:spacing w:after="0"/>
              <w:rPr>
                <w:sz w:val="24"/>
                <w:szCs w:val="24"/>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629,860</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(75,917)</w:t>
            </w:r>
          </w:p>
        </w:tc>
      </w:tr>
      <w:tr>
        <w:trPr>
          <w:trHeight w:val="203"/>
        </w:trPr>
        <w:tc>
          <w:tcPr>
            <w:tcW w:w="36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833,592</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644,872</w:t>
            </w:r>
          </w:p>
        </w:tc>
      </w:tr>
      <w:tr>
        <w:trPr>
          <w:trHeight w:val="203"/>
        </w:trPr>
        <w:tc>
          <w:tcPr>
            <w:tcW w:w="36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174,110</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258,269</w:t>
            </w:r>
          </w:p>
        </w:tc>
      </w:tr>
      <w:tr>
        <w:trPr>
          <w:trHeight w:val="203"/>
        </w:trPr>
        <w:tc>
          <w:tcPr>
            <w:tcW w:w="36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80,196</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w:t>
            </w:r>
          </w:p>
        </w:tc>
      </w:tr>
      <w:tr>
        <w:trPr>
          <w:trHeight w:val="203"/>
        </w:trPr>
        <w:tc>
          <w:tcPr>
            <w:tcW w:w="36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284,477</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127,768</w:t>
            </w:r>
          </w:p>
        </w:tc>
      </w:tr>
      <w:tr>
        <w:trPr>
          <w:trHeight w:val="209"/>
        </w:trPr>
        <w:tc>
          <w:tcPr>
            <w:tcW w:w="360" w:type="dxa"/>
            <w:vAlign w:val="bottom"/>
          </w:tcPr>
          <w:p>
            <w:pPr>
              <w:spacing w:after="0"/>
              <w:rPr>
                <w:sz w:val="18"/>
                <w:szCs w:val="18"/>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(183,840)</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(303,093)</w:t>
            </w:r>
          </w:p>
        </w:tc>
      </w:tr>
      <w:tr>
        <w:trPr>
          <w:trHeight w:val="399"/>
        </w:trPr>
        <w:tc>
          <w:tcPr>
            <w:tcW w:w="360" w:type="dxa"/>
            <w:vAlign w:val="bottom"/>
          </w:tcPr>
          <w:p>
            <w:pPr>
              <w:spacing w:after="0"/>
              <w:rPr>
                <w:sz w:val="24"/>
                <w:szCs w:val="24"/>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(1,119,494)</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(1,476,679)</w:t>
            </w:r>
          </w:p>
        </w:tc>
      </w:tr>
      <w:tr>
        <w:trPr>
          <w:trHeight w:val="203"/>
        </w:trPr>
        <w:tc>
          <w:tcPr>
            <w:tcW w:w="36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626,726</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(2,346,078)</w:t>
            </w:r>
          </w:p>
        </w:tc>
      </w:tr>
      <w:tr>
        <w:trPr>
          <w:trHeight w:val="203"/>
        </w:trPr>
        <w:tc>
          <w:tcPr>
            <w:tcW w:w="360" w:type="dxa"/>
            <w:vAlign w:val="bottom"/>
          </w:tcPr>
          <w:p>
            <w:pPr>
              <w:spacing w:after="0"/>
              <w:rPr>
                <w:sz w:val="17"/>
                <w:szCs w:val="17"/>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(1,224,520)</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(1,044,884)</w:t>
            </w:r>
          </w:p>
        </w:tc>
      </w:tr>
      <w:tr>
        <w:trPr>
          <w:trHeight w:val="209"/>
        </w:trPr>
        <w:tc>
          <w:tcPr>
            <w:tcW w:w="360" w:type="dxa"/>
            <w:vAlign w:val="bottom"/>
          </w:tcPr>
          <w:p>
            <w:pPr>
              <w:spacing w:after="0"/>
              <w:rPr>
                <w:sz w:val="18"/>
                <w:szCs w:val="18"/>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(1,400,192)</w:t>
            </w:r>
          </w:p>
        </w:tc>
        <w:tc>
          <w:tcPr>
            <w:tcW w:w="340" w:type="dxa"/>
            <w:vAlign w:val="bottom"/>
          </w:tcPr>
          <w:p>
            <w:pPr>
              <w:spacing w:after="0"/>
              <w:rPr>
                <w:sz w:val="18"/>
                <w:szCs w:val="18"/>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173,510</w:t>
            </w:r>
          </w:p>
        </w:tc>
      </w:tr>
      <w:tr>
        <w:trPr>
          <w:trHeight w:val="399"/>
        </w:trPr>
        <w:tc>
          <w:tcPr>
            <w:tcW w:w="360" w:type="dxa"/>
            <w:vAlign w:val="bottom"/>
          </w:tcPr>
          <w:p>
            <w:pPr>
              <w:spacing w:after="0"/>
              <w:rPr>
                <w:sz w:val="24"/>
                <w:szCs w:val="24"/>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458,234</w:t>
            </w:r>
          </w:p>
        </w:tc>
        <w:tc>
          <w:tcPr>
            <w:tcW w:w="340" w:type="dxa"/>
            <w:vAlign w:val="bottom"/>
          </w:tcPr>
          <w:p>
            <w:pPr>
              <w:spacing w:after="0"/>
              <w:rPr>
                <w:sz w:val="24"/>
                <w:szCs w:val="24"/>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2,459,857</w:t>
            </w:r>
          </w:p>
        </w:tc>
      </w:tr>
      <w:tr>
        <w:trPr>
          <w:trHeight w:val="203"/>
        </w:trPr>
        <w:tc>
          <w:tcPr>
            <w:tcW w:w="36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5,492,266</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4,040,470</w:t>
            </w:r>
          </w:p>
        </w:tc>
      </w:tr>
      <w:tr>
        <w:trPr>
          <w:trHeight w:val="203"/>
        </w:trPr>
        <w:tc>
          <w:tcPr>
            <w:tcW w:w="36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1,354,136</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748,419</w:t>
            </w:r>
          </w:p>
        </w:tc>
      </w:tr>
      <w:tr>
        <w:trPr>
          <w:trHeight w:val="203"/>
        </w:trPr>
        <w:tc>
          <w:tcPr>
            <w:tcW w:w="36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1,621,658</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657,922</w:t>
            </w:r>
          </w:p>
        </w:tc>
      </w:tr>
      <w:tr>
        <w:trPr>
          <w:trHeight w:val="203"/>
        </w:trPr>
        <w:tc>
          <w:tcPr>
            <w:tcW w:w="36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492,722</w:t>
            </w:r>
          </w:p>
        </w:tc>
        <w:tc>
          <w:tcPr>
            <w:tcW w:w="34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377,125</w:t>
            </w:r>
          </w:p>
        </w:tc>
      </w:tr>
      <w:tr>
        <w:trPr>
          <w:trHeight w:val="217"/>
        </w:trPr>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(2,206,196)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(849,674)</w:t>
            </w:r>
          </w:p>
        </w:tc>
      </w:tr>
      <w:tr>
        <w:trPr>
          <w:trHeight w:val="208"/>
        </w:trPr>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5,953,098</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7,372,859</w:t>
            </w:r>
          </w:p>
        </w:tc>
      </w:tr>
    </w:tbl>
    <w:p>
      <w:pPr>
        <w:spacing w:after="0" w:line="397"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6"/>
          <w:szCs w:val="16"/>
          <w:color w:val="auto"/>
        </w:rPr>
        <w:t>(42,305,529)</w:t>
      </w:r>
      <w:r>
        <w:rPr>
          <w:sz w:val="20"/>
          <w:szCs w:val="20"/>
          <w:color w:val="auto"/>
        </w:rPr>
        <w:tab/>
      </w:r>
      <w:r>
        <w:rPr>
          <w:rFonts w:ascii="Arial" w:cs="Arial" w:eastAsia="Arial" w:hAnsi="Arial"/>
          <w:sz w:val="16"/>
          <w:szCs w:val="16"/>
          <w:color w:val="auto"/>
        </w:rPr>
        <w:t>(36,818,402)</w:t>
      </w:r>
    </w:p>
    <w:p>
      <w:pPr>
        <w:spacing w:after="0" w:line="25" w:lineRule="exact"/>
        <w:rPr>
          <w:sz w:val="20"/>
          <w:szCs w:val="20"/>
          <w:color w:val="auto"/>
        </w:rPr>
      </w:pPr>
    </w:p>
    <w:p>
      <w:pPr>
        <w:ind w:left="500"/>
        <w:spacing w:after="0"/>
        <w:tabs>
          <w:tab w:leader="none" w:pos="1860" w:val="left"/>
        </w:tabs>
        <w:rPr>
          <w:sz w:val="20"/>
          <w:szCs w:val="20"/>
          <w:color w:val="auto"/>
        </w:rPr>
      </w:pPr>
      <w:r>
        <w:rPr>
          <w:rFonts w:ascii="Arial" w:cs="Arial" w:eastAsia="Arial" w:hAnsi="Arial"/>
          <w:sz w:val="16"/>
          <w:szCs w:val="16"/>
          <w:color w:val="auto"/>
        </w:rPr>
        <w:t>(8,221,931)</w:t>
      </w:r>
      <w:r>
        <w:rPr>
          <w:sz w:val="20"/>
          <w:szCs w:val="20"/>
          <w:color w:val="auto"/>
        </w:rPr>
        <w:tab/>
      </w:r>
      <w:r>
        <w:rPr>
          <w:rFonts w:ascii="Arial" w:cs="Arial" w:eastAsia="Arial" w:hAnsi="Arial"/>
          <w:sz w:val="16"/>
          <w:szCs w:val="16"/>
          <w:color w:val="auto"/>
        </w:rPr>
        <w:t>(2,275,929)</w:t>
      </w:r>
    </w:p>
    <w:p>
      <w:pPr>
        <w:spacing w:after="0" w:line="19" w:lineRule="exact"/>
        <w:rPr>
          <w:sz w:val="20"/>
          <w:szCs w:val="20"/>
          <w:color w:val="auto"/>
        </w:rPr>
      </w:pPr>
    </w:p>
    <w:p>
      <w:pPr>
        <w:ind w:left="2060" w:hanging="893"/>
        <w:spacing w:after="0"/>
        <w:tabs>
          <w:tab w:leader="none" w:pos="2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200,000</w:t>
      </w:r>
    </w:p>
    <w:p>
      <w:pPr>
        <w:spacing w:after="0" w:line="18"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15,172,845</w:t>
      </w:r>
      <w:r>
        <w:rPr>
          <w:rFonts w:ascii="Arial" w:cs="Arial" w:eastAsia="Arial" w:hAnsi="Arial"/>
          <w:sz w:val="14"/>
          <w:szCs w:val="14"/>
          <w:color w:val="auto"/>
        </w:rPr>
        <w:t>5,732,151</w:t>
      </w:r>
    </w:p>
    <w:p>
      <w:pPr>
        <w:spacing w:after="0" w:line="18"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4,746,825</w:t>
      </w:r>
      <w:r>
        <w:rPr>
          <w:rFonts w:ascii="Arial" w:cs="Arial" w:eastAsia="Arial" w:hAnsi="Arial"/>
          <w:sz w:val="14"/>
          <w:szCs w:val="14"/>
          <w:color w:val="auto"/>
        </w:rPr>
        <w:t>798,973</w:t>
      </w:r>
    </w:p>
    <w:p>
      <w:pPr>
        <w:spacing w:after="0" w:line="18"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(1,347,578)</w:t>
      </w:r>
      <w:r>
        <w:rPr>
          <w:rFonts w:ascii="Arial" w:cs="Arial" w:eastAsia="Arial" w:hAnsi="Arial"/>
          <w:sz w:val="14"/>
          <w:szCs w:val="14"/>
          <w:color w:val="auto"/>
        </w:rPr>
        <w:t>(1,301,850)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73736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37360" cy="15875"/>
                    </a:xfrm>
                    <a:prstGeom prst="rect">
                      <a:avLst/>
                    </a:prstGeom>
                    <a:noFill/>
                  </pic:spPr>
                </pic:pic>
              </a:graphicData>
            </a:graphic>
          </wp:anchor>
        </w:drawing>
      </w:r>
    </w:p>
    <w:p>
      <w:pPr>
        <w:spacing w:after="0" w:line="18"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16"/>
          <w:szCs w:val="16"/>
          <w:color w:val="auto"/>
        </w:rPr>
        <w:t>(31,955,368)</w:t>
      </w:r>
      <w:r>
        <w:rPr>
          <w:sz w:val="20"/>
          <w:szCs w:val="20"/>
          <w:color w:val="auto"/>
        </w:rPr>
        <w:tab/>
      </w:r>
      <w:r>
        <w:rPr>
          <w:rFonts w:ascii="Arial" w:cs="Arial" w:eastAsia="Arial" w:hAnsi="Arial"/>
          <w:sz w:val="16"/>
          <w:szCs w:val="16"/>
          <w:color w:val="auto"/>
        </w:rPr>
        <w:t>(33,665,057)</w:t>
      </w:r>
    </w:p>
    <w:p>
      <w:pPr>
        <w:spacing w:after="0" w:line="200" w:lineRule="exact"/>
        <w:rPr>
          <w:sz w:val="20"/>
          <w:szCs w:val="20"/>
          <w:color w:val="auto"/>
        </w:rPr>
      </w:pPr>
    </w:p>
    <w:p>
      <w:pPr>
        <w:spacing w:after="0" w:line="249" w:lineRule="exact"/>
        <w:rPr>
          <w:sz w:val="20"/>
          <w:szCs w:val="20"/>
          <w:color w:val="auto"/>
        </w:rPr>
      </w:pPr>
    </w:p>
    <w:p>
      <w:pPr>
        <w:ind w:left="1840" w:hanging="673"/>
        <w:spacing w:after="0"/>
        <w:tabs>
          <w:tab w:leader="none" w:pos="1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30,136,699</w:t>
      </w:r>
    </w:p>
    <w:p>
      <w:pPr>
        <w:spacing w:after="0" w:line="24"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6"/>
          <w:szCs w:val="16"/>
          <w:color w:val="auto"/>
        </w:rPr>
        <w:t>46,883</w:t>
      </w:r>
      <w:r>
        <w:rPr>
          <w:rFonts w:ascii="Arial" w:cs="Arial" w:eastAsia="Arial" w:hAnsi="Arial"/>
          <w:sz w:val="14"/>
          <w:szCs w:val="14"/>
          <w:color w:val="auto"/>
        </w:rPr>
        <w:t>39,361</w:t>
      </w:r>
    </w:p>
    <w:p>
      <w:pPr>
        <w:spacing w:after="0" w:line="19"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1040" w:type="dxa"/>
            <w:vAlign w:val="bottom"/>
          </w:tcPr>
          <w:p>
            <w:pPr>
              <w:jc w:val="right"/>
              <w:ind w:right="318"/>
              <w:spacing w:after="0"/>
              <w:rPr>
                <w:sz w:val="20"/>
                <w:szCs w:val="20"/>
                <w:color w:val="auto"/>
              </w:rPr>
            </w:pPr>
            <w:r>
              <w:rPr>
                <w:rFonts w:ascii="Arial" w:cs="Arial" w:eastAsia="Arial" w:hAnsi="Arial"/>
                <w:sz w:val="16"/>
                <w:szCs w:val="16"/>
                <w:color w:val="auto"/>
                <w:w w:val="90"/>
              </w:rPr>
              <w:t>(341,770)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040" w:type="dxa"/>
            <w:vAlign w:val="bottom"/>
          </w:tcPr>
          <w:p>
            <w:pPr>
              <w:jc w:val="right"/>
              <w:ind w:right="318"/>
              <w:spacing w:after="0"/>
              <w:rPr>
                <w:sz w:val="20"/>
                <w:szCs w:val="20"/>
                <w:color w:val="auto"/>
              </w:rPr>
            </w:pPr>
            <w:r>
              <w:rPr>
                <w:rFonts w:ascii="Arial" w:cs="Arial" w:eastAsia="Arial" w:hAnsi="Arial"/>
                <w:sz w:val="16"/>
                <w:szCs w:val="16"/>
                <w:color w:val="auto"/>
              </w:rPr>
              <w:t>(21,523)</w:t>
            </w:r>
          </w:p>
        </w:tc>
        <w:tc>
          <w:tcPr>
            <w:tcW w:w="960" w:type="dxa"/>
            <w:vAlign w:val="bottom"/>
          </w:tcPr>
          <w:p>
            <w:pPr>
              <w:jc w:val="right"/>
              <w:spacing w:after="0"/>
              <w:rPr>
                <w:sz w:val="20"/>
                <w:szCs w:val="20"/>
                <w:color w:val="auto"/>
              </w:rPr>
            </w:pPr>
            <w:r>
              <w:rPr>
                <w:rFonts w:ascii="Arial" w:cs="Arial" w:eastAsia="Arial" w:hAnsi="Arial"/>
                <w:sz w:val="16"/>
                <w:szCs w:val="16"/>
                <w:color w:val="auto"/>
              </w:rPr>
              <w:t>(8,888)</w:t>
            </w:r>
          </w:p>
        </w:tc>
      </w:tr>
      <w:tr>
        <w:trPr>
          <w:trHeight w:val="209"/>
        </w:trPr>
        <w:tc>
          <w:tcPr>
            <w:tcW w:w="1040" w:type="dxa"/>
            <w:vAlign w:val="bottom"/>
          </w:tcPr>
          <w:p>
            <w:pPr>
              <w:jc w:val="right"/>
              <w:ind w:right="318"/>
              <w:spacing w:after="0"/>
              <w:rPr>
                <w:sz w:val="20"/>
                <w:szCs w:val="20"/>
                <w:color w:val="auto"/>
              </w:rPr>
            </w:pPr>
            <w:r>
              <w:rPr>
                <w:rFonts w:ascii="Arial" w:cs="Arial" w:eastAsia="Arial" w:hAnsi="Arial"/>
                <w:sz w:val="16"/>
                <w:szCs w:val="16"/>
                <w:color w:val="auto"/>
                <w:w w:val="90"/>
              </w:rPr>
              <w:t>(540,223)</w:t>
            </w:r>
          </w:p>
        </w:tc>
        <w:tc>
          <w:tcPr>
            <w:tcW w:w="960" w:type="dxa"/>
            <w:vAlign w:val="bottom"/>
          </w:tcPr>
          <w:p>
            <w:pPr>
              <w:jc w:val="right"/>
              <w:spacing w:after="0"/>
              <w:rPr>
                <w:sz w:val="20"/>
                <w:szCs w:val="20"/>
                <w:color w:val="auto"/>
              </w:rPr>
            </w:pPr>
            <w:r>
              <w:rPr>
                <w:rFonts w:ascii="Arial" w:cs="Arial" w:eastAsia="Arial" w:hAnsi="Arial"/>
                <w:sz w:val="16"/>
                <w:szCs w:val="16"/>
                <w:color w:val="auto"/>
              </w:rPr>
              <w:t>(48,396)</w:t>
            </w:r>
          </w:p>
        </w:tc>
      </w:tr>
    </w:tbl>
    <w:p>
      <w:pPr>
        <w:spacing w:after="0" w:line="20" w:lineRule="exact"/>
        <w:rPr>
          <w:sz w:val="20"/>
          <w:szCs w:val="20"/>
          <w:color w:val="auto"/>
        </w:rPr>
      </w:pPr>
    </w:p>
    <w:p>
      <w:pPr>
        <w:sectPr>
          <w:pgSz w:w="11900" w:h="16838" w:orient="portrait"/>
          <w:cols w:equalWidth="0" w:num="2">
            <w:col w:w="7980" w:space="720"/>
            <w:col w:w="2720"/>
          </w:cols>
          <w:pgMar w:left="240" w:top="532" w:right="2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(2,134,759)</w:t>
            </w:r>
          </w:p>
        </w:tc>
        <w:tc>
          <w:tcPr>
            <w:tcW w:w="3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(1,513,633)</w:t>
            </w:r>
          </w:p>
        </w:tc>
      </w:tr>
      <w:tr>
        <w:trPr>
          <w:trHeight w:val="208"/>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Net cash flows (used in) provided by financing activities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(2,991,392)</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28,605,143</w:t>
            </w:r>
          </w:p>
        </w:tc>
      </w:tr>
      <w:tr>
        <w:trPr>
          <w:trHeight w:val="203"/>
        </w:trPr>
        <w:tc>
          <w:tcPr>
            <w:tcW w:w="8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color w:val="auto"/>
              </w:rPr>
              <w:t>(Decrease) increase in cash and cash equivalents</w:t>
            </w:r>
          </w:p>
        </w:tc>
        <w:tc>
          <w:tcPr>
            <w:tcW w:w="3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
              <w:spacing w:after="0"/>
              <w:rPr>
                <w:sz w:val="20"/>
                <w:szCs w:val="20"/>
                <w:color w:val="auto"/>
              </w:rPr>
            </w:pPr>
            <w:r>
              <w:rPr>
                <w:rFonts w:ascii="Arial" w:cs="Arial" w:eastAsia="Arial" w:hAnsi="Arial"/>
                <w:sz w:val="16"/>
                <w:szCs w:val="16"/>
                <w:color w:val="auto"/>
              </w:rPr>
              <w:t>(28,993,662)</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2,312,945</w:t>
            </w:r>
          </w:p>
        </w:tc>
      </w:tr>
      <w:tr>
        <w:trPr>
          <w:trHeight w:val="208"/>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48,381,633</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12,044,520</w:t>
            </w: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3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19,387,971</w:t>
            </w: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14,357,465</w:t>
            </w:r>
          </w:p>
        </w:tc>
      </w:tr>
      <w:tr>
        <w:trPr>
          <w:trHeight w:val="20"/>
        </w:trPr>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3"/>
        </w:trPr>
        <w:tc>
          <w:tcPr>
            <w:tcW w:w="87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income taxes</w:t>
            </w:r>
          </w:p>
        </w:tc>
        <w:tc>
          <w:tcPr>
            <w:tcW w:w="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801,000</w:t>
            </w:r>
          </w:p>
        </w:tc>
        <w:tc>
          <w:tcPr>
            <w:tcW w:w="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1,762,000</w:t>
            </w:r>
          </w:p>
        </w:tc>
      </w:tr>
      <w:tr>
        <w:trPr>
          <w:trHeight w:val="190"/>
        </w:trPr>
        <w:tc>
          <w:tcPr>
            <w:tcW w:w="8700" w:type="dxa"/>
            <w:vAlign w:val="bottom"/>
          </w:tcPr>
          <w:p>
            <w:pPr>
              <w:ind w:left="4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8"/>
              <w:spacing w:after="0"/>
              <w:rPr>
                <w:sz w:val="20"/>
                <w:szCs w:val="20"/>
                <w:color w:val="auto"/>
              </w:rPr>
            </w:pPr>
            <w:r>
              <w:rPr>
                <w:rFonts w:ascii="Arial" w:cs="Arial" w:eastAsia="Arial" w:hAnsi="Arial"/>
                <w:sz w:val="16"/>
                <w:szCs w:val="16"/>
                <w:color w:val="auto"/>
              </w:rPr>
              <w:t>875,417</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w:t>
            </w:r>
          </w:p>
        </w:tc>
      </w:tr>
      <w:tr>
        <w:trPr>
          <w:trHeight w:val="213"/>
        </w:trPr>
        <w:tc>
          <w:tcPr>
            <w:tcW w:w="8700" w:type="dxa"/>
            <w:vAlign w:val="bottom"/>
          </w:tcPr>
          <w:p>
            <w:pPr>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type w:val="continuous"/>
        </w:sectPr>
      </w:pPr>
    </w:p>
    <w:bookmarkStart w:id="7" w:name="page8"/>
    <w:bookmarkEnd w:id="7"/>
    <w:p>
      <w:pPr>
        <w:ind w:left="3680"/>
        <w:spacing w:after="0"/>
        <w:rPr>
          <w:sz w:val="20"/>
          <w:szCs w:val="20"/>
          <w:color w:val="auto"/>
        </w:rPr>
      </w:pPr>
      <w:r>
        <w:rPr>
          <w:rFonts w:ascii="Arial" w:cs="Arial" w:eastAsia="Arial" w:hAnsi="Arial"/>
          <w:sz w:val="16"/>
          <w:szCs w:val="16"/>
          <w:b w:val="1"/>
          <w:bCs w:val="1"/>
          <w:color w:val="auto"/>
        </w:rPr>
        <w:t>KINGSTONE COMPANIES, INC. AND SUBSIDIARIES</w:t>
      </w:r>
    </w:p>
    <w:p>
      <w:pPr>
        <w:spacing w:after="0" w:line="158"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Nature of Business and Basis of Presentation</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Kingstone Companies, Inc. (referred to herein as "Kingstone" or the “Company”), through its wholly owned subsidiary, Kingstone Insurance Company (“KICO”), underwrites property and casualty insurance to small businesses and individuals exclusively through independent agents and brokers. KICO is a licensed insurance company in the States of New York, New Jersey, Rhode Island, Massachusetts, Pennsylvania, Connecticut, Maine, New Hampshire and Texas. KICO is currently offering its property and casualty insurance products in New York, New Jersey, Rhode Island, Massachusetts and Pennsylvania. Although New Jersey, Rhode Island and Massachusetts are now growing expansion markets for the Company, 94.1% and 95.4% of KICO’s direct written premiums for the three months and six months ended June 30, 2018, respectively, came from the New York policies.</w:t>
      </w:r>
    </w:p>
    <w:p>
      <w:pPr>
        <w:spacing w:after="0" w:line="113"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(“GAAP”) for interim financial information and the instructions to Securities and Exchange Commission (“SEC”) Form 10-Q and Article 10 of SEC Regulation S-X. The principles for condensed interim financial information do not require the inclusion of all the information and footnotes required by generally accepted accounting principles for complete financial statements. Therefore, these condensed consolidated financial statements should be read in conjunction with the consolidated financial statements as of and for the year ended December 31, 2017 and notes thereto included in the Company’s Annual Report on Form 10-K filed with the SEC on March 15, 2018.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statement of the Company’s financial position and results of operations. The results of operations for the six months ended June 30, 2018 may not be indicative of the results that may be expected for the year ending December 31, 2018.</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Use of Estimates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auto"/>
        </w:rPr>
        <w:t>Principles of Consolidation</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consolidated financial statements consist of Kingstone and its wholly owned subsidiaries: KICO and its wholly owned subsidiaries, CMIC Properties, Inc. (“Properties”) and 15 Joys Lane, LLC (“15 Joys Lane”), which together own the land and building from which KICO operates. All significant inter-company account balances and transactions have been eliminated in consolidation.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Changes</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 Revenue from Contracts with Customers (Topic 606) (“ASU 2014-09”). The core principle of the new guidance is that an entity should recognize revenue to reflect the transfer of goods and services to customers in an amount equal to the consideration the entity receives or expects to receive. ASU 2014-09, as amended by ASU 2015-14, ASU 2016-08, ASU 2016-10 and ASU 2016-20, is effective for annual reporting periods beginning after December 15, 2017, including interim periods within that reporting period. The Company adopted ASU 2014-09 effective January 1, 2018. The standard excludes from its scope the accounting for insurance contracts, financial instruments, and certain other agreements that are governed under other GAAP guidance. Accordingly, the adoption of ASU 2014-09, as amended, did not have a material impact on the Company’s condensed consolidated financial statements.</w:t>
      </w:r>
    </w:p>
    <w:p>
      <w:pPr>
        <w:spacing w:after="0" w:line="114"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In January 2016, the FASB issued ASU 2016-01 – Financial Instruments – Overall (Subtopic 825-10): Recognition and Measurement of Financial Assets and Financial Liabilities (“ASU 2016-01”). Effective January 1, 2018, the Company has adopted the provisions of ASU 2016-01. The updated guidance requires equity investments, including limited partnership interests, except those accounted for under the equity method of accounting, that have readily determinable fair value to be measured at fair value with any changes in fair value recognized in net income. Equity securities that do not have readily determinable fair values may be measured at estimated fair value or cost less impairment, if any, adjusted for subsequent observable price changes, with changes in the carrying value recognized in net income. A qualitative assessment for impairment is required for equity investments without readily determinable fair values. The updated guidance also eliminates the requirement to disclose the method and significant assumptions used to estimate the fair value of financial instruments measured at amortized cost on the balance sheet. The adoption of this guidance resulted in the recognition of approximately $414,000 of net after-tax unrealized gains on equity investments as a cumulative effect adjustment that increased retained earnings as of January 1, 2018 and decreased accumulated other comprehensive income (“AOCI”) by the same amount. The Company elected to report changes in the fair value of equity investments in net losses on investments in the condensed consolidated statements of income and comprehensive income (loss). At December 31, 2017, equity investments were classified as available-for-sale on the Company's balance sheet. However, upon adoption, the updated guidance eliminated the available-for-sale balance sheet classification for equity investments. Furthermore, the three months and six months ended June 30, 2018 net loss on investments of approximately $107,000 and $630,000, respectively, in the condensed consolidated statements of income and comprehensive income (loss) included approximately $30,000 and $310,000, respectively, from the fair value change of equity securities.</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August 2016, FASB issued ASU 2016-15 – Statement of Cash Flows (Topic 320): Classification of Certain Cash Receipts and Cash Payments (“ASU 2016-15”). The revised ASU provides accounting guidance for eight specific cash flow issues. FASB issued the standard to clarify areas where GAAP has been either unclear or lacking in specific guidance. The effective date of ASU 2016-15 was for interim and annual reporting periods beginning after December 15, 2017. The Company adopted this ASU effective January 1, 2018 and it did not have a material impact on the Company’s condensed consolidated financial statements.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 May 2017, the FASB issued ASU 2017-09, Compensation - Stock Compensation (Topic 718): Scope of Modification Accounting (“ASU 2017-09”). ASU 2017-09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amendment should be applied on a prospective basis. The effective date of ASU 2017-09 was for interim and annual reporting periods, beginning after December 15, 2017. The Company adopted this ASU effective January 1, 2018 and it did not have a material impact on the Company’s condensed consolidated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9" w:name="page10"/>
    <w:bookmarkEnd w:id="9"/>
    <w:p>
      <w:pPr>
        <w:jc w:val="both"/>
        <w:spacing w:after="0" w:line="268" w:lineRule="auto"/>
        <w:rPr>
          <w:sz w:val="20"/>
          <w:szCs w:val="20"/>
          <w:color w:val="auto"/>
        </w:rPr>
      </w:pPr>
      <w:r>
        <w:rPr>
          <w:rFonts w:ascii="Arial" w:cs="Arial" w:eastAsia="Arial" w:hAnsi="Arial"/>
          <w:sz w:val="16"/>
          <w:szCs w:val="16"/>
          <w:color w:val="auto"/>
        </w:rPr>
        <w:t>In February 2018, the FASB issued ASU 2018-02 - Income Statement – Reporting Comprehensive Income (Topic 220) – Reclassification of Certain Tax Effects from Accumulated Other Comprehensive Income (“ASU 2018-02”). The deferred income tax liability for unrealized gains on available-for-sale securities that were re-measured due to the reduction in corporate income tax rates under the Tax Cuts and Jobs Act of 2017 (the “Act”) resulted in a stranded tax effect within AOCI. This is due to the effect of the tax rate change being recorded through continuing operations as required under Accounting Standards Codification 740 (“ASC 740”). The revised ASU allows for the reclassification of the stranded tax effects as a result of the Act from AOCI to retained earnings and requires certain other disclosures. Effective December 31, 2017, the Company chose to early adopt the provisions of ASU 2018-02 and recorded a one-time reclassification of $182,912 from AOCI to retained earnings for the stranded tax effects resulting from the newly enacted corporate tax rate. The amount of the reclassification was the difference between the historical corporate tax rate and the newly enacted 21% corporate tax rate.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Accounting Pronouncements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In February 2016, FASB issued ASU 2016-02 – Leases (Topic 842) (“ASU 2016-02”). Under this ASU, lessees will recognize a right-of-use-asset and corresponding liability on the balance sheet for all leases, except for leases covering a period of fewer than 12 months. The liability is to be measured as the present value of the future minimum lease payments taking into account renewal options if applicable plus initial incremental direct costs such as commissions. The minimum payments are discounted using the rate implicit in the lease or, if not known, the lessee’s incremental borrowing rate. The lessee’s income statement treatment for leases will vary depending on the nature of what is being leased. A financing type lease is present when, among other matters, the asset is being leased for a substantial portion of its economic life or has an end-of-term title transfer or a bargain purchase option as in today’s practice. The payment of the liability set up for such leases will be apportioned between interest and principal; the right-of use asset will be generally amortized on a straight-line basis. If the lease does not qualify as a financing type lease, it will be accounted for on the income statement as rent on a straight-line basis. The guidance will be effective for the Company for interim and annual reporting periods beginning after December 15, 2018. The Company does not expect the adoption of ASU 2016-02 to have a significant impact on its consolidated results of operations, financial position or cash flows.</w:t>
      </w:r>
    </w:p>
    <w:p>
      <w:pPr>
        <w:spacing w:after="0" w:line="10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June 2016,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on January 1, 2020. The Company is currently evaluating the effect the updated guidance will have on its consolidated financial statements.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Note 3 -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Fixed-Maturity Securities</w:t>
      </w:r>
    </w:p>
    <w:p>
      <w:pPr>
        <w:spacing w:after="0" w:line="2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amortized cost, fair value, and unrealized gains and losses of investments in fixed-maturity securities classified as available-for-sale as of June 30, 2018 and December 31, 2017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14"/>
                <w:szCs w:val="14"/>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8"/>
              </w:rPr>
              <w:t>Gross Unrealized Losses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Unrealized</w:t>
            </w: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2"/>
                <w:szCs w:val="12"/>
                <w:color w:val="auto"/>
              </w:rPr>
            </w:pPr>
          </w:p>
        </w:tc>
        <w:tc>
          <w:tcPr>
            <w:tcW w:w="90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right"/>
              <w:ind w:right="143"/>
              <w:spacing w:after="0" w:line="139" w:lineRule="exact"/>
              <w:rPr>
                <w:sz w:val="20"/>
                <w:szCs w:val="20"/>
                <w:color w:val="auto"/>
              </w:rPr>
            </w:pPr>
            <w:r>
              <w:rPr>
                <w:rFonts w:ascii="Arial" w:cs="Arial" w:eastAsia="Arial" w:hAnsi="Arial"/>
                <w:sz w:val="14"/>
                <w:szCs w:val="14"/>
                <w:b w:val="1"/>
                <w:bCs w:val="1"/>
                <w:color w:val="auto"/>
                <w:w w:val="84"/>
              </w:rPr>
              <w:t>Less than 12</w:t>
            </w:r>
          </w:p>
        </w:tc>
        <w:tc>
          <w:tcPr>
            <w:tcW w:w="1100" w:type="dxa"/>
            <w:vAlign w:val="bottom"/>
            <w:gridSpan w:val="2"/>
          </w:tcPr>
          <w:p>
            <w:pPr>
              <w:jc w:val="right"/>
              <w:ind w:right="60"/>
              <w:spacing w:after="0" w:line="139" w:lineRule="exact"/>
              <w:rPr>
                <w:sz w:val="20"/>
                <w:szCs w:val="20"/>
                <w:color w:val="auto"/>
              </w:rPr>
            </w:pPr>
            <w:r>
              <w:rPr>
                <w:rFonts w:ascii="Arial" w:cs="Arial" w:eastAsia="Arial" w:hAnsi="Arial"/>
                <w:sz w:val="14"/>
                <w:szCs w:val="14"/>
                <w:b w:val="1"/>
                <w:bCs w:val="1"/>
                <w:color w:val="auto"/>
              </w:rPr>
              <w:t>More than 12</w:t>
            </w:r>
          </w:p>
        </w:tc>
        <w:tc>
          <w:tcPr>
            <w:tcW w:w="200" w:type="dxa"/>
            <w:vAlign w:val="bottom"/>
          </w:tcPr>
          <w:p>
            <w:pPr>
              <w:spacing w:after="0"/>
              <w:rPr>
                <w:sz w:val="12"/>
                <w:szCs w:val="12"/>
                <w:color w:val="auto"/>
              </w:rPr>
            </w:pPr>
          </w:p>
        </w:tc>
        <w:tc>
          <w:tcPr>
            <w:tcW w:w="940" w:type="dxa"/>
            <w:vAlign w:val="bottom"/>
          </w:tcPr>
          <w:p>
            <w:pPr>
              <w:jc w:val="right"/>
              <w:ind w:right="341"/>
              <w:spacing w:after="0" w:line="13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0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88"/>
              </w:rPr>
              <w:t>Gains/</w:t>
            </w:r>
          </w:p>
        </w:tc>
      </w:tr>
      <w:tr>
        <w:trPr>
          <w:trHeight w:val="171"/>
        </w:trPr>
        <w:tc>
          <w:tcPr>
            <w:tcW w:w="4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Months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r>
      <w:tr>
        <w:trPr>
          <w:trHeight w:val="228"/>
        </w:trPr>
        <w:tc>
          <w:tcPr>
            <w:tcW w:w="4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Fixed-Maturity Securities: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7"/>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U.S. Treasury securities and</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obligations of U.S. government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corporations and agencies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8,207,870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9,970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(40,264)</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8,177,576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(30,294)</w:t>
            </w:r>
          </w:p>
        </w:tc>
      </w:tr>
      <w:tr>
        <w:trPr>
          <w:trHeight w:val="203"/>
        </w:trPr>
        <w:tc>
          <w:tcPr>
            <w:tcW w:w="4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7"/>
        </w:trPr>
        <w:tc>
          <w:tcPr>
            <w:tcW w:w="4640" w:type="dxa"/>
            <w:vAlign w:val="bottom"/>
            <w:gridSpan w:val="2"/>
          </w:tcPr>
          <w:p>
            <w:pPr>
              <w:ind w:left="60"/>
              <w:spacing w:after="0"/>
              <w:rPr>
                <w:sz w:val="20"/>
                <w:szCs w:val="20"/>
                <w:color w:val="auto"/>
              </w:rPr>
            </w:pPr>
            <w:r>
              <w:rPr>
                <w:rFonts w:ascii="Arial" w:cs="Arial" w:eastAsia="Arial" w:hAnsi="Arial"/>
                <w:sz w:val="16"/>
                <w:szCs w:val="16"/>
                <w:color w:val="auto"/>
              </w:rPr>
              <w:t>Political subdivisions of States,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4"/>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Territories and Possessions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6,575,843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39,481</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(55,324)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(28,074)</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6,531,926</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(43,917)</w:t>
            </w:r>
          </w:p>
        </w:tc>
      </w:tr>
      <w:tr>
        <w:trPr>
          <w:trHeight w:val="203"/>
        </w:trPr>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8"/>
        </w:trPr>
        <w:tc>
          <w:tcPr>
            <w:tcW w:w="46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Corporate and other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Industrial and miscellaneous</w:t>
            </w:r>
          </w:p>
        </w:tc>
        <w:tc>
          <w:tcPr>
            <w:tcW w:w="14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w w:val="92"/>
              </w:rPr>
              <w:t>107,013,925</w:t>
            </w:r>
          </w:p>
        </w:tc>
        <w:tc>
          <w:tcPr>
            <w:tcW w:w="24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111,659</w:t>
            </w:r>
          </w:p>
        </w:tc>
        <w:tc>
          <w:tcPr>
            <w:tcW w:w="22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(2,617,680)</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(377,166)</w:t>
            </w:r>
          </w:p>
        </w:tc>
        <w:tc>
          <w:tcPr>
            <w:tcW w:w="2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w w:val="92"/>
              </w:rPr>
              <w:t>104,130,738</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(2,883,187)</w:t>
            </w:r>
          </w:p>
        </w:tc>
      </w:tr>
      <w:tr>
        <w:trPr>
          <w:trHeight w:val="203"/>
        </w:trPr>
        <w:tc>
          <w:tcPr>
            <w:tcW w:w="4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7"/>
        </w:trPr>
        <w:tc>
          <w:tcPr>
            <w:tcW w:w="4640" w:type="dxa"/>
            <w:vAlign w:val="bottom"/>
            <w:gridSpan w:val="2"/>
          </w:tcPr>
          <w:p>
            <w:pPr>
              <w:ind w:left="60"/>
              <w:spacing w:after="0"/>
              <w:rPr>
                <w:sz w:val="20"/>
                <w:szCs w:val="20"/>
                <w:color w:val="auto"/>
              </w:rPr>
            </w:pPr>
            <w:r>
              <w:rPr>
                <w:rFonts w:ascii="Arial" w:cs="Arial" w:eastAsia="Arial" w:hAnsi="Arial"/>
                <w:sz w:val="16"/>
                <w:szCs w:val="16"/>
                <w:color w:val="auto"/>
              </w:rPr>
              <w:t>Residential mortgage and other</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9"/>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asset backed securities (1)</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23,910,131</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306,272</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(159,886)</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(351,224)</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23,705,293</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(204,838)</w:t>
            </w:r>
          </w:p>
        </w:tc>
      </w:tr>
      <w:tr>
        <w:trPr>
          <w:trHeight w:val="203"/>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w w:val="92"/>
              </w:rPr>
              <w:t>145,707,769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467,382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(2,873,154)</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(756,464)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w w:val="92"/>
              </w:rPr>
              <w:t>142,545,533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(3,162,236)</w:t>
            </w:r>
          </w:p>
        </w:tc>
      </w:tr>
      <w:tr>
        <w:trPr>
          <w:trHeight w:val="20"/>
        </w:trPr>
        <w:tc>
          <w:tcPr>
            <w:tcW w:w="4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left="600" w:hanging="295"/>
        <w:spacing w:after="0" w:line="275"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FHBLNY credit line. As of June 30, 2018, the fair value of the eligible investments was approximately $6,083,000. KICO will retain all rights regarding all securities if pledged as collateral. As of June 30, 2018, there was no outstanding balance on the credit line.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14"/>
                <w:szCs w:val="14"/>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8"/>
              </w:rPr>
              <w:t>Gross Unrealized Losses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Unrealized</w:t>
            </w: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2"/>
                <w:szCs w:val="12"/>
                <w:color w:val="auto"/>
              </w:rPr>
            </w:pPr>
          </w:p>
        </w:tc>
        <w:tc>
          <w:tcPr>
            <w:tcW w:w="90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right"/>
              <w:ind w:right="143"/>
              <w:spacing w:after="0" w:line="139" w:lineRule="exact"/>
              <w:rPr>
                <w:sz w:val="20"/>
                <w:szCs w:val="20"/>
                <w:color w:val="auto"/>
              </w:rPr>
            </w:pPr>
            <w:r>
              <w:rPr>
                <w:rFonts w:ascii="Arial" w:cs="Arial" w:eastAsia="Arial" w:hAnsi="Arial"/>
                <w:sz w:val="14"/>
                <w:szCs w:val="14"/>
                <w:b w:val="1"/>
                <w:bCs w:val="1"/>
                <w:color w:val="auto"/>
                <w:w w:val="84"/>
              </w:rPr>
              <w:t>Less than 12</w:t>
            </w:r>
          </w:p>
        </w:tc>
        <w:tc>
          <w:tcPr>
            <w:tcW w:w="1100" w:type="dxa"/>
            <w:vAlign w:val="bottom"/>
            <w:gridSpan w:val="2"/>
          </w:tcPr>
          <w:p>
            <w:pPr>
              <w:jc w:val="right"/>
              <w:ind w:right="60"/>
              <w:spacing w:after="0" w:line="139" w:lineRule="exact"/>
              <w:rPr>
                <w:sz w:val="20"/>
                <w:szCs w:val="20"/>
                <w:color w:val="auto"/>
              </w:rPr>
            </w:pPr>
            <w:r>
              <w:rPr>
                <w:rFonts w:ascii="Arial" w:cs="Arial" w:eastAsia="Arial" w:hAnsi="Arial"/>
                <w:sz w:val="14"/>
                <w:szCs w:val="14"/>
                <w:b w:val="1"/>
                <w:bCs w:val="1"/>
                <w:color w:val="auto"/>
              </w:rPr>
              <w:t>More than 12</w:t>
            </w:r>
          </w:p>
        </w:tc>
        <w:tc>
          <w:tcPr>
            <w:tcW w:w="200" w:type="dxa"/>
            <w:vAlign w:val="bottom"/>
          </w:tcPr>
          <w:p>
            <w:pPr>
              <w:spacing w:after="0"/>
              <w:rPr>
                <w:sz w:val="12"/>
                <w:szCs w:val="12"/>
                <w:color w:val="auto"/>
              </w:rPr>
            </w:pPr>
          </w:p>
        </w:tc>
        <w:tc>
          <w:tcPr>
            <w:tcW w:w="940" w:type="dxa"/>
            <w:vAlign w:val="bottom"/>
          </w:tcPr>
          <w:p>
            <w:pPr>
              <w:jc w:val="right"/>
              <w:ind w:right="341"/>
              <w:spacing w:after="0" w:line="13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0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88"/>
              </w:rPr>
              <w:t>Gains/</w:t>
            </w:r>
          </w:p>
        </w:tc>
      </w:tr>
      <w:tr>
        <w:trPr>
          <w:trHeight w:val="171"/>
        </w:trPr>
        <w:tc>
          <w:tcPr>
            <w:tcW w:w="4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Months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r>
      <w:tr>
        <w:trPr>
          <w:trHeight w:val="228"/>
        </w:trPr>
        <w:tc>
          <w:tcPr>
            <w:tcW w:w="4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Fixed-Maturity Securities: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7"/>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U.S. Treasury securities and</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obligations of U.S. government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corporations and agencies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03"/>
        </w:trPr>
        <w:tc>
          <w:tcPr>
            <w:tcW w:w="4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7"/>
        </w:trPr>
        <w:tc>
          <w:tcPr>
            <w:tcW w:w="4640" w:type="dxa"/>
            <w:vAlign w:val="bottom"/>
            <w:gridSpan w:val="2"/>
          </w:tcPr>
          <w:p>
            <w:pPr>
              <w:ind w:left="60"/>
              <w:spacing w:after="0"/>
              <w:rPr>
                <w:sz w:val="20"/>
                <w:szCs w:val="20"/>
                <w:color w:val="auto"/>
              </w:rPr>
            </w:pPr>
            <w:r>
              <w:rPr>
                <w:rFonts w:ascii="Arial" w:cs="Arial" w:eastAsia="Arial" w:hAnsi="Arial"/>
                <w:sz w:val="16"/>
                <w:szCs w:val="16"/>
                <w:color w:val="auto"/>
              </w:rPr>
              <w:t>Political subdivisions of States,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4"/>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Territories and Possessions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11,096,122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250,135</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(30,814)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11,315,443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219,321</w:t>
            </w:r>
          </w:p>
        </w:tc>
      </w:tr>
      <w:tr>
        <w:trPr>
          <w:trHeight w:val="203"/>
        </w:trPr>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8"/>
        </w:trPr>
        <w:tc>
          <w:tcPr>
            <w:tcW w:w="46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Corporate and other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Industrial and miscellaneous</w:t>
            </w:r>
          </w:p>
        </w:tc>
        <w:tc>
          <w:tcPr>
            <w:tcW w:w="14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87,562,631</w:t>
            </w:r>
          </w:p>
        </w:tc>
        <w:tc>
          <w:tcPr>
            <w:tcW w:w="24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1,189,207</w:t>
            </w:r>
          </w:p>
        </w:tc>
        <w:tc>
          <w:tcPr>
            <w:tcW w:w="22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(269,857)</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(340,516)</w:t>
            </w:r>
          </w:p>
        </w:tc>
        <w:tc>
          <w:tcPr>
            <w:tcW w:w="2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88,141,465</w:t>
            </w:r>
          </w:p>
        </w:tc>
        <w:tc>
          <w:tcPr>
            <w:tcW w:w="24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578,834</w:t>
            </w:r>
          </w:p>
        </w:tc>
      </w:tr>
      <w:tr>
        <w:trPr>
          <w:trHeight w:val="203"/>
        </w:trPr>
        <w:tc>
          <w:tcPr>
            <w:tcW w:w="4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7"/>
        </w:trPr>
        <w:tc>
          <w:tcPr>
            <w:tcW w:w="4640" w:type="dxa"/>
            <w:vAlign w:val="bottom"/>
            <w:gridSpan w:val="2"/>
          </w:tcPr>
          <w:p>
            <w:pPr>
              <w:ind w:left="60"/>
              <w:spacing w:after="0"/>
              <w:rPr>
                <w:sz w:val="20"/>
                <w:szCs w:val="20"/>
                <w:color w:val="auto"/>
              </w:rPr>
            </w:pPr>
            <w:r>
              <w:rPr>
                <w:rFonts w:ascii="Arial" w:cs="Arial" w:eastAsia="Arial" w:hAnsi="Arial"/>
                <w:sz w:val="16"/>
                <w:szCs w:val="16"/>
                <w:color w:val="auto"/>
              </w:rPr>
              <w:t>Residential mortgage and other</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9"/>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asset backed securities (1)</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20,463,353</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305,499</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(48,482)</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(189,022)</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20,531,348</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67,995</w:t>
            </w:r>
          </w:p>
        </w:tc>
      </w:tr>
      <w:tr>
        <w:trPr>
          <w:trHeight w:val="203"/>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w w:val="92"/>
              </w:rPr>
              <w:t>119,122,106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1,744,841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(349,153)</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(529,538)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w w:val="92"/>
              </w:rPr>
              <w:t>119,988,256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866,150</w:t>
            </w:r>
          </w:p>
        </w:tc>
      </w:tr>
      <w:tr>
        <w:trPr>
          <w:trHeight w:val="20"/>
        </w:trPr>
        <w:tc>
          <w:tcPr>
            <w:tcW w:w="4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left="600" w:hanging="295"/>
        <w:spacing w:after="0" w:line="275" w:lineRule="auto"/>
        <w:tabs>
          <w:tab w:leader="none" w:pos="6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in the FHLBNY (see Note 7). The eligible collateral would be pledged to FHLBNY if KICO draws an advance from the FHBLNY credit line. As of December 31, 2017, the fair value of the eligible investments was approximately $6,703,000. KICO will retain all rights regarding all securities if pledged as collateral. As of December 31, 2017, there was no outstanding balance on the credit line.</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amortized cost and fair value of the Company’s investments in available-for-sale fixed-maturity securities by contractual maturity as of June 30, 2018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is shown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December 31, 2017</w:t>
            </w:r>
          </w:p>
        </w:tc>
      </w:tr>
      <w:tr>
        <w:trPr>
          <w:trHeight w:val="139"/>
        </w:trPr>
        <w:tc>
          <w:tcPr>
            <w:tcW w:w="5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82"/>
              <w:spacing w:after="0" w:line="139" w:lineRule="exact"/>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282"/>
              <w:spacing w:after="0" w:line="139" w:lineRule="exact"/>
              <w:rPr>
                <w:sz w:val="20"/>
                <w:szCs w:val="20"/>
                <w:color w:val="auto"/>
              </w:rPr>
            </w:pPr>
            <w:r>
              <w:rPr>
                <w:rFonts w:ascii="Arial" w:cs="Arial" w:eastAsia="Arial" w:hAnsi="Arial"/>
                <w:sz w:val="14"/>
                <w:szCs w:val="14"/>
                <w:b w:val="1"/>
                <w:bCs w:val="1"/>
                <w:color w:val="auto"/>
              </w:rPr>
              <w:t>Amortized</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1"/>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5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than one year</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1,203,463</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1,200,051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2,585,479</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2,595,938</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One to five years</w:t>
            </w:r>
          </w:p>
        </w:tc>
        <w:tc>
          <w:tcPr>
            <w:tcW w:w="28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38,902,149</w:t>
            </w:r>
          </w:p>
        </w:tc>
        <w:tc>
          <w:tcPr>
            <w:tcW w:w="3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38,568,541</w:t>
            </w:r>
          </w:p>
        </w:tc>
        <w:tc>
          <w:tcPr>
            <w:tcW w:w="28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31,716,345</w:t>
            </w:r>
          </w:p>
        </w:tc>
        <w:tc>
          <w:tcPr>
            <w:tcW w:w="3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32,065,197</w:t>
            </w: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Five to ten years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78,718,637</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76,286,658</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62,702,945</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63,129,543</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More than 10 years</w:t>
            </w:r>
          </w:p>
        </w:tc>
        <w:tc>
          <w:tcPr>
            <w:tcW w:w="28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2,973,389</w:t>
            </w:r>
          </w:p>
        </w:tc>
        <w:tc>
          <w:tcPr>
            <w:tcW w:w="3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2,784,990</w:t>
            </w:r>
          </w:p>
        </w:tc>
        <w:tc>
          <w:tcPr>
            <w:tcW w:w="280" w:type="dxa"/>
            <w:vAlign w:val="bottom"/>
          </w:tcPr>
          <w:p>
            <w:pPr>
              <w:spacing w:after="0"/>
              <w:rPr>
                <w:sz w:val="17"/>
                <w:szCs w:val="17"/>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1,653,984</w:t>
            </w:r>
          </w:p>
        </w:tc>
        <w:tc>
          <w:tcPr>
            <w:tcW w:w="3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1,666,230</w:t>
            </w:r>
          </w:p>
        </w:tc>
      </w:tr>
      <w:tr>
        <w:trPr>
          <w:trHeight w:val="20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 and other asset backed securities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23,910,131</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23,705,293</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20,463,353</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20,531,348</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145,707,769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142,545,533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119,122,106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119,988,256</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auto"/>
        </w:rPr>
        <w:t>Equity Securities</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Effective January 1, 2018, the Company adopted ASU 2016-01, which resulted in changes in the fair value of equity securities held at June 30, 2018 being reported in net income instead of being reported in comprehensive income (loss). See Note 2, Accounting Policies, for additional discussion. The cost, fair value, and unrealized gains and losses of investments in equity securities as of June 30, 2018 and December 31, 2017 are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39"/>
        </w:trPr>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5"/>
              <w:spacing w:after="0" w:line="139"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w w:val="98"/>
              </w:rPr>
              <w:t>Gross Unrealized Losses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05"/>
              <w:spacing w:after="0"/>
              <w:rPr>
                <w:sz w:val="20"/>
                <w:szCs w:val="20"/>
                <w:color w:val="auto"/>
              </w:rPr>
            </w:pPr>
            <w:r>
              <w:rPr>
                <w:rFonts w:ascii="Arial" w:cs="Arial" w:eastAsia="Arial" w:hAnsi="Arial"/>
                <w:sz w:val="14"/>
                <w:szCs w:val="14"/>
                <w:b w:val="1"/>
                <w:bCs w:val="1"/>
                <w:color w:val="auto"/>
                <w:w w:val="90"/>
              </w:rPr>
              <w:t>Unrealized</w:t>
            </w:r>
          </w:p>
        </w:tc>
      </w:tr>
      <w:tr>
        <w:trPr>
          <w:trHeight w:val="139"/>
        </w:trPr>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04"/>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center"/>
              <w:ind w:right="145"/>
              <w:spacing w:after="0" w:line="139" w:lineRule="exact"/>
              <w:rPr>
                <w:sz w:val="20"/>
                <w:szCs w:val="20"/>
                <w:color w:val="auto"/>
              </w:rPr>
            </w:pPr>
            <w:r>
              <w:rPr>
                <w:rFonts w:ascii="Arial" w:cs="Arial" w:eastAsia="Arial" w:hAnsi="Arial"/>
                <w:sz w:val="14"/>
                <w:szCs w:val="14"/>
                <w:b w:val="1"/>
                <w:bCs w:val="1"/>
                <w:color w:val="auto"/>
                <w:w w:val="87"/>
              </w:rPr>
              <w:t>Less than 12</w:t>
            </w:r>
          </w:p>
        </w:tc>
        <w:tc>
          <w:tcPr>
            <w:tcW w:w="1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More than 12</w:t>
            </w:r>
          </w:p>
        </w:tc>
        <w:tc>
          <w:tcPr>
            <w:tcW w:w="240" w:type="dxa"/>
            <w:vAlign w:val="bottom"/>
          </w:tcPr>
          <w:p>
            <w:pPr>
              <w:spacing w:after="0"/>
              <w:rPr>
                <w:sz w:val="12"/>
                <w:szCs w:val="12"/>
                <w:color w:val="auto"/>
              </w:rPr>
            </w:pPr>
          </w:p>
        </w:tc>
        <w:tc>
          <w:tcPr>
            <w:tcW w:w="90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00" w:type="dxa"/>
            <w:vAlign w:val="bottom"/>
          </w:tcPr>
          <w:p>
            <w:pPr>
              <w:jc w:val="center"/>
              <w:ind w:right="125"/>
              <w:spacing w:after="0" w:line="139" w:lineRule="exact"/>
              <w:rPr>
                <w:sz w:val="20"/>
                <w:szCs w:val="20"/>
                <w:color w:val="auto"/>
              </w:rPr>
            </w:pPr>
            <w:r>
              <w:rPr>
                <w:rFonts w:ascii="Arial" w:cs="Arial" w:eastAsia="Arial" w:hAnsi="Arial"/>
                <w:sz w:val="14"/>
                <w:szCs w:val="14"/>
                <w:b w:val="1"/>
                <w:bCs w:val="1"/>
                <w:color w:val="auto"/>
                <w:w w:val="88"/>
              </w:rPr>
              <w:t>Gains/</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2"/>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2"/>
              </w:rPr>
              <w:t>Months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3"/>
              </w:rPr>
              <w:t>(Losses)</w:t>
            </w:r>
          </w:p>
        </w:tc>
      </w:tr>
      <w:tr>
        <w:trPr>
          <w:trHeight w:val="228"/>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Equity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Preferred stocks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6,792,075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25,774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(43,333)</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(114,138)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6,660,378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(131,697)</w:t>
            </w: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stocks and exchange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8"/>
        </w:trPr>
        <w:tc>
          <w:tcPr>
            <w:tcW w:w="4580" w:type="dxa"/>
            <w:vAlign w:val="bottom"/>
          </w:tcPr>
          <w:p>
            <w:pPr>
              <w:ind w:left="300"/>
              <w:spacing w:after="0"/>
              <w:rPr>
                <w:sz w:val="20"/>
                <w:szCs w:val="20"/>
                <w:color w:val="auto"/>
              </w:rPr>
            </w:pPr>
            <w:r>
              <w:rPr>
                <w:rFonts w:ascii="Arial" w:cs="Arial" w:eastAsia="Arial" w:hAnsi="Arial"/>
                <w:sz w:val="16"/>
                <w:szCs w:val="16"/>
                <w:color w:val="auto"/>
              </w:rPr>
              <w:t>traded mutual funds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7"/>
              </w:rPr>
              <w:t>10,498,963</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662,490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(436,847)</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7"/>
              </w:rPr>
              <w:t>10,724,606</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225,643</w:t>
            </w: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7"/>
              </w:rPr>
              <w:t>17,291,038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688,264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(480,180)</w:t>
            </w:r>
          </w:p>
        </w:tc>
        <w:tc>
          <w:tcPr>
            <w:tcW w:w="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w w:val="97"/>
              </w:rPr>
              <w:t>17,384,984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93,946</w:t>
            </w:r>
          </w:p>
        </w:tc>
      </w:tr>
      <w:tr>
        <w:trPr>
          <w:trHeight w:val="553"/>
        </w:trPr>
        <w:tc>
          <w:tcPr>
            <w:tcW w:w="4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39"/>
        </w:trPr>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5"/>
              <w:spacing w:after="0" w:line="139"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w w:val="98"/>
              </w:rPr>
              <w:t>Gross Unrealized Losses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05"/>
              <w:spacing w:after="0"/>
              <w:rPr>
                <w:sz w:val="20"/>
                <w:szCs w:val="20"/>
                <w:color w:val="auto"/>
              </w:rPr>
            </w:pPr>
            <w:r>
              <w:rPr>
                <w:rFonts w:ascii="Arial" w:cs="Arial" w:eastAsia="Arial" w:hAnsi="Arial"/>
                <w:sz w:val="14"/>
                <w:szCs w:val="14"/>
                <w:b w:val="1"/>
                <w:bCs w:val="1"/>
                <w:color w:val="auto"/>
                <w:w w:val="90"/>
              </w:rPr>
              <w:t>Unrealized</w:t>
            </w:r>
          </w:p>
        </w:tc>
      </w:tr>
      <w:tr>
        <w:trPr>
          <w:trHeight w:val="139"/>
        </w:trPr>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04"/>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center"/>
              <w:ind w:right="145"/>
              <w:spacing w:after="0" w:line="139" w:lineRule="exact"/>
              <w:rPr>
                <w:sz w:val="20"/>
                <w:szCs w:val="20"/>
                <w:color w:val="auto"/>
              </w:rPr>
            </w:pPr>
            <w:r>
              <w:rPr>
                <w:rFonts w:ascii="Arial" w:cs="Arial" w:eastAsia="Arial" w:hAnsi="Arial"/>
                <w:sz w:val="14"/>
                <w:szCs w:val="14"/>
                <w:b w:val="1"/>
                <w:bCs w:val="1"/>
                <w:color w:val="auto"/>
                <w:w w:val="87"/>
              </w:rPr>
              <w:t>Less than 12</w:t>
            </w:r>
          </w:p>
        </w:tc>
        <w:tc>
          <w:tcPr>
            <w:tcW w:w="1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More than 12</w:t>
            </w:r>
          </w:p>
        </w:tc>
        <w:tc>
          <w:tcPr>
            <w:tcW w:w="240" w:type="dxa"/>
            <w:vAlign w:val="bottom"/>
          </w:tcPr>
          <w:p>
            <w:pPr>
              <w:spacing w:after="0"/>
              <w:rPr>
                <w:sz w:val="12"/>
                <w:szCs w:val="12"/>
                <w:color w:val="auto"/>
              </w:rPr>
            </w:pPr>
          </w:p>
        </w:tc>
        <w:tc>
          <w:tcPr>
            <w:tcW w:w="90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00" w:type="dxa"/>
            <w:vAlign w:val="bottom"/>
          </w:tcPr>
          <w:p>
            <w:pPr>
              <w:jc w:val="center"/>
              <w:ind w:right="125"/>
              <w:spacing w:after="0" w:line="139" w:lineRule="exact"/>
              <w:rPr>
                <w:sz w:val="20"/>
                <w:szCs w:val="20"/>
                <w:color w:val="auto"/>
              </w:rPr>
            </w:pPr>
            <w:r>
              <w:rPr>
                <w:rFonts w:ascii="Arial" w:cs="Arial" w:eastAsia="Arial" w:hAnsi="Arial"/>
                <w:sz w:val="14"/>
                <w:szCs w:val="14"/>
                <w:b w:val="1"/>
                <w:bCs w:val="1"/>
                <w:color w:val="auto"/>
                <w:w w:val="88"/>
              </w:rPr>
              <w:t>Gains/</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2"/>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2"/>
              </w:rPr>
              <w:t>Months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3"/>
              </w:rPr>
              <w:t>(Losses)</w:t>
            </w:r>
          </w:p>
        </w:tc>
      </w:tr>
      <w:tr>
        <w:trPr>
          <w:trHeight w:val="228"/>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Equity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Preferred stocks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7,081,099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60,867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(20,313)</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(120,712)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7,000,941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(80,158)</w:t>
            </w: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stocks and exchange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8"/>
        </w:trPr>
        <w:tc>
          <w:tcPr>
            <w:tcW w:w="4580" w:type="dxa"/>
            <w:vAlign w:val="bottom"/>
          </w:tcPr>
          <w:p>
            <w:pPr>
              <w:ind w:left="300"/>
              <w:spacing w:after="0"/>
              <w:rPr>
                <w:sz w:val="20"/>
                <w:szCs w:val="20"/>
                <w:color w:val="auto"/>
              </w:rPr>
            </w:pPr>
            <w:r>
              <w:rPr>
                <w:rFonts w:ascii="Arial" w:cs="Arial" w:eastAsia="Arial" w:hAnsi="Arial"/>
                <w:sz w:val="16"/>
                <w:szCs w:val="16"/>
                <w:color w:val="auto"/>
              </w:rPr>
              <w:t>traded mutual funds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6,680,742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841,250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(222,205)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(14,530)</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7,285,257</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604,515</w:t>
            </w: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7"/>
              </w:rPr>
              <w:t>13,761,841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902,117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(242,518)</w:t>
            </w:r>
          </w:p>
        </w:tc>
        <w:tc>
          <w:tcPr>
            <w:tcW w:w="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w w:val="97"/>
              </w:rPr>
              <w:t>14,286,198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524,357</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cost, fair value, and unrealized gains and losses of the Company’s other investments as of June 30, 2018 and December 31, 2017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2017</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291"/>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44"/>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24"/>
                <w:szCs w:val="24"/>
                <w:color w:val="auto"/>
              </w:rPr>
            </w:pPr>
          </w:p>
        </w:tc>
        <w:tc>
          <w:tcPr>
            <w:tcW w:w="900" w:type="dxa"/>
            <w:vAlign w:val="bottom"/>
          </w:tcPr>
          <w:p>
            <w:pPr>
              <w:jc w:val="right"/>
              <w:ind w:right="144"/>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center"/>
              <w:ind w:right="264"/>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4"/>
                <w:szCs w:val="24"/>
                <w:color w:val="auto"/>
              </w:rPr>
            </w:pPr>
          </w:p>
        </w:tc>
        <w:tc>
          <w:tcPr>
            <w:tcW w:w="900" w:type="dxa"/>
            <w:vAlign w:val="bottom"/>
          </w:tcPr>
          <w:p>
            <w:pPr>
              <w:jc w:val="right"/>
              <w:ind w:right="144"/>
              <w:spacing w:after="0"/>
              <w:rPr>
                <w:sz w:val="20"/>
                <w:szCs w:val="20"/>
                <w:color w:val="auto"/>
              </w:rPr>
            </w:pPr>
            <w:r>
              <w:rPr>
                <w:rFonts w:ascii="Arial" w:cs="Arial" w:eastAsia="Arial" w:hAnsi="Arial"/>
                <w:sz w:val="14"/>
                <w:szCs w:val="14"/>
                <w:b w:val="1"/>
                <w:bCs w:val="1"/>
                <w:color w:val="auto"/>
                <w:w w:val="93"/>
              </w:rPr>
              <w:t>Unrealized</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Gain</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Cost</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Gain</w:t>
            </w:r>
          </w:p>
        </w:tc>
      </w:tr>
      <w:tr>
        <w:trPr>
          <w:trHeight w:val="228"/>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Investments: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8"/>
        </w:trPr>
        <w:tc>
          <w:tcPr>
            <w:tcW w:w="4580" w:type="dxa"/>
            <w:vAlign w:val="bottom"/>
          </w:tcPr>
          <w:p>
            <w:pPr>
              <w:ind w:left="40"/>
              <w:spacing w:after="0"/>
              <w:rPr>
                <w:sz w:val="20"/>
                <w:szCs w:val="20"/>
                <w:color w:val="auto"/>
              </w:rPr>
            </w:pPr>
            <w:r>
              <w:rPr>
                <w:rFonts w:ascii="Arial" w:cs="Arial" w:eastAsia="Arial" w:hAnsi="Arial"/>
                <w:sz w:val="16"/>
                <w:szCs w:val="16"/>
                <w:color w:val="auto"/>
              </w:rPr>
              <w:t>Hedge fund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2,000,000</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2,120,700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120,700</w:t>
            </w: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2,000,000</w:t>
            </w:r>
          </w:p>
        </w:tc>
        <w:tc>
          <w:tcPr>
            <w:tcW w:w="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2,120,700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120,700</w:t>
            </w:r>
          </w:p>
        </w:tc>
        <w:tc>
          <w:tcPr>
            <w:tcW w:w="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auto"/>
        </w:rPr>
        <w:t>Held-to-Maturity Securities</w:t>
      </w:r>
    </w:p>
    <w:p>
      <w:pPr>
        <w:spacing w:after="0" w:line="2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amortized cost, fair value, and unrealized gains and losses of investments in held-to-maturity fixed-maturity securities as of June 30, 2018 and December 31, 2017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04"/>
              <w:spacing w:after="0" w:line="139"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123"/>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14"/>
                <w:szCs w:val="1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8"/>
              </w:rPr>
              <w:t>Gross Unrealized Losses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Unrealized</w:t>
            </w: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2"/>
                <w:szCs w:val="12"/>
                <w:color w:val="auto"/>
              </w:rPr>
            </w:pPr>
          </w:p>
        </w:tc>
        <w:tc>
          <w:tcPr>
            <w:tcW w:w="900" w:type="dxa"/>
            <w:vAlign w:val="bottom"/>
          </w:tcPr>
          <w:p>
            <w:pPr>
              <w:jc w:val="center"/>
              <w:ind w:right="103"/>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center"/>
              <w:ind w:right="144"/>
              <w:spacing w:after="0" w:line="139" w:lineRule="exact"/>
              <w:rPr>
                <w:sz w:val="20"/>
                <w:szCs w:val="20"/>
                <w:color w:val="auto"/>
              </w:rPr>
            </w:pPr>
            <w:r>
              <w:rPr>
                <w:rFonts w:ascii="Arial" w:cs="Arial" w:eastAsia="Arial" w:hAnsi="Arial"/>
                <w:sz w:val="14"/>
                <w:szCs w:val="14"/>
                <w:b w:val="1"/>
                <w:bCs w:val="1"/>
                <w:color w:val="auto"/>
                <w:w w:val="87"/>
              </w:rPr>
              <w:t>Less than 12</w:t>
            </w:r>
          </w:p>
        </w:tc>
        <w:tc>
          <w:tcPr>
            <w:tcW w:w="1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More than 12</w:t>
            </w:r>
          </w:p>
        </w:tc>
        <w:tc>
          <w:tcPr>
            <w:tcW w:w="280" w:type="dxa"/>
            <w:vAlign w:val="bottom"/>
          </w:tcPr>
          <w:p>
            <w:pPr>
              <w:spacing w:after="0"/>
              <w:rPr>
                <w:sz w:val="12"/>
                <w:szCs w:val="12"/>
                <w:color w:val="auto"/>
              </w:rPr>
            </w:pPr>
          </w:p>
        </w:tc>
        <w:tc>
          <w:tcPr>
            <w:tcW w:w="860" w:type="dxa"/>
            <w:vAlign w:val="bottom"/>
          </w:tcPr>
          <w:p>
            <w:pPr>
              <w:jc w:val="center"/>
              <w:ind w:right="162"/>
              <w:spacing w:after="0" w:line="13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920" w:type="dxa"/>
            <w:vAlign w:val="bottom"/>
          </w:tcPr>
          <w:p>
            <w:pPr>
              <w:jc w:val="center"/>
              <w:ind w:right="124"/>
              <w:spacing w:after="0" w:line="139" w:lineRule="exact"/>
              <w:rPr>
                <w:sz w:val="20"/>
                <w:szCs w:val="20"/>
                <w:color w:val="auto"/>
              </w:rPr>
            </w:pPr>
            <w:r>
              <w:rPr>
                <w:rFonts w:ascii="Arial" w:cs="Arial" w:eastAsia="Arial" w:hAnsi="Arial"/>
                <w:sz w:val="14"/>
                <w:szCs w:val="14"/>
                <w:b w:val="1"/>
                <w:bCs w:val="1"/>
                <w:color w:val="auto"/>
                <w:w w:val="93"/>
              </w:rPr>
              <w:t>Gains/</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2"/>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Months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3"/>
              </w:rPr>
              <w:t>(Losses)</w:t>
            </w:r>
          </w:p>
        </w:tc>
      </w:tr>
      <w:tr>
        <w:trPr>
          <w:trHeight w:val="228"/>
        </w:trPr>
        <w:tc>
          <w:tcPr>
            <w:tcW w:w="4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Held-to-Maturity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U.S. Treasury securities</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729,486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147,553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(5,934)</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871,105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141,619</w:t>
            </w:r>
          </w:p>
        </w:tc>
      </w:tr>
      <w:tr>
        <w:trPr>
          <w:trHeight w:val="203"/>
        </w:trPr>
        <w:tc>
          <w:tcPr>
            <w:tcW w:w="4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Political subdivisions of States,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Territories and Possessions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998,898</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32,522</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1,031,420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32,522</w:t>
            </w:r>
          </w:p>
        </w:tc>
      </w:tr>
      <w:tr>
        <w:trPr>
          <w:trHeight w:val="203"/>
        </w:trPr>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other bonds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8"/>
        </w:trPr>
        <w:tc>
          <w:tcPr>
            <w:tcW w:w="4580" w:type="dxa"/>
            <w:vAlign w:val="bottom"/>
          </w:tcPr>
          <w:p>
            <w:pPr>
              <w:ind w:left="40"/>
              <w:spacing w:after="0"/>
              <w:rPr>
                <w:sz w:val="20"/>
                <w:szCs w:val="20"/>
                <w:color w:val="auto"/>
              </w:rPr>
            </w:pPr>
            <w:r>
              <w:rPr>
                <w:rFonts w:ascii="Arial" w:cs="Arial" w:eastAsia="Arial" w:hAnsi="Arial"/>
                <w:sz w:val="16"/>
                <w:szCs w:val="16"/>
                <w:color w:val="auto"/>
              </w:rPr>
              <w:t>Industrial and miscellaneous</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3,142,359</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33,076</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(38,765)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3,131,020</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(11,339)</w:t>
            </w:r>
          </w:p>
        </w:tc>
      </w:tr>
      <w:tr>
        <w:trPr>
          <w:trHeight w:val="203"/>
        </w:trPr>
        <w:tc>
          <w:tcPr>
            <w:tcW w:w="4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4,870,743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213,151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(44,699)</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5,033,545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162,802</w:t>
            </w:r>
          </w:p>
        </w:tc>
      </w:tr>
      <w:tr>
        <w:trPr>
          <w:trHeight w:val="20"/>
        </w:trPr>
        <w:tc>
          <w:tcPr>
            <w:tcW w:w="4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51"/>
        </w:trPr>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04"/>
              <w:spacing w:after="0" w:line="139"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123"/>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14"/>
                <w:szCs w:val="1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8"/>
              </w:rPr>
              <w:t>Gross Unrealized Losses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Unrealized</w:t>
            </w:r>
          </w:p>
        </w:tc>
      </w:tr>
      <w:tr>
        <w:trPr>
          <w:trHeight w:val="139"/>
        </w:trPr>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2"/>
                <w:szCs w:val="12"/>
                <w:color w:val="auto"/>
              </w:rPr>
            </w:pPr>
          </w:p>
        </w:tc>
        <w:tc>
          <w:tcPr>
            <w:tcW w:w="900" w:type="dxa"/>
            <w:vAlign w:val="bottom"/>
          </w:tcPr>
          <w:p>
            <w:pPr>
              <w:jc w:val="center"/>
              <w:ind w:right="103"/>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center"/>
              <w:ind w:right="144"/>
              <w:spacing w:after="0" w:line="139" w:lineRule="exact"/>
              <w:rPr>
                <w:sz w:val="20"/>
                <w:szCs w:val="20"/>
                <w:color w:val="auto"/>
              </w:rPr>
            </w:pPr>
            <w:r>
              <w:rPr>
                <w:rFonts w:ascii="Arial" w:cs="Arial" w:eastAsia="Arial" w:hAnsi="Arial"/>
                <w:sz w:val="14"/>
                <w:szCs w:val="14"/>
                <w:b w:val="1"/>
                <w:bCs w:val="1"/>
                <w:color w:val="auto"/>
                <w:w w:val="87"/>
              </w:rPr>
              <w:t>Less than 12</w:t>
            </w:r>
          </w:p>
        </w:tc>
        <w:tc>
          <w:tcPr>
            <w:tcW w:w="11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More than 12</w:t>
            </w:r>
          </w:p>
        </w:tc>
        <w:tc>
          <w:tcPr>
            <w:tcW w:w="280" w:type="dxa"/>
            <w:vAlign w:val="bottom"/>
          </w:tcPr>
          <w:p>
            <w:pPr>
              <w:spacing w:after="0"/>
              <w:rPr>
                <w:sz w:val="12"/>
                <w:szCs w:val="12"/>
                <w:color w:val="auto"/>
              </w:rPr>
            </w:pPr>
          </w:p>
        </w:tc>
        <w:tc>
          <w:tcPr>
            <w:tcW w:w="860" w:type="dxa"/>
            <w:vAlign w:val="bottom"/>
          </w:tcPr>
          <w:p>
            <w:pPr>
              <w:jc w:val="center"/>
              <w:ind w:right="162"/>
              <w:spacing w:after="0" w:line="13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2"/>
                <w:szCs w:val="12"/>
                <w:color w:val="auto"/>
              </w:rPr>
            </w:pPr>
          </w:p>
        </w:tc>
        <w:tc>
          <w:tcPr>
            <w:tcW w:w="920" w:type="dxa"/>
            <w:vAlign w:val="bottom"/>
          </w:tcPr>
          <w:p>
            <w:pPr>
              <w:jc w:val="center"/>
              <w:ind w:right="124"/>
              <w:spacing w:after="0" w:line="139" w:lineRule="exact"/>
              <w:rPr>
                <w:sz w:val="20"/>
                <w:szCs w:val="20"/>
                <w:color w:val="auto"/>
              </w:rPr>
            </w:pPr>
            <w:r>
              <w:rPr>
                <w:rFonts w:ascii="Arial" w:cs="Arial" w:eastAsia="Arial" w:hAnsi="Arial"/>
                <w:sz w:val="14"/>
                <w:szCs w:val="14"/>
                <w:b w:val="1"/>
                <w:bCs w:val="1"/>
                <w:color w:val="auto"/>
                <w:w w:val="93"/>
              </w:rPr>
              <w:t>Gains/</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2"/>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2"/>
              </w:rPr>
              <w:t>Months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3"/>
              </w:rPr>
              <w:t>(Losses)</w:t>
            </w:r>
          </w:p>
        </w:tc>
      </w:tr>
      <w:tr>
        <w:trPr>
          <w:trHeight w:val="228"/>
        </w:trPr>
        <w:tc>
          <w:tcPr>
            <w:tcW w:w="4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Held-to-Maturity Securities: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U.S. Treasury securities</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729,466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147,573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(1,729)</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875,310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145,844</w:t>
            </w:r>
          </w:p>
        </w:tc>
      </w:tr>
      <w:tr>
        <w:trPr>
          <w:trHeight w:val="203"/>
        </w:trPr>
        <w:tc>
          <w:tcPr>
            <w:tcW w:w="4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7"/>
        </w:trPr>
        <w:tc>
          <w:tcPr>
            <w:tcW w:w="4580" w:type="dxa"/>
            <w:vAlign w:val="bottom"/>
          </w:tcPr>
          <w:p>
            <w:pPr>
              <w:spacing w:after="0"/>
              <w:rPr>
                <w:sz w:val="20"/>
                <w:szCs w:val="20"/>
                <w:color w:val="auto"/>
              </w:rPr>
            </w:pPr>
            <w:r>
              <w:rPr>
                <w:rFonts w:ascii="Arial" w:cs="Arial" w:eastAsia="Arial" w:hAnsi="Arial"/>
                <w:sz w:val="16"/>
                <w:szCs w:val="16"/>
                <w:color w:val="auto"/>
              </w:rPr>
              <w:t>Political subdivisions of States,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4"/>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Territories and Possessions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998,984</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50,366</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1,049,350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50,366</w:t>
            </w:r>
          </w:p>
        </w:tc>
      </w:tr>
      <w:tr>
        <w:trPr>
          <w:trHeight w:val="203"/>
        </w:trPr>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8"/>
        </w:trPr>
        <w:tc>
          <w:tcPr>
            <w:tcW w:w="4580" w:type="dxa"/>
            <w:vAlign w:val="bottom"/>
            <w:shd w:val="clear" w:color="auto" w:fill="CCEEFF"/>
          </w:tcPr>
          <w:p>
            <w:pPr>
              <w:spacing w:after="0"/>
              <w:rPr>
                <w:sz w:val="20"/>
                <w:szCs w:val="20"/>
                <w:color w:val="auto"/>
              </w:rPr>
            </w:pPr>
            <w:r>
              <w:rPr>
                <w:rFonts w:ascii="Arial" w:cs="Arial" w:eastAsia="Arial" w:hAnsi="Arial"/>
                <w:sz w:val="16"/>
                <w:szCs w:val="16"/>
                <w:color w:val="auto"/>
              </w:rPr>
              <w:t>Corporate and other bonds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8"/>
        </w:trPr>
        <w:tc>
          <w:tcPr>
            <w:tcW w:w="4580" w:type="dxa"/>
            <w:vAlign w:val="bottom"/>
          </w:tcPr>
          <w:p>
            <w:pPr>
              <w:ind w:left="40"/>
              <w:spacing w:after="0"/>
              <w:rPr>
                <w:sz w:val="20"/>
                <w:szCs w:val="20"/>
                <w:color w:val="auto"/>
              </w:rPr>
            </w:pPr>
            <w:r>
              <w:rPr>
                <w:rFonts w:ascii="Arial" w:cs="Arial" w:eastAsia="Arial" w:hAnsi="Arial"/>
                <w:sz w:val="16"/>
                <w:szCs w:val="16"/>
                <w:color w:val="auto"/>
              </w:rPr>
              <w:t>Industrial and miscellaneous</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3,141,358</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90,358</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3,225,416</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84,058</w:t>
            </w:r>
          </w:p>
        </w:tc>
      </w:tr>
      <w:tr>
        <w:trPr>
          <w:trHeight w:val="203"/>
        </w:trPr>
        <w:tc>
          <w:tcPr>
            <w:tcW w:w="4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4,869,808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288,297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(1,729)</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5,150,076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280,268</w:t>
            </w:r>
          </w:p>
        </w:tc>
      </w:tr>
      <w:tr>
        <w:trPr>
          <w:trHeight w:val="20"/>
        </w:trPr>
        <w:tc>
          <w:tcPr>
            <w:tcW w:w="4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various states’ minimum funds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4" w:name="page15"/>
    <w:bookmarkEnd w:id="14"/>
    <w:p>
      <w:pPr>
        <w:spacing w:after="0" w:line="296" w:lineRule="auto"/>
        <w:rPr>
          <w:sz w:val="20"/>
          <w:szCs w:val="20"/>
          <w:color w:val="auto"/>
        </w:rPr>
      </w:pPr>
      <w:r>
        <w:rPr>
          <w:rFonts w:ascii="Arial" w:cs="Arial" w:eastAsia="Arial" w:hAnsi="Arial"/>
          <w:sz w:val="16"/>
          <w:szCs w:val="16"/>
          <w:color w:val="auto"/>
        </w:rPr>
        <w:t>A summary of the amortized cost and fair value of the Company’s investments in held-to-maturity securities by contractual maturity as of June 30, 2018 and December 31, 2017 is shown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7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June 30, 2018</w:t>
            </w:r>
          </w:p>
        </w:tc>
        <w:tc>
          <w:tcPr>
            <w:tcW w:w="27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December 31, 2017</w:t>
            </w:r>
          </w:p>
        </w:tc>
      </w:tr>
      <w:tr>
        <w:trPr>
          <w:trHeight w:val="139"/>
        </w:trPr>
        <w:tc>
          <w:tcPr>
            <w:tcW w:w="5960" w:type="dxa"/>
            <w:vAlign w:val="bottom"/>
          </w:tcPr>
          <w:p>
            <w:pPr>
              <w:spacing w:after="0"/>
              <w:rPr>
                <w:sz w:val="12"/>
                <w:szCs w:val="12"/>
                <w:color w:val="auto"/>
              </w:rPr>
            </w:pPr>
          </w:p>
        </w:tc>
        <w:tc>
          <w:tcPr>
            <w:tcW w:w="13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Amortized</w:t>
            </w:r>
          </w:p>
        </w:tc>
        <w:tc>
          <w:tcPr>
            <w:tcW w:w="1360" w:type="dxa"/>
            <w:vAlign w:val="bottom"/>
          </w:tcPr>
          <w:p>
            <w:pPr>
              <w:spacing w:after="0"/>
              <w:rPr>
                <w:sz w:val="12"/>
                <w:szCs w:val="12"/>
                <w:color w:val="auto"/>
              </w:rPr>
            </w:pPr>
          </w:p>
        </w:tc>
        <w:tc>
          <w:tcPr>
            <w:tcW w:w="13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Amortized</w:t>
            </w:r>
          </w:p>
        </w:tc>
        <w:tc>
          <w:tcPr>
            <w:tcW w:w="1360" w:type="dxa"/>
            <w:vAlign w:val="bottom"/>
          </w:tcPr>
          <w:p>
            <w:pPr>
              <w:spacing w:after="0"/>
              <w:rPr>
                <w:sz w:val="12"/>
                <w:szCs w:val="12"/>
                <w:color w:val="auto"/>
              </w:rPr>
            </w:pPr>
          </w:p>
        </w:tc>
      </w:tr>
      <w:tr>
        <w:trPr>
          <w:trHeight w:val="171"/>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Fair Value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Fair Value</w:t>
            </w:r>
          </w:p>
        </w:tc>
      </w:tr>
    </w:tbl>
    <w:p>
      <w:pPr>
        <w:spacing w:after="0" w:line="200" w:lineRule="exact"/>
        <w:rPr>
          <w:sz w:val="20"/>
          <w:szCs w:val="20"/>
          <w:color w:val="auto"/>
        </w:rPr>
      </w:pPr>
    </w:p>
    <w:p>
      <w:pPr>
        <w:sectPr>
          <w:pgSz w:w="11900" w:h="16838" w:orient="portrait"/>
          <w:cols w:equalWidth="0" w:num="1">
            <w:col w:w="11420"/>
          </w:cols>
          <w:pgMar w:left="240" w:top="536" w:right="239" w:bottom="1440" w:gutter="0" w:footer="0" w:header="0"/>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Less than one year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One to five years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Five to ten years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More than 10 years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w:t>
            </w:r>
          </w:p>
        </w:tc>
      </w:tr>
      <w:tr>
        <w:trPr>
          <w:trHeight w:val="203"/>
        </w:trPr>
        <w:tc>
          <w:tcPr>
            <w:tcW w:w="40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3,398,823</w:t>
            </w:r>
          </w:p>
        </w:tc>
        <w:tc>
          <w:tcPr>
            <w:tcW w:w="40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3,398,780</w:t>
            </w:r>
          </w:p>
        </w:tc>
        <w:tc>
          <w:tcPr>
            <w:tcW w:w="38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2,546,459</w:t>
            </w:r>
          </w:p>
        </w:tc>
        <w:tc>
          <w:tcPr>
            <w:tcW w:w="40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2,601,898</w:t>
            </w:r>
          </w:p>
        </w:tc>
      </w:tr>
      <w:tr>
        <w:trPr>
          <w:trHeight w:val="203"/>
        </w:trPr>
        <w:tc>
          <w:tcPr>
            <w:tcW w:w="40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865,434</w:t>
            </w:r>
          </w:p>
        </w:tc>
        <w:tc>
          <w:tcPr>
            <w:tcW w:w="40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880,726</w:t>
            </w:r>
          </w:p>
        </w:tc>
        <w:tc>
          <w:tcPr>
            <w:tcW w:w="38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1,716,884</w:t>
            </w:r>
          </w:p>
        </w:tc>
        <w:tc>
          <w:tcPr>
            <w:tcW w:w="40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1,794,139</w:t>
            </w:r>
          </w:p>
        </w:tc>
      </w:tr>
      <w:tr>
        <w:trPr>
          <w:trHeight w:val="217"/>
        </w:trPr>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606,486</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754,039</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606,466</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754,039</w:t>
            </w:r>
          </w:p>
        </w:tc>
      </w:tr>
      <w:tr>
        <w:trPr>
          <w:trHeight w:val="203"/>
        </w:trPr>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4,870,743</w:t>
            </w: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5,033,545</w:t>
            </w:r>
          </w:p>
        </w:tc>
        <w:tc>
          <w:tcPr>
            <w:tcW w:w="3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4,869,808</w:t>
            </w: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5,150,076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-690880</wp:posOffset>
            </wp:positionV>
            <wp:extent cx="725487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12890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-433705</wp:posOffset>
            </wp:positionV>
            <wp:extent cx="725487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12890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-160020</wp:posOffset>
            </wp:positionV>
            <wp:extent cx="7254875" cy="160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16065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240" w:space="720"/>
            <w:col w:w="5460"/>
          </w:cols>
          <w:pgMar w:left="240" w:top="536"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Investment Income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Major categories of the Company’s net investment income are summarized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5"/>
                <w:szCs w:val="15"/>
                <w:color w:val="auto"/>
              </w:rPr>
            </w:pPr>
          </w:p>
        </w:tc>
      </w:tr>
      <w:tr>
        <w:trPr>
          <w:trHeight w:val="191"/>
        </w:trPr>
        <w:tc>
          <w:tcPr>
            <w:tcW w:w="5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33"/>
        </w:trPr>
        <w:tc>
          <w:tcPr>
            <w:tcW w:w="5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83"/>
              </w:rPr>
              <w:t>2017</w:t>
            </w:r>
          </w:p>
        </w:tc>
      </w:tr>
      <w:tr>
        <w:trPr>
          <w:trHeight w:val="228"/>
        </w:trPr>
        <w:tc>
          <w:tcPr>
            <w:tcW w:w="5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Fixed-maturity securities</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1,361,506</w:t>
            </w:r>
          </w:p>
        </w:tc>
        <w:tc>
          <w:tcPr>
            <w:tcW w:w="42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935,543</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2,511,799</w:t>
            </w:r>
          </w:p>
        </w:tc>
        <w:tc>
          <w:tcPr>
            <w:tcW w:w="560" w:type="dxa"/>
            <w:vAlign w:val="bottom"/>
          </w:tcPr>
          <w:p>
            <w:pPr>
              <w:jc w:val="right"/>
              <w:ind w:right="25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w w:val="89"/>
              </w:rPr>
              <w:t>1,680,996</w:t>
            </w: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194,091</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128,501</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394,588</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264,986</w:t>
            </w:r>
          </w:p>
        </w:tc>
      </w:tr>
      <w:tr>
        <w:trPr>
          <w:trHeight w:val="208"/>
        </w:trPr>
        <w:tc>
          <w:tcPr>
            <w:tcW w:w="59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42,582</w:t>
            </w: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2,505</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115,841</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8,674</w:t>
            </w: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1,598,179</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1,066,549</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3,022,228</w:t>
            </w:r>
          </w:p>
        </w:tc>
        <w:tc>
          <w:tcPr>
            <w:tcW w:w="5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1,954,656</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expenses</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41,313</w:t>
            </w:r>
          </w:p>
        </w:tc>
        <w:tc>
          <w:tcPr>
            <w:tcW w:w="4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40,545</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81,373</w:t>
            </w:r>
          </w:p>
        </w:tc>
        <w:tc>
          <w:tcPr>
            <w:tcW w:w="5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70,852</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1,556,866</w:t>
            </w:r>
          </w:p>
        </w:tc>
        <w:tc>
          <w:tcPr>
            <w:tcW w:w="4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1,026,004</w:t>
            </w:r>
          </w:p>
        </w:tc>
        <w:tc>
          <w:tcPr>
            <w:tcW w:w="3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2,940,855</w:t>
            </w:r>
          </w:p>
        </w:tc>
        <w:tc>
          <w:tcPr>
            <w:tcW w:w="5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1,883,804</w:t>
            </w:r>
          </w:p>
        </w:tc>
      </w:tr>
      <w:tr>
        <w:trPr>
          <w:trHeight w:val="20"/>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Proceeds from the redemption of fixed-maturity securities held-to-maturity were $-0- and $200,000 for the six months ended June 30, 2018 and 2017, respectively.</w:t>
      </w: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Proceeds from the sale and maturity of fixed-maturity securities available-for-sale were $15,172,845 and $5,732,151 for the six months ended June 30, 2018 and 2017,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sale of equity securities were $4,746,825 and $798,973 for the six months ended June 30, 2018 and 2017,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The Company’s net (losses) gains on investments are summarized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80" w:type="dxa"/>
            <w:vAlign w:val="bottom"/>
            <w:gridSpan w:val="3"/>
          </w:tcPr>
          <w:p>
            <w:pPr>
              <w:jc w:val="right"/>
              <w:ind w:right="69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5"/>
                <w:szCs w:val="15"/>
                <w:color w:val="auto"/>
              </w:rPr>
            </w:pPr>
          </w:p>
        </w:tc>
      </w:tr>
      <w:tr>
        <w:trPr>
          <w:trHeight w:val="191"/>
        </w:trPr>
        <w:tc>
          <w:tcPr>
            <w:tcW w:w="5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33"/>
        </w:trPr>
        <w:tc>
          <w:tcPr>
            <w:tcW w:w="5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w w:val="83"/>
              </w:rPr>
              <w:t>2017</w:t>
            </w:r>
          </w:p>
        </w:tc>
      </w:tr>
      <w:tr>
        <w:trPr>
          <w:trHeight w:val="228"/>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Realized (Losses) Gains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8"/>
        </w:trPr>
        <w:tc>
          <w:tcPr>
            <w:tcW w:w="5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8"/>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Fixed-maturity securities: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Gross realized gains</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10,694</w:t>
            </w:r>
          </w:p>
        </w:tc>
        <w:tc>
          <w:tcPr>
            <w:tcW w:w="38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48,595</w:t>
            </w:r>
          </w:p>
        </w:tc>
        <w:tc>
          <w:tcPr>
            <w:tcW w:w="36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112,212</w:t>
            </w:r>
          </w:p>
        </w:tc>
        <w:tc>
          <w:tcPr>
            <w:tcW w:w="540" w:type="dxa"/>
            <w:vAlign w:val="bottom"/>
          </w:tcPr>
          <w:p>
            <w:pPr>
              <w:jc w:val="right"/>
              <w:ind w:right="25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61,718</w:t>
            </w:r>
          </w:p>
        </w:tc>
      </w:tr>
      <w:tr>
        <w:trPr>
          <w:trHeight w:val="20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realized losses (1)</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(149,859)</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(74,437)</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(483,227)</w:t>
            </w: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(110,557)</w:t>
            </w:r>
          </w:p>
        </w:tc>
      </w:tr>
      <w:tr>
        <w:trPr>
          <w:trHeight w:val="208"/>
        </w:trPr>
        <w:tc>
          <w:tcPr>
            <w:tcW w:w="5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(139,165)</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(25,842)</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(371,015)</w:t>
            </w: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(48,839)</w:t>
            </w:r>
          </w:p>
        </w:tc>
      </w:tr>
      <w:tr>
        <w:trPr>
          <w:trHeight w:val="203"/>
        </w:trPr>
        <w:tc>
          <w:tcPr>
            <w:tcW w:w="5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realized gains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90,427</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156,265</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315,250</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156,265</w:t>
            </w:r>
          </w:p>
        </w:tc>
      </w:tr>
      <w:tr>
        <w:trPr>
          <w:trHeight w:val="208"/>
        </w:trPr>
        <w:tc>
          <w:tcPr>
            <w:tcW w:w="5960" w:type="dxa"/>
            <w:vAlign w:val="bottom"/>
          </w:tcPr>
          <w:p>
            <w:pPr>
              <w:ind w:left="40"/>
              <w:spacing w:after="0"/>
              <w:rPr>
                <w:sz w:val="20"/>
                <w:szCs w:val="20"/>
                <w:color w:val="auto"/>
              </w:rPr>
            </w:pPr>
            <w:r>
              <w:rPr>
                <w:rFonts w:ascii="Arial" w:cs="Arial" w:eastAsia="Arial" w:hAnsi="Arial"/>
                <w:sz w:val="16"/>
                <w:szCs w:val="16"/>
                <w:color w:val="auto"/>
              </w:rPr>
              <w:t>Gross realized losses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(27,638)</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(264,384)</w:t>
            </w: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(31,509)</w:t>
            </w:r>
          </w:p>
        </w:tc>
      </w:tr>
      <w:tr>
        <w:trPr>
          <w:trHeight w:val="208"/>
        </w:trPr>
        <w:tc>
          <w:tcPr>
            <w:tcW w:w="59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62,789</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156,265</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50,866</w:t>
            </w: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124,756</w:t>
            </w: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5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Net realized (losses) gains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(76,376)</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130,423</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(320,149)</w:t>
            </w: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75,917</w:t>
            </w: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Unrealized (Losses) Gains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Equity securities: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Gross gains</w:t>
            </w:r>
          </w:p>
        </w:tc>
        <w:tc>
          <w:tcPr>
            <w:tcW w:w="380" w:type="dxa"/>
            <w:vAlign w:val="bottom"/>
          </w:tcPr>
          <w:p>
            <w:pPr>
              <w:spacing w:after="0"/>
              <w:rPr>
                <w:sz w:val="17"/>
                <w:szCs w:val="17"/>
                <w:color w:val="auto"/>
              </w:rPr>
            </w:pPr>
          </w:p>
        </w:tc>
        <w:tc>
          <w:tcPr>
            <w:tcW w:w="10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9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00" w:type="dxa"/>
            <w:vAlign w:val="bottom"/>
          </w:tcPr>
          <w:p>
            <w:pPr>
              <w:jc w:val="right"/>
              <w:ind w:right="58"/>
              <w:spacing w:after="0"/>
              <w:rPr>
                <w:sz w:val="20"/>
                <w:szCs w:val="20"/>
                <w:color w:val="auto"/>
              </w:rPr>
            </w:pPr>
            <w:r>
              <w:rPr>
                <w:rFonts w:ascii="Arial" w:cs="Arial" w:eastAsia="Arial" w:hAnsi="Arial"/>
                <w:sz w:val="16"/>
                <w:szCs w:val="16"/>
                <w:color w:val="auto"/>
              </w:rPr>
              <w:t>-</w:t>
            </w:r>
          </w:p>
        </w:tc>
      </w:tr>
      <w:tr>
        <w:trPr>
          <w:trHeight w:val="20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losses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(123,197)</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(430,411)</w:t>
            </w: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r>
      <w:tr>
        <w:trPr>
          <w:trHeight w:val="208"/>
        </w:trPr>
        <w:tc>
          <w:tcPr>
            <w:tcW w:w="5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(123,197)</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(430,411)</w:t>
            </w: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Other investments: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gains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92,840</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120,700</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r>
      <w:tr>
        <w:trPr>
          <w:trHeight w:val="208"/>
        </w:trPr>
        <w:tc>
          <w:tcPr>
            <w:tcW w:w="5960" w:type="dxa"/>
            <w:vAlign w:val="bottom"/>
          </w:tcPr>
          <w:p>
            <w:pPr>
              <w:ind w:left="40"/>
              <w:spacing w:after="0"/>
              <w:rPr>
                <w:sz w:val="20"/>
                <w:szCs w:val="20"/>
                <w:color w:val="auto"/>
              </w:rPr>
            </w:pPr>
            <w:r>
              <w:rPr>
                <w:rFonts w:ascii="Arial" w:cs="Arial" w:eastAsia="Arial" w:hAnsi="Arial"/>
                <w:sz w:val="16"/>
                <w:szCs w:val="16"/>
                <w:color w:val="auto"/>
              </w:rPr>
              <w:t>Gross losses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r>
      <w:tr>
        <w:trPr>
          <w:trHeight w:val="208"/>
        </w:trPr>
        <w:tc>
          <w:tcPr>
            <w:tcW w:w="59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92,840</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120,700</w:t>
            </w: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5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Net unrealized losses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(30,357)</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(309,711)</w:t>
            </w:r>
          </w:p>
        </w:tc>
        <w:tc>
          <w:tcPr>
            <w:tcW w:w="5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(losses) gains on investments</w:t>
            </w:r>
          </w:p>
        </w:tc>
        <w:tc>
          <w:tcPr>
            <w:tcW w:w="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(106,733)</w:t>
            </w:r>
          </w:p>
        </w:tc>
        <w:tc>
          <w:tcPr>
            <w:tcW w:w="3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130,423</w:t>
            </w:r>
          </w:p>
        </w:tc>
        <w:tc>
          <w:tcPr>
            <w:tcW w:w="3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(629,860)</w:t>
            </w:r>
          </w:p>
        </w:tc>
        <w:tc>
          <w:tcPr>
            <w:tcW w:w="54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75,917</w:t>
            </w:r>
          </w:p>
        </w:tc>
      </w:tr>
    </w:tbl>
    <w:p>
      <w:pPr>
        <w:spacing w:after="0" w:line="194" w:lineRule="exact"/>
        <w:rPr>
          <w:sz w:val="20"/>
          <w:szCs w:val="20"/>
          <w:color w:val="auto"/>
        </w:rPr>
      </w:pPr>
    </w:p>
    <w:p>
      <w:pPr>
        <w:ind w:right="1040" w:firstLine="305"/>
        <w:spacing w:after="0" w:line="528" w:lineRule="auto"/>
        <w:tabs>
          <w:tab w:leader="none" w:pos="608"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Gross realized losses for the six months ended June 30, 2017 include $747 of loss from the redemption of fixed-maturity securities held-to-maturity. </w:t>
      </w:r>
      <w:r>
        <w:rPr>
          <w:rFonts w:ascii="Arial" w:cs="Arial" w:eastAsia="Arial" w:hAnsi="Arial"/>
          <w:sz w:val="16"/>
          <w:szCs w:val="16"/>
          <w:u w:val="single" w:color="auto"/>
          <w:color w:val="auto"/>
        </w:rPr>
        <w:t>Impairment Review</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Impairment of investment securities results in a charge to operations when a market decline below cost is deemed to be other-than-temporary. The Company regularly reviews its fixed-maturity securities (and reviewed the equity securities portfolios prior to January 1, 2018) to evaluate the necessity of recording impairment losses for other-than-temporary declines in the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(loss) income.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comprehensive (loss) income for the noncredit portion of a previous OTTI is amortized prospectively over the remaining life of the security on the basis of timing of future estimated cash flows of the security.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5"/>
          <w:szCs w:val="15"/>
          <w:color w:val="auto"/>
        </w:rPr>
        <w:t>OTTI losses are recorded in the condensed consolidated statements of income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June 30, 2018 and December 31, 2017, there were 159 and 75 fixed-maturity securities that accounted for the gross unrealized loss, respectively. In December 2017, the Company disposed of one of its held-to-maturity debt securities that was previously recorded in OTTI, a bond issued by the Commonwealth of Puerto Rico (“PR”). In July 2016, PR defaulted on its interest payment to bondholders. Due to the credit deterioration of PR, the Company recorded its first credit loss component of OTTI on this investment as of June 30, 2016. As of December 31, 2016, the full amount of the write-down was recognized as a credit component of OTTI in the amount of $69,911. In September 2017, Hurricane Maria significantly affected Puerto Rico. The impact of this event further contributed to the credit deterioration of PR and, as a result, the Company recorded an additional credit loss component of OTTI on this investment for the amount of $50,000 during the quarter ended September 30, 2017. The total of the two OTTI write-downs of this investment through December 31, 2017 was $119,911. The Company determined that none of the other unrealized losses were deemed to be OTTI for its portfolio of fixed-maturity investments, equity securities in 2017, and other investments for the six months ended June 30, 2018 and 2017.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fair value to the Company’s cost basis.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June 30, 2018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4"/>
                <w:szCs w:val="14"/>
                <w:b w:val="1"/>
                <w:bCs w:val="1"/>
                <w:color w:val="auto"/>
              </w:rPr>
              <w:t>June 30, 2018</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83"/>
        </w:trPr>
        <w:tc>
          <w:tcPr>
            <w:tcW w:w="2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89"/>
              </w:rPr>
              <w:t>Less than 12 months</w:t>
            </w: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88"/>
              </w:rPr>
              <w:t>12 months or more</w:t>
            </w: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tcPr>
          <w:p>
            <w:pPr>
              <w:spacing w:after="0"/>
              <w:rPr>
                <w:sz w:val="15"/>
                <w:szCs w:val="15"/>
                <w:color w:val="auto"/>
              </w:rPr>
            </w:pPr>
          </w:p>
        </w:tc>
      </w:tr>
      <w:tr>
        <w:trPr>
          <w:trHeight w:val="13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jc w:val="center"/>
              <w:ind w:right="50"/>
              <w:spacing w:after="0" w:line="139" w:lineRule="exact"/>
              <w:rPr>
                <w:sz w:val="20"/>
                <w:szCs w:val="20"/>
                <w:color w:val="auto"/>
              </w:rPr>
            </w:pPr>
            <w:r>
              <w:rPr>
                <w:rFonts w:ascii="Arial" w:cs="Arial" w:eastAsia="Arial" w:hAnsi="Arial"/>
                <w:sz w:val="14"/>
                <w:szCs w:val="14"/>
                <w:b w:val="1"/>
                <w:bCs w:val="1"/>
                <w:color w:val="auto"/>
                <w:w w:val="90"/>
              </w:rPr>
              <w:t>No. of</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jc w:val="center"/>
              <w:ind w:right="30"/>
              <w:spacing w:after="0" w:line="139" w:lineRule="exact"/>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2"/>
                <w:szCs w:val="12"/>
                <w:color w:val="auto"/>
              </w:rPr>
            </w:pPr>
          </w:p>
        </w:tc>
        <w:tc>
          <w:tcPr>
            <w:tcW w:w="900" w:type="dxa"/>
            <w:vAlign w:val="bottom"/>
          </w:tcPr>
          <w:p>
            <w:pPr>
              <w:jc w:val="center"/>
              <w:ind w:right="130"/>
              <w:spacing w:after="0" w:line="139" w:lineRule="exact"/>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2"/>
        </w:trPr>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270"/>
              <w:spacing w:after="0" w:line="152"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3"/>
                <w:szCs w:val="13"/>
                <w:color w:val="auto"/>
              </w:rPr>
            </w:pPr>
          </w:p>
        </w:tc>
        <w:tc>
          <w:tcPr>
            <w:tcW w:w="1080" w:type="dxa"/>
            <w:vAlign w:val="bottom"/>
          </w:tcPr>
          <w:p>
            <w:pPr>
              <w:jc w:val="right"/>
              <w:ind w:right="330"/>
              <w:spacing w:after="0" w:line="152" w:lineRule="exact"/>
              <w:rPr>
                <w:sz w:val="20"/>
                <w:szCs w:val="20"/>
                <w:color w:val="auto"/>
              </w:rPr>
            </w:pPr>
            <w:r>
              <w:rPr>
                <w:rFonts w:ascii="Arial" w:cs="Arial" w:eastAsia="Arial" w:hAnsi="Arial"/>
                <w:sz w:val="14"/>
                <w:szCs w:val="14"/>
                <w:b w:val="1"/>
                <w:bCs w:val="1"/>
                <w:color w:val="auto"/>
                <w:w w:val="93"/>
              </w:rPr>
              <w:t>Unrealized</w:t>
            </w:r>
          </w:p>
        </w:tc>
        <w:tc>
          <w:tcPr>
            <w:tcW w:w="960" w:type="dxa"/>
            <w:vAlign w:val="bottom"/>
          </w:tcPr>
          <w:p>
            <w:pPr>
              <w:jc w:val="center"/>
              <w:ind w:right="70"/>
              <w:spacing w:after="0" w:line="152" w:lineRule="exact"/>
              <w:rPr>
                <w:sz w:val="20"/>
                <w:szCs w:val="20"/>
                <w:color w:val="auto"/>
              </w:rPr>
            </w:pPr>
            <w:r>
              <w:rPr>
                <w:rFonts w:ascii="Arial" w:cs="Arial" w:eastAsia="Arial" w:hAnsi="Arial"/>
                <w:sz w:val="14"/>
                <w:szCs w:val="14"/>
                <w:b w:val="1"/>
                <w:bCs w:val="1"/>
                <w:color w:val="auto"/>
                <w:w w:val="85"/>
              </w:rPr>
              <w:t>Positions</w:t>
            </w:r>
          </w:p>
        </w:tc>
        <w:tc>
          <w:tcPr>
            <w:tcW w:w="300" w:type="dxa"/>
            <w:vAlign w:val="bottom"/>
          </w:tcPr>
          <w:p>
            <w:pPr>
              <w:spacing w:after="0"/>
              <w:rPr>
                <w:sz w:val="13"/>
                <w:szCs w:val="13"/>
                <w:color w:val="auto"/>
              </w:rPr>
            </w:pPr>
          </w:p>
        </w:tc>
        <w:tc>
          <w:tcPr>
            <w:tcW w:w="800" w:type="dxa"/>
            <w:vAlign w:val="bottom"/>
          </w:tcPr>
          <w:p>
            <w:pPr>
              <w:jc w:val="right"/>
              <w:ind w:right="310"/>
              <w:spacing w:after="0" w:line="152"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310"/>
              <w:spacing w:after="0" w:line="152" w:lineRule="exact"/>
              <w:rPr>
                <w:sz w:val="20"/>
                <w:szCs w:val="20"/>
                <w:color w:val="auto"/>
              </w:rPr>
            </w:pPr>
            <w:r>
              <w:rPr>
                <w:rFonts w:ascii="Arial" w:cs="Arial" w:eastAsia="Arial" w:hAnsi="Arial"/>
                <w:sz w:val="14"/>
                <w:szCs w:val="14"/>
                <w:b w:val="1"/>
                <w:bCs w:val="1"/>
                <w:color w:val="auto"/>
                <w:w w:val="93"/>
              </w:rPr>
              <w:t>Unrealized</w:t>
            </w:r>
          </w:p>
        </w:tc>
        <w:tc>
          <w:tcPr>
            <w:tcW w:w="980" w:type="dxa"/>
            <w:vAlign w:val="bottom"/>
          </w:tcPr>
          <w:p>
            <w:pPr>
              <w:jc w:val="center"/>
              <w:ind w:right="50"/>
              <w:spacing w:after="0" w:line="152" w:lineRule="exact"/>
              <w:rPr>
                <w:sz w:val="20"/>
                <w:szCs w:val="20"/>
                <w:color w:val="auto"/>
              </w:rPr>
            </w:pPr>
            <w:r>
              <w:rPr>
                <w:rFonts w:ascii="Arial" w:cs="Arial" w:eastAsia="Arial" w:hAnsi="Arial"/>
                <w:sz w:val="14"/>
                <w:szCs w:val="14"/>
                <w:b w:val="1"/>
                <w:bCs w:val="1"/>
                <w:color w:val="auto"/>
                <w:w w:val="85"/>
              </w:rPr>
              <w:t>Positions</w:t>
            </w:r>
          </w:p>
        </w:tc>
        <w:tc>
          <w:tcPr>
            <w:tcW w:w="240" w:type="dxa"/>
            <w:vAlign w:val="bottom"/>
          </w:tcPr>
          <w:p>
            <w:pPr>
              <w:spacing w:after="0"/>
              <w:rPr>
                <w:sz w:val="13"/>
                <w:szCs w:val="13"/>
                <w:color w:val="auto"/>
              </w:rPr>
            </w:pPr>
          </w:p>
        </w:tc>
        <w:tc>
          <w:tcPr>
            <w:tcW w:w="900" w:type="dxa"/>
            <w:vAlign w:val="bottom"/>
          </w:tcPr>
          <w:p>
            <w:pPr>
              <w:jc w:val="center"/>
              <w:ind w:right="130"/>
              <w:spacing w:after="0" w:line="152"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3"/>
                <w:szCs w:val="13"/>
                <w:color w:val="auto"/>
              </w:rPr>
            </w:pPr>
          </w:p>
        </w:tc>
        <w:tc>
          <w:tcPr>
            <w:tcW w:w="900" w:type="dxa"/>
            <w:vAlign w:val="bottom"/>
          </w:tcPr>
          <w:p>
            <w:pPr>
              <w:jc w:val="right"/>
              <w:ind w:right="150"/>
              <w:spacing w:after="0" w:line="152" w:lineRule="exact"/>
              <w:rPr>
                <w:sz w:val="20"/>
                <w:szCs w:val="20"/>
                <w:color w:val="auto"/>
              </w:rPr>
            </w:pPr>
            <w:r>
              <w:rPr>
                <w:rFonts w:ascii="Arial" w:cs="Arial" w:eastAsia="Arial" w:hAnsi="Arial"/>
                <w:sz w:val="14"/>
                <w:szCs w:val="14"/>
                <w:b w:val="1"/>
                <w:bCs w:val="1"/>
                <w:color w:val="auto"/>
                <w:w w:val="93"/>
              </w:rPr>
              <w:t>Unrealized</w:t>
            </w:r>
          </w:p>
        </w:tc>
      </w:tr>
      <w:tr>
        <w:trPr>
          <w:trHeight w:val="171"/>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Losses</w:t>
            </w: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2"/>
              </w:rPr>
              <w:t>Held</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Losses</w:t>
            </w: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Losses</w:t>
            </w:r>
          </w:p>
        </w:tc>
      </w:tr>
      <w:tr>
        <w:trPr>
          <w:trHeight w:val="228"/>
        </w:trPr>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Fixed-Maturity Securities: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8"/>
        </w:trPr>
        <w:tc>
          <w:tcPr>
            <w:tcW w:w="2300" w:type="dxa"/>
            <w:vAlign w:val="bottom"/>
          </w:tcPr>
          <w:p>
            <w:pPr>
              <w:ind w:left="40"/>
              <w:spacing w:after="0"/>
              <w:rPr>
                <w:sz w:val="20"/>
                <w:szCs w:val="20"/>
                <w:color w:val="auto"/>
              </w:rPr>
            </w:pPr>
            <w:r>
              <w:rPr>
                <w:rFonts w:ascii="Arial" w:cs="Arial" w:eastAsia="Arial" w:hAnsi="Arial"/>
                <w:sz w:val="14"/>
                <w:szCs w:val="14"/>
                <w:color w:val="auto"/>
              </w:rPr>
              <w:t>U.S. Treasury securities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obligations of U.S.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8"/>
        </w:trPr>
        <w:tc>
          <w:tcPr>
            <w:tcW w:w="2300" w:type="dxa"/>
            <w:vAlign w:val="bottom"/>
          </w:tcPr>
          <w:p>
            <w:pPr>
              <w:ind w:left="40"/>
              <w:spacing w:after="0"/>
              <w:rPr>
                <w:sz w:val="20"/>
                <w:szCs w:val="20"/>
                <w:color w:val="auto"/>
              </w:rPr>
            </w:pPr>
            <w:r>
              <w:rPr>
                <w:rFonts w:ascii="Arial" w:cs="Arial" w:eastAsia="Arial" w:hAnsi="Arial"/>
                <w:sz w:val="14"/>
                <w:szCs w:val="14"/>
                <w:color w:val="auto"/>
              </w:rPr>
              <w:t>government corporations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and agencies</w:t>
            </w:r>
          </w:p>
        </w:tc>
        <w:tc>
          <w:tcPr>
            <w:tcW w:w="26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4,927,910</w:t>
            </w:r>
          </w:p>
        </w:tc>
        <w:tc>
          <w:tcPr>
            <w:tcW w:w="3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(40,264)</w:t>
            </w:r>
          </w:p>
        </w:tc>
        <w:tc>
          <w:tcPr>
            <w:tcW w:w="96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90"/>
              <w:spacing w:after="0" w:line="15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4,927,910</w:t>
            </w:r>
          </w:p>
        </w:tc>
        <w:tc>
          <w:tcPr>
            <w:tcW w:w="2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(40,264)</w:t>
            </w:r>
          </w:p>
        </w:tc>
      </w:tr>
      <w:tr>
        <w:trPr>
          <w:trHeight w:val="152"/>
        </w:trPr>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Political subdivisions of</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States, Territories and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Possessions</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3,524,361</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(55,324)</w:t>
            </w:r>
          </w:p>
        </w:tc>
        <w:tc>
          <w:tcPr>
            <w:tcW w:w="96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7</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616,383</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(28,074)</w:t>
            </w:r>
          </w:p>
        </w:tc>
        <w:tc>
          <w:tcPr>
            <w:tcW w:w="98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3,524,361</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(83,398)</w:t>
            </w:r>
          </w:p>
        </w:tc>
      </w:tr>
      <w:tr>
        <w:trPr>
          <w:trHeight w:val="152"/>
        </w:trPr>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Corporate and other</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bonds industrial and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miscellaneous</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85,149,695</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(2,617,680)</w:t>
            </w:r>
          </w:p>
        </w:tc>
        <w:tc>
          <w:tcPr>
            <w:tcW w:w="96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107</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6,491,755</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(377,166)</w:t>
            </w:r>
          </w:p>
        </w:tc>
        <w:tc>
          <w:tcPr>
            <w:tcW w:w="98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85,149,695</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(2,994,846)</w:t>
            </w:r>
          </w:p>
        </w:tc>
      </w:tr>
      <w:tr>
        <w:trPr>
          <w:trHeight w:val="152"/>
        </w:trPr>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Residential mortgage and other</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7"/>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asset backed securities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11,139,070</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70"/>
              <w:spacing w:after="0" w:line="152" w:lineRule="exact"/>
              <w:rPr>
                <w:sz w:val="20"/>
                <w:szCs w:val="20"/>
                <w:color w:val="auto"/>
              </w:rPr>
            </w:pPr>
            <w:r>
              <w:rPr>
                <w:rFonts w:ascii="Arial" w:cs="Arial" w:eastAsia="Arial" w:hAnsi="Arial"/>
                <w:sz w:val="14"/>
                <w:szCs w:val="14"/>
                <w:color w:val="auto"/>
              </w:rPr>
              <w:t>(159,886)</w:t>
            </w:r>
          </w:p>
        </w:tc>
        <w:tc>
          <w:tcPr>
            <w:tcW w:w="96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13</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0"/>
              <w:spacing w:after="0" w:line="152" w:lineRule="exact"/>
              <w:rPr>
                <w:sz w:val="20"/>
                <w:szCs w:val="20"/>
                <w:color w:val="auto"/>
              </w:rPr>
            </w:pPr>
            <w:r>
              <w:rPr>
                <w:rFonts w:ascii="Arial" w:cs="Arial" w:eastAsia="Arial" w:hAnsi="Arial"/>
                <w:sz w:val="14"/>
                <w:szCs w:val="14"/>
                <w:color w:val="auto"/>
              </w:rPr>
              <w:t>9,439,267</w:t>
            </w: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50"/>
              <w:spacing w:after="0" w:line="152" w:lineRule="exact"/>
              <w:rPr>
                <w:sz w:val="20"/>
                <w:szCs w:val="20"/>
                <w:color w:val="auto"/>
              </w:rPr>
            </w:pPr>
            <w:r>
              <w:rPr>
                <w:rFonts w:ascii="Arial" w:cs="Arial" w:eastAsia="Arial" w:hAnsi="Arial"/>
                <w:sz w:val="14"/>
                <w:szCs w:val="14"/>
                <w:color w:val="auto"/>
              </w:rPr>
              <w:t>(351,224)</w:t>
            </w:r>
          </w:p>
        </w:tc>
        <w:tc>
          <w:tcPr>
            <w:tcW w:w="98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15</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11,139,070</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(511,110)</w:t>
            </w:r>
          </w:p>
        </w:tc>
      </w:tr>
      <w:tr>
        <w:trPr>
          <w:trHeight w:val="152"/>
        </w:trPr>
        <w:tc>
          <w:tcPr>
            <w:tcW w:w="2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Total fixed-maturity</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2"/>
        </w:trPr>
        <w:tc>
          <w:tcPr>
            <w:tcW w:w="2300" w:type="dxa"/>
            <w:vAlign w:val="bottom"/>
            <w:tcBorders>
              <w:bottom w:val="single" w:sz="8" w:color="CCEEFF"/>
            </w:tcBorders>
            <w:shd w:val="clear" w:color="auto" w:fill="CCEEFF"/>
          </w:tcPr>
          <w:p>
            <w:pPr>
              <w:ind w:left="40"/>
              <w:spacing w:after="0" w:line="152" w:lineRule="exact"/>
              <w:rPr>
                <w:sz w:val="20"/>
                <w:szCs w:val="20"/>
                <w:color w:val="auto"/>
              </w:rPr>
            </w:pPr>
            <w:r>
              <w:rPr>
                <w:rFonts w:ascii="Arial" w:cs="Arial" w:eastAsia="Arial" w:hAnsi="Arial"/>
                <w:sz w:val="14"/>
                <w:szCs w:val="14"/>
                <w:color w:val="auto"/>
              </w:rPr>
              <w:t>securities</w:t>
            </w:r>
          </w:p>
        </w:tc>
        <w:tc>
          <w:tcPr>
            <w:tcW w:w="260" w:type="dxa"/>
            <w:vAlign w:val="bottom"/>
            <w:tcBorders>
              <w:bottom w:val="single" w:sz="8" w:color="auto"/>
            </w:tcBorders>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w w:val="97"/>
              </w:rPr>
              <w:t>104,741,036</w:t>
            </w:r>
          </w:p>
        </w:tc>
        <w:tc>
          <w:tcPr>
            <w:tcW w:w="3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(2,873,154)</w:t>
            </w:r>
          </w:p>
        </w:tc>
        <w:tc>
          <w:tcPr>
            <w:tcW w:w="96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130</w:t>
            </w:r>
          </w:p>
        </w:tc>
        <w:tc>
          <w:tcPr>
            <w:tcW w:w="3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16,547,405</w:t>
            </w:r>
          </w:p>
        </w:tc>
        <w:tc>
          <w:tcPr>
            <w:tcW w:w="280" w:type="dxa"/>
            <w:vAlign w:val="bottom"/>
            <w:tcBorders>
              <w:bottom w:val="single" w:sz="8" w:color="auto"/>
            </w:tcBorders>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(756,464)</w:t>
            </w:r>
          </w:p>
        </w:tc>
        <w:tc>
          <w:tcPr>
            <w:tcW w:w="98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29</w:t>
            </w:r>
          </w:p>
        </w:tc>
        <w:tc>
          <w:tcPr>
            <w:tcW w:w="2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104,741,036</w:t>
            </w:r>
          </w:p>
        </w:tc>
        <w:tc>
          <w:tcPr>
            <w:tcW w:w="2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(3,629,618)</w:t>
            </w: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December 31, 2017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December 31, 2017</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7"/>
        </w:trPr>
        <w:tc>
          <w:tcPr>
            <w:tcW w:w="2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70"/>
              <w:spacing w:after="0" w:line="152" w:lineRule="exact"/>
              <w:rPr>
                <w:sz w:val="20"/>
                <w:szCs w:val="20"/>
                <w:color w:val="auto"/>
              </w:rPr>
            </w:pPr>
            <w:r>
              <w:rPr>
                <w:rFonts w:ascii="Arial" w:cs="Arial" w:eastAsia="Arial" w:hAnsi="Arial"/>
                <w:sz w:val="14"/>
                <w:szCs w:val="14"/>
                <w:b w:val="1"/>
                <w:bCs w:val="1"/>
                <w:color w:val="auto"/>
                <w:w w:val="89"/>
              </w:rPr>
              <w:t>Less than 12 months</w:t>
            </w:r>
          </w:p>
        </w:tc>
        <w:tc>
          <w:tcPr>
            <w:tcW w:w="9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90"/>
              <w:spacing w:after="0" w:line="152" w:lineRule="exact"/>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0"/>
              <w:spacing w:after="0" w:line="152" w:lineRule="exact"/>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tcPr>
          <w:p>
            <w:pPr>
              <w:spacing w:after="0"/>
              <w:rPr>
                <w:sz w:val="13"/>
                <w:szCs w:val="13"/>
                <w:color w:val="auto"/>
              </w:rPr>
            </w:pPr>
          </w:p>
        </w:tc>
      </w:tr>
      <w:tr>
        <w:trPr>
          <w:trHeight w:val="139"/>
        </w:trPr>
        <w:tc>
          <w:tcPr>
            <w:tcW w:w="2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jc w:val="center"/>
              <w:ind w:right="50"/>
              <w:spacing w:after="0" w:line="139" w:lineRule="exact"/>
              <w:rPr>
                <w:sz w:val="20"/>
                <w:szCs w:val="20"/>
                <w:color w:val="auto"/>
              </w:rPr>
            </w:pPr>
            <w:r>
              <w:rPr>
                <w:rFonts w:ascii="Arial" w:cs="Arial" w:eastAsia="Arial" w:hAnsi="Arial"/>
                <w:sz w:val="14"/>
                <w:szCs w:val="14"/>
                <w:b w:val="1"/>
                <w:bCs w:val="1"/>
                <w:color w:val="auto"/>
                <w:w w:val="90"/>
              </w:rPr>
              <w:t>No. of</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jc w:val="center"/>
              <w:ind w:right="30"/>
              <w:spacing w:after="0" w:line="139" w:lineRule="exact"/>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2"/>
                <w:szCs w:val="12"/>
                <w:color w:val="auto"/>
              </w:rPr>
            </w:pPr>
          </w:p>
        </w:tc>
        <w:tc>
          <w:tcPr>
            <w:tcW w:w="900" w:type="dxa"/>
            <w:vAlign w:val="bottom"/>
          </w:tcPr>
          <w:p>
            <w:pPr>
              <w:jc w:val="center"/>
              <w:ind w:right="130"/>
              <w:spacing w:after="0" w:line="139" w:lineRule="exact"/>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2"/>
        </w:trPr>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270"/>
              <w:spacing w:after="0" w:line="152"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3"/>
                <w:szCs w:val="13"/>
                <w:color w:val="auto"/>
              </w:rPr>
            </w:pPr>
          </w:p>
        </w:tc>
        <w:tc>
          <w:tcPr>
            <w:tcW w:w="1080" w:type="dxa"/>
            <w:vAlign w:val="bottom"/>
          </w:tcPr>
          <w:p>
            <w:pPr>
              <w:jc w:val="right"/>
              <w:ind w:right="330"/>
              <w:spacing w:after="0" w:line="152" w:lineRule="exact"/>
              <w:rPr>
                <w:sz w:val="20"/>
                <w:szCs w:val="20"/>
                <w:color w:val="auto"/>
              </w:rPr>
            </w:pPr>
            <w:r>
              <w:rPr>
                <w:rFonts w:ascii="Arial" w:cs="Arial" w:eastAsia="Arial" w:hAnsi="Arial"/>
                <w:sz w:val="14"/>
                <w:szCs w:val="14"/>
                <w:b w:val="1"/>
                <w:bCs w:val="1"/>
                <w:color w:val="auto"/>
                <w:w w:val="93"/>
              </w:rPr>
              <w:t>Unrealized</w:t>
            </w:r>
          </w:p>
        </w:tc>
        <w:tc>
          <w:tcPr>
            <w:tcW w:w="960" w:type="dxa"/>
            <w:vAlign w:val="bottom"/>
          </w:tcPr>
          <w:p>
            <w:pPr>
              <w:jc w:val="center"/>
              <w:ind w:right="70"/>
              <w:spacing w:after="0" w:line="152" w:lineRule="exact"/>
              <w:rPr>
                <w:sz w:val="20"/>
                <w:szCs w:val="20"/>
                <w:color w:val="auto"/>
              </w:rPr>
            </w:pPr>
            <w:r>
              <w:rPr>
                <w:rFonts w:ascii="Arial" w:cs="Arial" w:eastAsia="Arial" w:hAnsi="Arial"/>
                <w:sz w:val="14"/>
                <w:szCs w:val="14"/>
                <w:b w:val="1"/>
                <w:bCs w:val="1"/>
                <w:color w:val="auto"/>
                <w:w w:val="85"/>
              </w:rPr>
              <w:t>Positions</w:t>
            </w:r>
          </w:p>
        </w:tc>
        <w:tc>
          <w:tcPr>
            <w:tcW w:w="300" w:type="dxa"/>
            <w:vAlign w:val="bottom"/>
          </w:tcPr>
          <w:p>
            <w:pPr>
              <w:spacing w:after="0"/>
              <w:rPr>
                <w:sz w:val="13"/>
                <w:szCs w:val="13"/>
                <w:color w:val="auto"/>
              </w:rPr>
            </w:pPr>
          </w:p>
        </w:tc>
        <w:tc>
          <w:tcPr>
            <w:tcW w:w="800" w:type="dxa"/>
            <w:vAlign w:val="bottom"/>
          </w:tcPr>
          <w:p>
            <w:pPr>
              <w:jc w:val="right"/>
              <w:ind w:right="310"/>
              <w:spacing w:after="0" w:line="152"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060" w:type="dxa"/>
            <w:vAlign w:val="bottom"/>
          </w:tcPr>
          <w:p>
            <w:pPr>
              <w:jc w:val="right"/>
              <w:ind w:right="310"/>
              <w:spacing w:after="0" w:line="152" w:lineRule="exact"/>
              <w:rPr>
                <w:sz w:val="20"/>
                <w:szCs w:val="20"/>
                <w:color w:val="auto"/>
              </w:rPr>
            </w:pPr>
            <w:r>
              <w:rPr>
                <w:rFonts w:ascii="Arial" w:cs="Arial" w:eastAsia="Arial" w:hAnsi="Arial"/>
                <w:sz w:val="14"/>
                <w:szCs w:val="14"/>
                <w:b w:val="1"/>
                <w:bCs w:val="1"/>
                <w:color w:val="auto"/>
                <w:w w:val="93"/>
              </w:rPr>
              <w:t>Unrealized</w:t>
            </w:r>
          </w:p>
        </w:tc>
        <w:tc>
          <w:tcPr>
            <w:tcW w:w="980" w:type="dxa"/>
            <w:vAlign w:val="bottom"/>
          </w:tcPr>
          <w:p>
            <w:pPr>
              <w:jc w:val="center"/>
              <w:ind w:right="50"/>
              <w:spacing w:after="0" w:line="152" w:lineRule="exact"/>
              <w:rPr>
                <w:sz w:val="20"/>
                <w:szCs w:val="20"/>
                <w:color w:val="auto"/>
              </w:rPr>
            </w:pPr>
            <w:r>
              <w:rPr>
                <w:rFonts w:ascii="Arial" w:cs="Arial" w:eastAsia="Arial" w:hAnsi="Arial"/>
                <w:sz w:val="14"/>
                <w:szCs w:val="14"/>
                <w:b w:val="1"/>
                <w:bCs w:val="1"/>
                <w:color w:val="auto"/>
                <w:w w:val="85"/>
              </w:rPr>
              <w:t>Positions</w:t>
            </w:r>
          </w:p>
        </w:tc>
        <w:tc>
          <w:tcPr>
            <w:tcW w:w="240" w:type="dxa"/>
            <w:vAlign w:val="bottom"/>
          </w:tcPr>
          <w:p>
            <w:pPr>
              <w:spacing w:after="0"/>
              <w:rPr>
                <w:sz w:val="13"/>
                <w:szCs w:val="13"/>
                <w:color w:val="auto"/>
              </w:rPr>
            </w:pPr>
          </w:p>
        </w:tc>
        <w:tc>
          <w:tcPr>
            <w:tcW w:w="900" w:type="dxa"/>
            <w:vAlign w:val="bottom"/>
          </w:tcPr>
          <w:p>
            <w:pPr>
              <w:jc w:val="center"/>
              <w:ind w:right="130"/>
              <w:spacing w:after="0" w:line="152"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3"/>
                <w:szCs w:val="13"/>
                <w:color w:val="auto"/>
              </w:rPr>
            </w:pPr>
          </w:p>
        </w:tc>
        <w:tc>
          <w:tcPr>
            <w:tcW w:w="900" w:type="dxa"/>
            <w:vAlign w:val="bottom"/>
          </w:tcPr>
          <w:p>
            <w:pPr>
              <w:jc w:val="right"/>
              <w:ind w:right="150"/>
              <w:spacing w:after="0" w:line="152" w:lineRule="exact"/>
              <w:rPr>
                <w:sz w:val="20"/>
                <w:szCs w:val="20"/>
                <w:color w:val="auto"/>
              </w:rPr>
            </w:pPr>
            <w:r>
              <w:rPr>
                <w:rFonts w:ascii="Arial" w:cs="Arial" w:eastAsia="Arial" w:hAnsi="Arial"/>
                <w:sz w:val="14"/>
                <w:szCs w:val="14"/>
                <w:b w:val="1"/>
                <w:bCs w:val="1"/>
                <w:color w:val="auto"/>
                <w:w w:val="93"/>
              </w:rPr>
              <w:t>Unrealized</w:t>
            </w:r>
          </w:p>
        </w:tc>
      </w:tr>
      <w:tr>
        <w:trPr>
          <w:trHeight w:val="171"/>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Losses</w:t>
            </w: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2"/>
              </w:rPr>
              <w:t>Held</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Losses</w:t>
            </w: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Losses</w:t>
            </w:r>
          </w:p>
        </w:tc>
      </w:tr>
      <w:tr>
        <w:trPr>
          <w:trHeight w:val="228"/>
        </w:trPr>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Fixed-Maturity Securities: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8"/>
        </w:trPr>
        <w:tc>
          <w:tcPr>
            <w:tcW w:w="2300" w:type="dxa"/>
            <w:vAlign w:val="bottom"/>
          </w:tcPr>
          <w:p>
            <w:pPr>
              <w:ind w:left="40"/>
              <w:spacing w:after="0"/>
              <w:rPr>
                <w:sz w:val="20"/>
                <w:szCs w:val="20"/>
                <w:color w:val="auto"/>
              </w:rPr>
            </w:pPr>
            <w:r>
              <w:rPr>
                <w:rFonts w:ascii="Arial" w:cs="Arial" w:eastAsia="Arial" w:hAnsi="Arial"/>
                <w:sz w:val="14"/>
                <w:szCs w:val="14"/>
                <w:color w:val="auto"/>
              </w:rPr>
              <w:t>Political subdivisions of</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States, Territories and</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Possessions</w:t>
            </w:r>
          </w:p>
        </w:tc>
        <w:tc>
          <w:tcPr>
            <w:tcW w:w="300" w:type="dxa"/>
            <w:vAlign w:val="bottom"/>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2" w:lineRule="exact"/>
              <w:rPr>
                <w:sz w:val="20"/>
                <w:szCs w:val="20"/>
                <w:color w:val="auto"/>
              </w:rPr>
            </w:pPr>
            <w:r>
              <w:rPr>
                <w:rFonts w:ascii="Arial" w:cs="Arial" w:eastAsia="Arial" w:hAnsi="Arial"/>
                <w:sz w:val="14"/>
                <w:szCs w:val="14"/>
                <w:color w:val="auto"/>
              </w:rPr>
              <w:t>1,549,839</w:t>
            </w:r>
          </w:p>
        </w:tc>
        <w:tc>
          <w:tcPr>
            <w:tcW w:w="32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70"/>
              <w:spacing w:after="0" w:line="152" w:lineRule="exact"/>
              <w:rPr>
                <w:sz w:val="20"/>
                <w:szCs w:val="20"/>
                <w:color w:val="auto"/>
              </w:rPr>
            </w:pPr>
            <w:r>
              <w:rPr>
                <w:rFonts w:ascii="Arial" w:cs="Arial" w:eastAsia="Arial" w:hAnsi="Arial"/>
                <w:sz w:val="14"/>
                <w:szCs w:val="14"/>
                <w:color w:val="auto"/>
              </w:rPr>
              <w:t>(30,814)</w:t>
            </w:r>
          </w:p>
        </w:tc>
        <w:tc>
          <w:tcPr>
            <w:tcW w:w="960" w:type="dxa"/>
            <w:vAlign w:val="bottom"/>
          </w:tcPr>
          <w:p>
            <w:pPr>
              <w:jc w:val="right"/>
              <w:ind w:right="30"/>
              <w:spacing w:after="0" w:line="152" w:lineRule="exact"/>
              <w:rPr>
                <w:sz w:val="20"/>
                <w:szCs w:val="20"/>
                <w:color w:val="auto"/>
              </w:rPr>
            </w:pPr>
            <w:r>
              <w:rPr>
                <w:rFonts w:ascii="Arial" w:cs="Arial" w:eastAsia="Arial" w:hAnsi="Arial"/>
                <w:sz w:val="14"/>
                <w:szCs w:val="14"/>
                <w:color w:val="auto"/>
              </w:rPr>
              <w:t>4</w:t>
            </w:r>
          </w:p>
        </w:tc>
        <w:tc>
          <w:tcPr>
            <w:tcW w:w="300" w:type="dxa"/>
            <w:vAlign w:val="bottom"/>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90"/>
              <w:spacing w:after="0" w:line="152"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line="152" w:lineRule="exact"/>
              <w:rPr>
                <w:sz w:val="20"/>
                <w:szCs w:val="20"/>
                <w:color w:val="auto"/>
              </w:rPr>
            </w:pPr>
            <w:r>
              <w:rPr>
                <w:rFonts w:ascii="Arial" w:cs="Arial" w:eastAsia="Arial" w:hAnsi="Arial"/>
                <w:sz w:val="14"/>
                <w:szCs w:val="14"/>
                <w:color w:val="auto"/>
              </w:rPr>
              <w:t>1,549,839</w:t>
            </w:r>
          </w:p>
        </w:tc>
        <w:tc>
          <w:tcPr>
            <w:tcW w:w="24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2" w:lineRule="exact"/>
              <w:rPr>
                <w:sz w:val="20"/>
                <w:szCs w:val="20"/>
                <w:color w:val="auto"/>
              </w:rPr>
            </w:pPr>
            <w:r>
              <w:rPr>
                <w:rFonts w:ascii="Arial" w:cs="Arial" w:eastAsia="Arial" w:hAnsi="Arial"/>
                <w:sz w:val="14"/>
                <w:szCs w:val="14"/>
                <w:color w:val="auto"/>
              </w:rPr>
              <w:t>(30,814)</w:t>
            </w:r>
          </w:p>
        </w:tc>
      </w:tr>
      <w:tr>
        <w:trPr>
          <w:trHeight w:val="152"/>
        </w:trPr>
        <w:tc>
          <w:tcPr>
            <w:tcW w:w="2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Corporate and other</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bonds industrial and</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miscellaneous</w:t>
            </w:r>
          </w:p>
        </w:tc>
        <w:tc>
          <w:tcPr>
            <w:tcW w:w="3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Arial" w:cs="Arial" w:eastAsia="Arial" w:hAnsi="Arial"/>
                <w:sz w:val="14"/>
                <w:szCs w:val="14"/>
                <w:color w:val="auto"/>
              </w:rPr>
              <w:t>15,036,462</w:t>
            </w:r>
          </w:p>
        </w:tc>
        <w:tc>
          <w:tcPr>
            <w:tcW w:w="320" w:type="dxa"/>
            <w:vAlign w:val="bottom"/>
          </w:tcPr>
          <w:p>
            <w:pPr>
              <w:spacing w:after="0"/>
              <w:rPr>
                <w:sz w:val="13"/>
                <w:szCs w:val="13"/>
                <w:color w:val="auto"/>
              </w:rPr>
            </w:pPr>
          </w:p>
        </w:tc>
        <w:tc>
          <w:tcPr>
            <w:tcW w:w="1080" w:type="dxa"/>
            <w:vAlign w:val="bottom"/>
          </w:tcPr>
          <w:p>
            <w:pPr>
              <w:jc w:val="right"/>
              <w:ind w:right="170"/>
              <w:spacing w:after="0" w:line="152" w:lineRule="exact"/>
              <w:rPr>
                <w:sz w:val="20"/>
                <w:szCs w:val="20"/>
                <w:color w:val="auto"/>
              </w:rPr>
            </w:pPr>
            <w:r>
              <w:rPr>
                <w:rFonts w:ascii="Arial" w:cs="Arial" w:eastAsia="Arial" w:hAnsi="Arial"/>
                <w:sz w:val="14"/>
                <w:szCs w:val="14"/>
                <w:color w:val="auto"/>
              </w:rPr>
              <w:t>(269,857)</w:t>
            </w:r>
          </w:p>
        </w:tc>
        <w:tc>
          <w:tcPr>
            <w:tcW w:w="960" w:type="dxa"/>
            <w:vAlign w:val="bottom"/>
          </w:tcPr>
          <w:p>
            <w:pPr>
              <w:jc w:val="right"/>
              <w:ind w:right="30"/>
              <w:spacing w:after="0" w:line="152" w:lineRule="exact"/>
              <w:rPr>
                <w:sz w:val="20"/>
                <w:szCs w:val="20"/>
                <w:color w:val="auto"/>
              </w:rPr>
            </w:pPr>
            <w:r>
              <w:rPr>
                <w:rFonts w:ascii="Arial" w:cs="Arial" w:eastAsia="Arial" w:hAnsi="Arial"/>
                <w:sz w:val="14"/>
                <w:szCs w:val="14"/>
                <w:color w:val="auto"/>
              </w:rPr>
              <w:t>20</w:t>
            </w:r>
          </w:p>
        </w:tc>
        <w:tc>
          <w:tcPr>
            <w:tcW w:w="30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w:cs="Arial" w:eastAsia="Arial" w:hAnsi="Arial"/>
                <w:sz w:val="14"/>
                <w:szCs w:val="14"/>
                <w:color w:val="auto"/>
              </w:rPr>
              <w:t>9,113,924</w:t>
            </w:r>
          </w:p>
        </w:tc>
        <w:tc>
          <w:tcPr>
            <w:tcW w:w="280" w:type="dxa"/>
            <w:vAlign w:val="bottom"/>
          </w:tcPr>
          <w:p>
            <w:pPr>
              <w:spacing w:after="0"/>
              <w:rPr>
                <w:sz w:val="13"/>
                <w:szCs w:val="13"/>
                <w:color w:val="auto"/>
              </w:rPr>
            </w:pPr>
          </w:p>
        </w:tc>
        <w:tc>
          <w:tcPr>
            <w:tcW w:w="1060" w:type="dxa"/>
            <w:vAlign w:val="bottom"/>
          </w:tcPr>
          <w:p>
            <w:pPr>
              <w:jc w:val="right"/>
              <w:ind w:right="150"/>
              <w:spacing w:after="0" w:line="152" w:lineRule="exact"/>
              <w:rPr>
                <w:sz w:val="20"/>
                <w:szCs w:val="20"/>
                <w:color w:val="auto"/>
              </w:rPr>
            </w:pPr>
            <w:r>
              <w:rPr>
                <w:rFonts w:ascii="Arial" w:cs="Arial" w:eastAsia="Arial" w:hAnsi="Arial"/>
                <w:sz w:val="14"/>
                <w:szCs w:val="14"/>
                <w:color w:val="auto"/>
              </w:rPr>
              <w:t>(340,516)</w:t>
            </w:r>
          </w:p>
        </w:tc>
        <w:tc>
          <w:tcPr>
            <w:tcW w:w="980" w:type="dxa"/>
            <w:vAlign w:val="bottom"/>
          </w:tcPr>
          <w:p>
            <w:pPr>
              <w:jc w:val="right"/>
              <w:ind w:right="30"/>
              <w:spacing w:after="0" w:line="152"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3"/>
                <w:szCs w:val="13"/>
                <w:color w:val="auto"/>
              </w:rPr>
            </w:pPr>
          </w:p>
        </w:tc>
        <w:tc>
          <w:tcPr>
            <w:tcW w:w="900" w:type="dxa"/>
            <w:vAlign w:val="bottom"/>
          </w:tcPr>
          <w:p>
            <w:pPr>
              <w:jc w:val="right"/>
              <w:ind w:right="30"/>
              <w:spacing w:after="0" w:line="152" w:lineRule="exact"/>
              <w:rPr>
                <w:sz w:val="20"/>
                <w:szCs w:val="20"/>
                <w:color w:val="auto"/>
              </w:rPr>
            </w:pPr>
            <w:r>
              <w:rPr>
                <w:rFonts w:ascii="Arial" w:cs="Arial" w:eastAsia="Arial" w:hAnsi="Arial"/>
                <w:sz w:val="14"/>
                <w:szCs w:val="14"/>
                <w:color w:val="auto"/>
              </w:rPr>
              <w:t>24,150,386</w:t>
            </w:r>
          </w:p>
        </w:tc>
        <w:tc>
          <w:tcPr>
            <w:tcW w:w="240" w:type="dxa"/>
            <w:vAlign w:val="bottom"/>
          </w:tcPr>
          <w:p>
            <w:pPr>
              <w:spacing w:after="0"/>
              <w:rPr>
                <w:sz w:val="13"/>
                <w:szCs w:val="13"/>
                <w:color w:val="auto"/>
              </w:rPr>
            </w:pPr>
          </w:p>
        </w:tc>
        <w:tc>
          <w:tcPr>
            <w:tcW w:w="900" w:type="dxa"/>
            <w:vAlign w:val="bottom"/>
          </w:tcPr>
          <w:p>
            <w:pPr>
              <w:jc w:val="right"/>
              <w:spacing w:after="0" w:line="152" w:lineRule="exact"/>
              <w:rPr>
                <w:sz w:val="20"/>
                <w:szCs w:val="20"/>
                <w:color w:val="auto"/>
              </w:rPr>
            </w:pPr>
            <w:r>
              <w:rPr>
                <w:rFonts w:ascii="Arial" w:cs="Arial" w:eastAsia="Arial" w:hAnsi="Arial"/>
                <w:sz w:val="14"/>
                <w:szCs w:val="14"/>
                <w:color w:val="auto"/>
              </w:rPr>
              <w:t>(610,373)</w:t>
            </w:r>
          </w:p>
        </w:tc>
      </w:tr>
      <w:tr>
        <w:trPr>
          <w:trHeight w:val="152"/>
        </w:trPr>
        <w:tc>
          <w:tcPr>
            <w:tcW w:w="2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Residential mortgage and other</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2300" w:type="dxa"/>
            <w:vAlign w:val="bottom"/>
            <w:tcBorders>
              <w:bottom w:val="single" w:sz="8" w:color="CCEEFF"/>
            </w:tcBorders>
            <w:shd w:val="clear" w:color="auto" w:fill="CCEEFF"/>
          </w:tcPr>
          <w:p>
            <w:pPr>
              <w:ind w:left="40"/>
              <w:spacing w:after="0" w:line="152" w:lineRule="exact"/>
              <w:rPr>
                <w:sz w:val="20"/>
                <w:szCs w:val="20"/>
                <w:color w:val="auto"/>
              </w:rPr>
            </w:pPr>
            <w:r>
              <w:rPr>
                <w:rFonts w:ascii="Arial" w:cs="Arial" w:eastAsia="Arial" w:hAnsi="Arial"/>
                <w:sz w:val="14"/>
                <w:szCs w:val="14"/>
                <w:color w:val="auto"/>
              </w:rPr>
              <w:t>asset backed securities</w:t>
            </w: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6,956,371</w:t>
            </w: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(48,482)</w:t>
            </w:r>
          </w:p>
        </w:tc>
        <w:tc>
          <w:tcPr>
            <w:tcW w:w="96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6</w:t>
            </w: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7,867,572</w:t>
            </w:r>
          </w:p>
        </w:tc>
        <w:tc>
          <w:tcPr>
            <w:tcW w:w="2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(189,022)</w:t>
            </w:r>
          </w:p>
        </w:tc>
        <w:tc>
          <w:tcPr>
            <w:tcW w:w="98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15</w:t>
            </w: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14,823,943</w:t>
            </w: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(237,504)</w:t>
            </w:r>
          </w:p>
        </w:tc>
      </w:tr>
      <w:tr>
        <w:trPr>
          <w:trHeight w:val="152"/>
        </w:trPr>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Total fixed-maturity</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7"/>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securities</w:t>
            </w:r>
          </w:p>
        </w:tc>
        <w:tc>
          <w:tcPr>
            <w:tcW w:w="300" w:type="dxa"/>
            <w:vAlign w:val="bottom"/>
            <w:tcBorders>
              <w:bottom w:val="single" w:sz="8" w:color="auto"/>
            </w:tcBorders>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23,542,672</w:t>
            </w:r>
          </w:p>
        </w:tc>
        <w:tc>
          <w:tcPr>
            <w:tcW w:w="3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70"/>
              <w:spacing w:after="0" w:line="152" w:lineRule="exact"/>
              <w:rPr>
                <w:sz w:val="20"/>
                <w:szCs w:val="20"/>
                <w:color w:val="auto"/>
              </w:rPr>
            </w:pPr>
            <w:r>
              <w:rPr>
                <w:rFonts w:ascii="Arial" w:cs="Arial" w:eastAsia="Arial" w:hAnsi="Arial"/>
                <w:sz w:val="14"/>
                <w:szCs w:val="14"/>
                <w:color w:val="auto"/>
              </w:rPr>
              <w:t>(349,153)</w:t>
            </w:r>
          </w:p>
        </w:tc>
        <w:tc>
          <w:tcPr>
            <w:tcW w:w="96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30</w:t>
            </w:r>
          </w:p>
        </w:tc>
        <w:tc>
          <w:tcPr>
            <w:tcW w:w="30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16,981,496</w:t>
            </w:r>
          </w:p>
        </w:tc>
        <w:tc>
          <w:tcPr>
            <w:tcW w:w="2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50"/>
              <w:spacing w:after="0" w:line="152" w:lineRule="exact"/>
              <w:rPr>
                <w:sz w:val="20"/>
                <w:szCs w:val="20"/>
                <w:color w:val="auto"/>
              </w:rPr>
            </w:pPr>
            <w:r>
              <w:rPr>
                <w:rFonts w:ascii="Arial" w:cs="Arial" w:eastAsia="Arial" w:hAnsi="Arial"/>
                <w:sz w:val="14"/>
                <w:szCs w:val="14"/>
                <w:color w:val="auto"/>
              </w:rPr>
              <w:t>(529,538)</w:t>
            </w:r>
          </w:p>
        </w:tc>
        <w:tc>
          <w:tcPr>
            <w:tcW w:w="98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32</w:t>
            </w:r>
          </w:p>
        </w:tc>
        <w:tc>
          <w:tcPr>
            <w:tcW w:w="2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40,524,168</w:t>
            </w:r>
          </w:p>
        </w:tc>
        <w:tc>
          <w:tcPr>
            <w:tcW w:w="2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(878,691)</w:t>
            </w:r>
          </w:p>
        </w:tc>
      </w:tr>
      <w:tr>
        <w:trPr>
          <w:trHeight w:val="152"/>
        </w:trPr>
        <w:tc>
          <w:tcPr>
            <w:tcW w:w="2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b w:val="1"/>
                <w:bCs w:val="1"/>
                <w:color w:val="auto"/>
              </w:rPr>
              <w:t>Equity Securities:</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Preferred stocks</w:t>
            </w:r>
          </w:p>
        </w:tc>
        <w:tc>
          <w:tcPr>
            <w:tcW w:w="30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1,605,217</w:t>
            </w:r>
          </w:p>
        </w:tc>
        <w:tc>
          <w:tcPr>
            <w:tcW w:w="3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(20,313)</w:t>
            </w:r>
          </w:p>
        </w:tc>
        <w:tc>
          <w:tcPr>
            <w:tcW w:w="96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5</w:t>
            </w:r>
          </w:p>
        </w:tc>
        <w:tc>
          <w:tcPr>
            <w:tcW w:w="3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1,776,675</w:t>
            </w:r>
          </w:p>
        </w:tc>
        <w:tc>
          <w:tcPr>
            <w:tcW w:w="2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(120,712)</w:t>
            </w:r>
          </w:p>
        </w:tc>
        <w:tc>
          <w:tcPr>
            <w:tcW w:w="98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3,381,892</w:t>
            </w:r>
          </w:p>
        </w:tc>
        <w:tc>
          <w:tcPr>
            <w:tcW w:w="2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(141,025)</w:t>
            </w: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Common stocks and</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2300" w:type="dxa"/>
            <w:vAlign w:val="bottom"/>
            <w:tcBorders>
              <w:bottom w:val="single" w:sz="8" w:color="CCEEFF"/>
            </w:tcBorders>
            <w:shd w:val="clear" w:color="auto" w:fill="CCEEFF"/>
          </w:tcPr>
          <w:p>
            <w:pPr>
              <w:ind w:left="40"/>
              <w:spacing w:after="0" w:line="152" w:lineRule="exact"/>
              <w:rPr>
                <w:sz w:val="20"/>
                <w:szCs w:val="20"/>
                <w:color w:val="auto"/>
              </w:rPr>
            </w:pPr>
            <w:r>
              <w:rPr>
                <w:rFonts w:ascii="Arial" w:cs="Arial" w:eastAsia="Arial" w:hAnsi="Arial"/>
                <w:sz w:val="14"/>
                <w:szCs w:val="14"/>
                <w:color w:val="auto"/>
              </w:rPr>
              <w:t>exchange traded mutual funds</w:t>
            </w: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1,446,375</w:t>
            </w: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(222,205)</w:t>
            </w:r>
          </w:p>
        </w:tc>
        <w:tc>
          <w:tcPr>
            <w:tcW w:w="96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4</w:t>
            </w: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124,900</w:t>
            </w:r>
          </w:p>
        </w:tc>
        <w:tc>
          <w:tcPr>
            <w:tcW w:w="2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(14,530)</w:t>
            </w:r>
          </w:p>
        </w:tc>
        <w:tc>
          <w:tcPr>
            <w:tcW w:w="98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1,571,275</w:t>
            </w: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(236,735)</w:t>
            </w:r>
          </w:p>
        </w:tc>
      </w:tr>
      <w:tr>
        <w:trPr>
          <w:trHeight w:val="152"/>
        </w:trPr>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2300" w:type="dxa"/>
            <w:vAlign w:val="bottom"/>
            <w:tcBorders>
              <w:bottom w:val="single" w:sz="8" w:color="CCEEFF"/>
            </w:tcBorders>
            <w:shd w:val="clear" w:color="auto" w:fill="CCEEFF"/>
          </w:tcPr>
          <w:p>
            <w:pPr>
              <w:ind w:left="40"/>
              <w:spacing w:after="0" w:line="152" w:lineRule="exact"/>
              <w:rPr>
                <w:sz w:val="20"/>
                <w:szCs w:val="20"/>
                <w:color w:val="auto"/>
              </w:rPr>
            </w:pPr>
            <w:r>
              <w:rPr>
                <w:rFonts w:ascii="Arial" w:cs="Arial" w:eastAsia="Arial" w:hAnsi="Arial"/>
                <w:sz w:val="14"/>
                <w:szCs w:val="14"/>
                <w:color w:val="auto"/>
              </w:rPr>
              <w:t>Total equity securities</w:t>
            </w:r>
          </w:p>
        </w:tc>
        <w:tc>
          <w:tcPr>
            <w:tcW w:w="300" w:type="dxa"/>
            <w:vAlign w:val="bottom"/>
            <w:tcBorders>
              <w:bottom w:val="single" w:sz="8" w:color="auto"/>
            </w:tcBorders>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3,051,592</w:t>
            </w:r>
          </w:p>
        </w:tc>
        <w:tc>
          <w:tcPr>
            <w:tcW w:w="3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(242,518)</w:t>
            </w:r>
          </w:p>
        </w:tc>
        <w:tc>
          <w:tcPr>
            <w:tcW w:w="96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1,901,575</w:t>
            </w:r>
          </w:p>
        </w:tc>
        <w:tc>
          <w:tcPr>
            <w:tcW w:w="2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(135,242)</w:t>
            </w:r>
          </w:p>
        </w:tc>
        <w:tc>
          <w:tcPr>
            <w:tcW w:w="98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4</w:t>
            </w:r>
          </w:p>
        </w:tc>
        <w:tc>
          <w:tcPr>
            <w:tcW w:w="2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4,953,167</w:t>
            </w:r>
          </w:p>
        </w:tc>
        <w:tc>
          <w:tcPr>
            <w:tcW w:w="2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(377,760)</w:t>
            </w:r>
          </w:p>
        </w:tc>
      </w:tr>
      <w:tr>
        <w:trPr>
          <w:trHeight w:val="152"/>
        </w:trPr>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2"/>
        </w:trPr>
        <w:tc>
          <w:tcPr>
            <w:tcW w:w="2300" w:type="dxa"/>
            <w:vAlign w:val="bottom"/>
            <w:tcBorders>
              <w:bottom w:val="single" w:sz="8" w:color="CCEEFF"/>
            </w:tcBorders>
            <w:shd w:val="clear" w:color="auto" w:fill="CCEEFF"/>
          </w:tcPr>
          <w:p>
            <w:pPr>
              <w:ind w:left="40"/>
              <w:spacing w:after="0" w:line="152" w:lineRule="exact"/>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26,594,264</w:t>
            </w:r>
          </w:p>
        </w:tc>
        <w:tc>
          <w:tcPr>
            <w:tcW w:w="3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(591,671)</w:t>
            </w:r>
          </w:p>
        </w:tc>
        <w:tc>
          <w:tcPr>
            <w:tcW w:w="96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39</w:t>
            </w:r>
          </w:p>
        </w:tc>
        <w:tc>
          <w:tcPr>
            <w:tcW w:w="3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18,883,071</w:t>
            </w:r>
          </w:p>
        </w:tc>
        <w:tc>
          <w:tcPr>
            <w:tcW w:w="2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(664,780)</w:t>
            </w:r>
          </w:p>
        </w:tc>
        <w:tc>
          <w:tcPr>
            <w:tcW w:w="98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36</w:t>
            </w:r>
          </w:p>
        </w:tc>
        <w:tc>
          <w:tcPr>
            <w:tcW w:w="2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45,477,335</w:t>
            </w:r>
          </w:p>
        </w:tc>
        <w:tc>
          <w:tcPr>
            <w:tcW w:w="2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(1,256,451)</w:t>
            </w: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Note 4 - Fair Value Measurements</w:t>
      </w:r>
    </w:p>
    <w:p>
      <w:pPr>
        <w:spacing w:after="0" w:line="22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Fair value is the price that would be received upon sale of an asset or paid to transfer a liability in an orderly transaction between market participants at the measurement date. The valuation technique used by the Company to fair value its financial instruments is the market approach, which uses prices and other relevant information generated by market transactions involving identical or comparable assets.</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6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—Inputs to the valuation methodology are quoted prices (unadjusted) for identical assets or liabilities traded in active markets. Included are those investments traded</w:t>
      </w:r>
      <w:r>
        <w:rPr>
          <w:rFonts w:ascii="Arial" w:cs="Arial" w:eastAsia="Arial" w:hAnsi="Arial"/>
          <w:sz w:val="16"/>
          <w:szCs w:val="16"/>
          <w:i w:val="1"/>
          <w:iCs w:val="1"/>
          <w:color w:val="auto"/>
        </w:rPr>
        <w:t xml:space="preserve"> </w:t>
      </w:r>
      <w:r>
        <w:rPr>
          <w:rFonts w:ascii="Arial" w:cs="Arial" w:eastAsia="Arial" w:hAnsi="Arial"/>
          <w:sz w:val="16"/>
          <w:szCs w:val="16"/>
          <w:color w:val="auto"/>
        </w:rPr>
        <w:t>on an active exchange, such as the NASDAQ Global Select Market, U.S. Treasury securities and obligations of U.S. government agencies, together with corporate debt securities that are generally investment grade.</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—Inputs to the valuation methodology include quoted prices for similar assets or liabilities in active markets, quoted prices for identical or similar assets or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—Inputs to the valuation methodology are unobservable for the asset or liability and are significant to the fair value measurement. Material assumptions and factors</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considered in pricing investment securities and other assets may include appraisals, projected cash flows, market clearing activity or liquidity circumstances in the security or similar securities that may have occurred since the prior pricing period.</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20" w:name="page21"/>
    <w:bookmarkEnd w:id="20"/>
    <w:p>
      <w:pPr>
        <w:ind w:right="360"/>
        <w:spacing w:after="0" w:line="296" w:lineRule="auto"/>
        <w:rPr>
          <w:sz w:val="20"/>
          <w:szCs w:val="20"/>
          <w:color w:val="auto"/>
        </w:rPr>
      </w:pPr>
      <w:r>
        <w:rPr>
          <w:rFonts w:ascii="Arial" w:cs="Arial" w:eastAsia="Arial" w:hAnsi="Arial"/>
          <w:sz w:val="16"/>
          <w:szCs w:val="16"/>
          <w:color w:val="auto"/>
        </w:rPr>
        <w:t>The following table presents information about the Company’s investments that are measured at fair value on a recurring basis at June 30, 2018 and December 31, 2017 indicating the fair value hierarchy of the valuation inputs the Company utilized to determine such fair value: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ind w:right="562"/>
              <w:spacing w:after="0"/>
              <w:rPr>
                <w:sz w:val="20"/>
                <w:szCs w:val="20"/>
                <w:color w:val="auto"/>
              </w:rPr>
            </w:pPr>
            <w:r>
              <w:rPr>
                <w:rFonts w:ascii="Arial" w:cs="Arial" w:eastAsia="Arial" w:hAnsi="Arial"/>
                <w:sz w:val="14"/>
                <w:szCs w:val="14"/>
                <w:b w:val="1"/>
                <w:bCs w:val="1"/>
                <w:color w:val="auto"/>
              </w:rPr>
              <w:t>June 30, 2018</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57"/>
        </w:trPr>
        <w:tc>
          <w:tcPr>
            <w:tcW w:w="4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9"/>
              <w:spacing w:after="0" w:line="152" w:lineRule="exact"/>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1"/>
              <w:spacing w:after="0" w:line="152" w:lineRule="exact"/>
              <w:rPr>
                <w:sz w:val="20"/>
                <w:szCs w:val="20"/>
                <w:color w:val="auto"/>
              </w:rPr>
            </w:pPr>
            <w:r>
              <w:rPr>
                <w:rFonts w:ascii="Arial" w:cs="Arial" w:eastAsia="Arial" w:hAnsi="Arial"/>
                <w:sz w:val="14"/>
                <w:szCs w:val="14"/>
                <w:b w:val="1"/>
                <w:bCs w:val="1"/>
                <w:color w:val="auto"/>
              </w:rPr>
              <w:t>Level 2</w:t>
            </w:r>
          </w:p>
        </w:tc>
        <w:tc>
          <w:tcPr>
            <w:tcW w:w="1040" w:type="dxa"/>
            <w:vAlign w:val="bottom"/>
            <w:tcBorders>
              <w:bottom w:val="single" w:sz="8" w:color="auto"/>
            </w:tcBorders>
          </w:tcPr>
          <w:p>
            <w:pPr>
              <w:jc w:val="right"/>
              <w:ind w:right="62"/>
              <w:spacing w:after="0" w:line="152" w:lineRule="exact"/>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9"/>
              <w:spacing w:after="0" w:line="152" w:lineRule="exact"/>
              <w:rPr>
                <w:sz w:val="20"/>
                <w:szCs w:val="20"/>
                <w:color w:val="auto"/>
              </w:rPr>
            </w:pPr>
            <w:r>
              <w:rPr>
                <w:rFonts w:ascii="Arial" w:cs="Arial" w:eastAsia="Arial" w:hAnsi="Arial"/>
                <w:sz w:val="14"/>
                <w:szCs w:val="14"/>
                <w:b w:val="1"/>
                <w:bCs w:val="1"/>
                <w:color w:val="auto"/>
              </w:rPr>
              <w:t>Total</w:t>
            </w:r>
          </w:p>
        </w:tc>
      </w:tr>
      <w:tr>
        <w:trPr>
          <w:trHeight w:val="228"/>
        </w:trPr>
        <w:tc>
          <w:tcPr>
            <w:tcW w:w="4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Fixed-maturity securities available-for-sale</w:t>
            </w:r>
          </w:p>
        </w:tc>
        <w:tc>
          <w:tcPr>
            <w:tcW w:w="1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340" w:type="dxa"/>
            <w:vAlign w:val="bottom"/>
          </w:tcPr>
          <w:p>
            <w:pPr>
              <w:ind w:left="40"/>
              <w:spacing w:after="0"/>
              <w:rPr>
                <w:sz w:val="20"/>
                <w:szCs w:val="20"/>
                <w:color w:val="auto"/>
              </w:rPr>
            </w:pPr>
            <w:r>
              <w:rPr>
                <w:rFonts w:ascii="Arial" w:cs="Arial" w:eastAsia="Arial" w:hAnsi="Arial"/>
                <w:sz w:val="16"/>
                <w:szCs w:val="16"/>
                <w:color w:val="auto"/>
              </w:rPr>
              <w:t>U.S. Treasury securities</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and obligations of U.S.</w:t>
            </w:r>
          </w:p>
        </w:tc>
        <w:tc>
          <w:tcPr>
            <w:tcW w:w="1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340" w:type="dxa"/>
            <w:vAlign w:val="bottom"/>
          </w:tcPr>
          <w:p>
            <w:pPr>
              <w:ind w:left="40"/>
              <w:spacing w:after="0"/>
              <w:rPr>
                <w:sz w:val="20"/>
                <w:szCs w:val="20"/>
                <w:color w:val="auto"/>
              </w:rPr>
            </w:pPr>
            <w:r>
              <w:rPr>
                <w:rFonts w:ascii="Arial" w:cs="Arial" w:eastAsia="Arial" w:hAnsi="Arial"/>
                <w:sz w:val="16"/>
                <w:szCs w:val="16"/>
                <w:color w:val="auto"/>
              </w:rPr>
              <w:t>government corporations</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4"/>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and agencies</w:t>
            </w: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8,177,576</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8,177,576</w:t>
            </w:r>
          </w:p>
        </w:tc>
      </w:tr>
      <w:tr>
        <w:trPr>
          <w:trHeight w:val="203"/>
        </w:trPr>
        <w:tc>
          <w:tcPr>
            <w:tcW w:w="4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Political subdivisions of</w:t>
            </w: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340" w:type="dxa"/>
            <w:vAlign w:val="bottom"/>
          </w:tcPr>
          <w:p>
            <w:pPr>
              <w:ind w:left="40"/>
              <w:spacing w:after="0"/>
              <w:rPr>
                <w:sz w:val="20"/>
                <w:szCs w:val="20"/>
                <w:color w:val="auto"/>
              </w:rPr>
            </w:pPr>
            <w:r>
              <w:rPr>
                <w:rFonts w:ascii="Arial" w:cs="Arial" w:eastAsia="Arial" w:hAnsi="Arial"/>
                <w:sz w:val="16"/>
                <w:szCs w:val="16"/>
                <w:color w:val="auto"/>
              </w:rPr>
              <w:t>States, Territories and</w:t>
            </w: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Possessions</w:t>
            </w: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6,531,926</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6,531,926</w:t>
            </w:r>
          </w:p>
        </w:tc>
      </w:tr>
      <w:tr>
        <w:trPr>
          <w:trHeight w:val="203"/>
        </w:trPr>
        <w:tc>
          <w:tcPr>
            <w:tcW w:w="4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other</w:t>
            </w: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340" w:type="dxa"/>
            <w:vAlign w:val="bottom"/>
          </w:tcPr>
          <w:p>
            <w:pPr>
              <w:ind w:left="40"/>
              <w:spacing w:after="0"/>
              <w:rPr>
                <w:sz w:val="20"/>
                <w:szCs w:val="20"/>
                <w:color w:val="auto"/>
              </w:rPr>
            </w:pPr>
            <w:r>
              <w:rPr>
                <w:rFonts w:ascii="Arial" w:cs="Arial" w:eastAsia="Arial" w:hAnsi="Arial"/>
                <w:sz w:val="16"/>
                <w:szCs w:val="16"/>
                <w:color w:val="auto"/>
              </w:rPr>
              <w:t>bonds industrial and</w:t>
            </w: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miscellaneous</w:t>
            </w: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100,445,692</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3,685,046</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104,130,738</w:t>
            </w:r>
          </w:p>
        </w:tc>
      </w:tr>
      <w:tr>
        <w:trPr>
          <w:trHeight w:val="203"/>
        </w:trPr>
        <w:tc>
          <w:tcPr>
            <w:tcW w:w="4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 backed securities</w:t>
            </w:r>
          </w:p>
        </w:tc>
        <w:tc>
          <w:tcPr>
            <w:tcW w:w="16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23,705,293</w:t>
            </w:r>
          </w:p>
        </w:tc>
        <w:tc>
          <w:tcPr>
            <w:tcW w:w="10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23,705,293</w:t>
            </w:r>
          </w:p>
        </w:tc>
      </w:tr>
      <w:tr>
        <w:trPr>
          <w:trHeight w:val="203"/>
        </w:trPr>
        <w:tc>
          <w:tcPr>
            <w:tcW w:w="4340" w:type="dxa"/>
            <w:vAlign w:val="bottom"/>
          </w:tcPr>
          <w:p>
            <w:pPr>
              <w:ind w:left="40"/>
              <w:spacing w:after="0"/>
              <w:rPr>
                <w:sz w:val="20"/>
                <w:szCs w:val="20"/>
                <w:color w:val="auto"/>
              </w:rPr>
            </w:pPr>
            <w:r>
              <w:rPr>
                <w:rFonts w:ascii="Arial" w:cs="Arial" w:eastAsia="Arial" w:hAnsi="Arial"/>
                <w:sz w:val="16"/>
                <w:szCs w:val="16"/>
                <w:color w:val="auto"/>
              </w:rPr>
              <w:t>Total fixed maturities</w:t>
            </w: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108,623,268</w:t>
            </w:r>
          </w:p>
        </w:tc>
        <w:tc>
          <w:tcPr>
            <w:tcW w:w="360" w:type="dxa"/>
            <w:vAlign w:val="bottom"/>
          </w:tcPr>
          <w:p>
            <w:pPr>
              <w:spacing w:after="0"/>
              <w:rPr>
                <w:sz w:val="17"/>
                <w:szCs w:val="17"/>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33,922,265</w:t>
            </w:r>
          </w:p>
        </w:tc>
        <w:tc>
          <w:tcPr>
            <w:tcW w:w="1040" w:type="dxa"/>
            <w:vAlign w:val="bottom"/>
          </w:tcPr>
          <w:p>
            <w:pPr>
              <w:spacing w:after="0"/>
              <w:rPr>
                <w:sz w:val="17"/>
                <w:szCs w:val="17"/>
                <w:color w:val="auto"/>
              </w:rPr>
            </w:pPr>
          </w:p>
        </w:tc>
        <w:tc>
          <w:tcPr>
            <w:tcW w:w="3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w w:val="98"/>
              </w:rPr>
              <w:t>142,545,533</w:t>
            </w:r>
          </w:p>
        </w:tc>
      </w:tr>
      <w:tr>
        <w:trPr>
          <w:trHeight w:val="208"/>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securities</w:t>
            </w:r>
          </w:p>
        </w:tc>
        <w:tc>
          <w:tcPr>
            <w:tcW w:w="16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17,384,984</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17,384,984</w:t>
            </w:r>
          </w:p>
        </w:tc>
      </w:tr>
      <w:tr>
        <w:trPr>
          <w:trHeight w:val="203"/>
        </w:trPr>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1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126,008,252</w:t>
            </w:r>
          </w:p>
        </w:tc>
        <w:tc>
          <w:tcPr>
            <w:tcW w:w="3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33,922,265</w:t>
            </w:r>
          </w:p>
        </w:tc>
        <w:tc>
          <w:tcPr>
            <w:tcW w:w="104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w w:val="98"/>
              </w:rPr>
              <w:t>159,930,517</w:t>
            </w:r>
          </w:p>
        </w:tc>
      </w:tr>
      <w:tr>
        <w:trPr>
          <w:trHeight w:val="20"/>
        </w:trPr>
        <w:tc>
          <w:tcPr>
            <w:tcW w:w="4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51"/>
        </w:trPr>
        <w:tc>
          <w:tcPr>
            <w:tcW w:w="4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57"/>
        </w:trPr>
        <w:tc>
          <w:tcPr>
            <w:tcW w:w="43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9"/>
              <w:spacing w:after="0" w:line="152" w:lineRule="exact"/>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1"/>
              <w:spacing w:after="0" w:line="152" w:lineRule="exact"/>
              <w:rPr>
                <w:sz w:val="20"/>
                <w:szCs w:val="20"/>
                <w:color w:val="auto"/>
              </w:rPr>
            </w:pPr>
            <w:r>
              <w:rPr>
                <w:rFonts w:ascii="Arial" w:cs="Arial" w:eastAsia="Arial" w:hAnsi="Arial"/>
                <w:sz w:val="14"/>
                <w:szCs w:val="14"/>
                <w:b w:val="1"/>
                <w:bCs w:val="1"/>
                <w:color w:val="auto"/>
              </w:rPr>
              <w:t>Level 2</w:t>
            </w:r>
          </w:p>
        </w:tc>
        <w:tc>
          <w:tcPr>
            <w:tcW w:w="1040" w:type="dxa"/>
            <w:vAlign w:val="bottom"/>
            <w:tcBorders>
              <w:bottom w:val="single" w:sz="8" w:color="auto"/>
            </w:tcBorders>
          </w:tcPr>
          <w:p>
            <w:pPr>
              <w:jc w:val="right"/>
              <w:ind w:right="62"/>
              <w:spacing w:after="0" w:line="152" w:lineRule="exact"/>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9"/>
              <w:spacing w:after="0" w:line="152" w:lineRule="exact"/>
              <w:rPr>
                <w:sz w:val="20"/>
                <w:szCs w:val="20"/>
                <w:color w:val="auto"/>
              </w:rPr>
            </w:pPr>
            <w:r>
              <w:rPr>
                <w:rFonts w:ascii="Arial" w:cs="Arial" w:eastAsia="Arial" w:hAnsi="Arial"/>
                <w:sz w:val="14"/>
                <w:szCs w:val="14"/>
                <w:b w:val="1"/>
                <w:bCs w:val="1"/>
                <w:color w:val="auto"/>
              </w:rPr>
              <w:t>Total</w:t>
            </w:r>
          </w:p>
        </w:tc>
      </w:tr>
      <w:tr>
        <w:trPr>
          <w:trHeight w:val="228"/>
        </w:trPr>
        <w:tc>
          <w:tcPr>
            <w:tcW w:w="4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Fixed-maturity securities available-for-sale</w:t>
            </w:r>
          </w:p>
        </w:tc>
        <w:tc>
          <w:tcPr>
            <w:tcW w:w="1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340" w:type="dxa"/>
            <w:vAlign w:val="bottom"/>
          </w:tcPr>
          <w:p>
            <w:pPr>
              <w:ind w:left="40"/>
              <w:spacing w:after="0"/>
              <w:rPr>
                <w:sz w:val="20"/>
                <w:szCs w:val="20"/>
                <w:color w:val="auto"/>
              </w:rPr>
            </w:pPr>
            <w:r>
              <w:rPr>
                <w:rFonts w:ascii="Arial" w:cs="Arial" w:eastAsia="Arial" w:hAnsi="Arial"/>
                <w:sz w:val="16"/>
                <w:szCs w:val="16"/>
                <w:color w:val="auto"/>
              </w:rPr>
              <w:t>Political subdivisions of</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States, Territories and</w:t>
            </w:r>
          </w:p>
        </w:tc>
        <w:tc>
          <w:tcPr>
            <w:tcW w:w="1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3"/>
        </w:trPr>
        <w:tc>
          <w:tcPr>
            <w:tcW w:w="4340" w:type="dxa"/>
            <w:vAlign w:val="bottom"/>
          </w:tcPr>
          <w:p>
            <w:pPr>
              <w:ind w:left="40"/>
              <w:spacing w:after="0"/>
              <w:rPr>
                <w:sz w:val="20"/>
                <w:szCs w:val="20"/>
                <w:color w:val="auto"/>
              </w:rPr>
            </w:pPr>
            <w:r>
              <w:rPr>
                <w:rFonts w:ascii="Arial" w:cs="Arial" w:eastAsia="Arial" w:hAnsi="Arial"/>
                <w:sz w:val="16"/>
                <w:szCs w:val="16"/>
                <w:color w:val="auto"/>
              </w:rPr>
              <w:t>Possessions</w:t>
            </w:r>
          </w:p>
        </w:tc>
        <w:tc>
          <w:tcPr>
            <w:tcW w:w="19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11,315,443</w:t>
            </w:r>
          </w:p>
        </w:tc>
        <w:tc>
          <w:tcPr>
            <w:tcW w:w="104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11,315,443</w:t>
            </w:r>
          </w:p>
        </w:tc>
      </w:tr>
      <w:tr>
        <w:trPr>
          <w:trHeight w:val="203"/>
        </w:trPr>
        <w:tc>
          <w:tcPr>
            <w:tcW w:w="4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340" w:type="dxa"/>
            <w:vAlign w:val="bottom"/>
          </w:tcPr>
          <w:p>
            <w:pPr>
              <w:ind w:left="40"/>
              <w:spacing w:after="0"/>
              <w:rPr>
                <w:sz w:val="20"/>
                <w:szCs w:val="20"/>
                <w:color w:val="auto"/>
              </w:rPr>
            </w:pPr>
            <w:r>
              <w:rPr>
                <w:rFonts w:ascii="Arial" w:cs="Arial" w:eastAsia="Arial" w:hAnsi="Arial"/>
                <w:sz w:val="16"/>
                <w:szCs w:val="16"/>
                <w:color w:val="auto"/>
              </w:rPr>
              <w:t>Corporate and other</w:t>
            </w: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bonds industrial and</w:t>
            </w: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340" w:type="dxa"/>
            <w:vAlign w:val="bottom"/>
          </w:tcPr>
          <w:p>
            <w:pPr>
              <w:ind w:left="40"/>
              <w:spacing w:after="0"/>
              <w:rPr>
                <w:sz w:val="20"/>
                <w:szCs w:val="20"/>
                <w:color w:val="auto"/>
              </w:rPr>
            </w:pPr>
            <w:r>
              <w:rPr>
                <w:rFonts w:ascii="Arial" w:cs="Arial" w:eastAsia="Arial" w:hAnsi="Arial"/>
                <w:sz w:val="16"/>
                <w:szCs w:val="16"/>
                <w:color w:val="auto"/>
              </w:rPr>
              <w:t>miscellaneous</w:t>
            </w: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83,597,300</w:t>
            </w:r>
          </w:p>
        </w:tc>
        <w:tc>
          <w:tcPr>
            <w:tcW w:w="360" w:type="dxa"/>
            <w:vAlign w:val="bottom"/>
          </w:tcPr>
          <w:p>
            <w:pPr>
              <w:spacing w:after="0"/>
              <w:rPr>
                <w:sz w:val="17"/>
                <w:szCs w:val="17"/>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4,544,165</w:t>
            </w:r>
          </w:p>
        </w:tc>
        <w:tc>
          <w:tcPr>
            <w:tcW w:w="1040" w:type="dxa"/>
            <w:vAlign w:val="bottom"/>
          </w:tcPr>
          <w:p>
            <w:pPr>
              <w:spacing w:after="0"/>
              <w:rPr>
                <w:sz w:val="17"/>
                <w:szCs w:val="17"/>
                <w:color w:val="auto"/>
              </w:rPr>
            </w:pPr>
          </w:p>
        </w:tc>
        <w:tc>
          <w:tcPr>
            <w:tcW w:w="3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88,141,465</w:t>
            </w:r>
          </w:p>
        </w:tc>
      </w:tr>
      <w:tr>
        <w:trPr>
          <w:trHeight w:val="203"/>
        </w:trPr>
        <w:tc>
          <w:tcPr>
            <w:tcW w:w="4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8"/>
        </w:trPr>
        <w:tc>
          <w:tcPr>
            <w:tcW w:w="4340" w:type="dxa"/>
            <w:vAlign w:val="bottom"/>
          </w:tcPr>
          <w:p>
            <w:pPr>
              <w:ind w:left="40"/>
              <w:spacing w:after="0"/>
              <w:rPr>
                <w:sz w:val="20"/>
                <w:szCs w:val="20"/>
                <w:color w:val="auto"/>
              </w:rPr>
            </w:pPr>
            <w:r>
              <w:rPr>
                <w:rFonts w:ascii="Arial" w:cs="Arial" w:eastAsia="Arial" w:hAnsi="Arial"/>
                <w:sz w:val="16"/>
                <w:szCs w:val="16"/>
                <w:color w:val="auto"/>
              </w:rPr>
              <w:t>Residential mortgage backed securities</w:t>
            </w:r>
          </w:p>
        </w:tc>
        <w:tc>
          <w:tcPr>
            <w:tcW w:w="1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20,531,348</w:t>
            </w: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20,531,348</w:t>
            </w:r>
          </w:p>
        </w:tc>
      </w:tr>
      <w:tr>
        <w:trPr>
          <w:trHeight w:val="203"/>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fixed maturities</w:t>
            </w: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83,597,300</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36,390,956</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119,988,256</w:t>
            </w:r>
          </w:p>
        </w:tc>
      </w:tr>
      <w:tr>
        <w:trPr>
          <w:trHeight w:val="208"/>
        </w:trPr>
        <w:tc>
          <w:tcPr>
            <w:tcW w:w="434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1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14,286,198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14,286,198</w:t>
            </w:r>
          </w:p>
        </w:tc>
      </w:tr>
      <w:tr>
        <w:trPr>
          <w:trHeight w:val="243"/>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investments</w:t>
            </w:r>
          </w:p>
        </w:tc>
        <w:tc>
          <w:tcPr>
            <w:tcW w:w="1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97,883,498</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36,390,956</w:t>
            </w:r>
          </w:p>
        </w:tc>
        <w:tc>
          <w:tcPr>
            <w:tcW w:w="104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134,274,454</w:t>
            </w:r>
          </w:p>
        </w:tc>
      </w:tr>
      <w:tr>
        <w:trPr>
          <w:trHeight w:val="597"/>
        </w:trPr>
        <w:tc>
          <w:tcPr>
            <w:tcW w:w="434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CCEEFF"/>
              <w:bottom w:val="single" w:sz="8" w:color="auto"/>
            </w:tcBorders>
          </w:tcPr>
          <w:p>
            <w:pPr>
              <w:jc w:val="right"/>
              <w:ind w:right="78"/>
              <w:spacing w:after="0"/>
              <w:rPr>
                <w:sz w:val="20"/>
                <w:szCs w:val="20"/>
                <w:color w:val="auto"/>
              </w:rPr>
            </w:pPr>
            <w:r>
              <w:rPr>
                <w:rFonts w:ascii="Arial" w:cs="Arial" w:eastAsia="Arial" w:hAnsi="Arial"/>
                <w:sz w:val="16"/>
                <w:szCs w:val="16"/>
                <w:color w:val="auto"/>
              </w:rPr>
              <w:t>19</w:t>
            </w: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420"/>
          </w:cols>
          <w:pgMar w:left="240" w:top="536" w:right="239" w:bottom="1440" w:gutter="0" w:footer="0" w:header="0"/>
        </w:sectPr>
      </w:pPr>
    </w:p>
    <w:bookmarkStart w:id="21" w:name="page22"/>
    <w:bookmarkEnd w:id="21"/>
    <w:p>
      <w:pPr>
        <w:jc w:val="both"/>
        <w:spacing w:after="0" w:line="280" w:lineRule="auto"/>
        <w:rPr>
          <w:sz w:val="20"/>
          <w:szCs w:val="20"/>
          <w:color w:val="auto"/>
        </w:rPr>
      </w:pPr>
      <w:r>
        <w:rPr>
          <w:rFonts w:ascii="Arial" w:cs="Arial" w:eastAsia="Arial" w:hAnsi="Arial"/>
          <w:sz w:val="16"/>
          <w:szCs w:val="16"/>
          <w:color w:val="auto"/>
        </w:rPr>
        <w:t>The following table sets forth the Company’s investment in a hedge fund investment subject to net asset valuation (“NAV”) per share (or its equivalent) as of June 30, 2018 and December 31, 2017. The Company measures this investment at fair value on a recurring basis. As of June 30, 2018, the Company used net asset value per share as a practical expedient for fair value. Fair value using NAV per share is as follows as of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364"/>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120" w:type="dxa"/>
            <w:vAlign w:val="bottom"/>
          </w:tcPr>
          <w:p>
            <w:pPr>
              <w:jc w:val="right"/>
              <w:ind w:right="20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8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Category</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2017</w:t>
            </w:r>
          </w:p>
        </w:tc>
      </w:tr>
      <w:tr>
        <w:trPr>
          <w:trHeight w:val="228"/>
        </w:trPr>
        <w:tc>
          <w:tcPr>
            <w:tcW w:w="8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8"/>
        </w:trPr>
        <w:tc>
          <w:tcPr>
            <w:tcW w:w="8700" w:type="dxa"/>
            <w:vAlign w:val="bottom"/>
          </w:tcPr>
          <w:p>
            <w:pPr>
              <w:ind w:left="40"/>
              <w:spacing w:after="0"/>
              <w:rPr>
                <w:sz w:val="20"/>
                <w:szCs w:val="20"/>
                <w:color w:val="auto"/>
              </w:rPr>
            </w:pPr>
            <w:r>
              <w:rPr>
                <w:rFonts w:ascii="Arial" w:cs="Arial" w:eastAsia="Arial" w:hAnsi="Arial"/>
                <w:sz w:val="16"/>
                <w:szCs w:val="16"/>
                <w:color w:val="auto"/>
              </w:rPr>
              <w:t>Hedge fund</w:t>
            </w:r>
          </w:p>
        </w:tc>
        <w:tc>
          <w:tcPr>
            <w:tcW w:w="3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2,120,700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w:t>
            </w:r>
          </w:p>
        </w:tc>
      </w:tr>
      <w:tr>
        <w:trPr>
          <w:trHeight w:val="24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2,120,700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w:t>
            </w:r>
          </w:p>
        </w:tc>
      </w:tr>
    </w:tbl>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investment is generally redeemable with at least 45 days prior written notice. The hedge fund investment is accounted for as a limited partnership by the Company. Revenue is earned based upon the Company’s allocated share of the partnership's changes in unrealized gains and losses to its partners. Such amounts have been recorded in the condensed consolidated statements of income and comprehensive income (loss) within net losses on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Fair Value of Financial Instruments and Real Estate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the following methods and assumptions in estimating the fair value of financial instruments:</w:t>
      </w:r>
    </w:p>
    <w:p>
      <w:pPr>
        <w:spacing w:after="0" w:line="2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Equity securities, available-for-sale fixed income securities, and other investments: </w:t>
      </w:r>
      <w:r>
        <w:rPr>
          <w:rFonts w:ascii="Arial" w:cs="Arial" w:eastAsia="Arial" w:hAnsi="Arial"/>
          <w:sz w:val="16"/>
          <w:szCs w:val="16"/>
          <w:color w:val="auto"/>
        </w:rPr>
        <w:t>Fair value disclosures for these investments are included in “Note 3 - Investments”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“Note 4 – Fair Value Measurements”.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The carrying values of cash and cash equivalents approximate their fair values because of the short-term nature of these instruments.</w:t>
      </w:r>
    </w:p>
    <w:p>
      <w:pPr>
        <w:spacing w:after="0" w:line="2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Premiums receivable, reinsurance receivables, and investment subscription receivable: </w:t>
      </w:r>
      <w:r>
        <w:rPr>
          <w:rFonts w:ascii="Arial" w:cs="Arial" w:eastAsia="Arial" w:hAnsi="Arial"/>
          <w:sz w:val="16"/>
          <w:szCs w:val="16"/>
          <w:color w:val="auto"/>
        </w:rPr>
        <w:t>The carrying values reported in the condensed consolidated balance sheets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financial instruments approximate their fair values due to the short-term nature of the assets.</w:t>
      </w:r>
    </w:p>
    <w:p>
      <w:pPr>
        <w:spacing w:after="0" w:line="154" w:lineRule="exact"/>
        <w:rPr>
          <w:sz w:val="20"/>
          <w:szCs w:val="20"/>
          <w:color w:val="auto"/>
        </w:rPr>
      </w:pPr>
    </w:p>
    <w:p>
      <w:pPr>
        <w:jc w:val="both"/>
        <w:spacing w:after="0" w:line="332" w:lineRule="auto"/>
        <w:rPr>
          <w:sz w:val="20"/>
          <w:szCs w:val="20"/>
          <w:color w:val="auto"/>
        </w:rPr>
      </w:pPr>
      <w:r>
        <w:rPr>
          <w:rFonts w:ascii="Arial" w:cs="Arial" w:eastAsia="Arial" w:hAnsi="Arial"/>
          <w:sz w:val="15"/>
          <w:szCs w:val="15"/>
          <w:b w:val="1"/>
          <w:bCs w:val="1"/>
          <w:i w:val="1"/>
          <w:iCs w:val="1"/>
          <w:color w:val="auto"/>
        </w:rPr>
        <w:t xml:space="preserve">Real estate: </w:t>
      </w:r>
      <w:r>
        <w:rPr>
          <w:rFonts w:ascii="Arial" w:cs="Arial" w:eastAsia="Arial" w:hAnsi="Arial"/>
          <w:sz w:val="15"/>
          <w:szCs w:val="15"/>
          <w:color w:val="auto"/>
        </w:rPr>
        <w:t>The fair value of the land and building included in property and equipment, which is used in the Company’s operations, approximates the carrying value.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fair value was based on an appraisal prepared using the sales comparison approach, and accordingly the real estate is a Level 3 asset under the fair value hierarchy.</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Reinsurance balances payable: </w:t>
      </w:r>
      <w:r>
        <w:rPr>
          <w:rFonts w:ascii="Arial" w:cs="Arial" w:eastAsia="Arial" w:hAnsi="Arial"/>
          <w:sz w:val="15"/>
          <w:szCs w:val="15"/>
          <w:color w:val="auto"/>
        </w:rPr>
        <w:t>The carrying value reported in the condensed consolidated balance sheets for these financial instruments approximates fair value.</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Long-term debt: </w:t>
      </w:r>
      <w:r>
        <w:rPr>
          <w:rFonts w:ascii="Arial" w:cs="Arial" w:eastAsia="Arial" w:hAnsi="Arial"/>
          <w:sz w:val="16"/>
          <w:szCs w:val="16"/>
          <w:color w:val="auto"/>
        </w:rPr>
        <w:t>The carrying value reported in the condensed consolidated balance sheets for these financial instruments approximates fair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The estimated fair values of the Company’s financial instruments and real estate as of June 30, 2018 and December 31, 2017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June 30, 2018</w:t>
            </w: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December 31, 2017</w:t>
            </w:r>
          </w:p>
        </w:tc>
      </w:tr>
      <w:tr>
        <w:trPr>
          <w:trHeight w:val="208"/>
        </w:trPr>
        <w:tc>
          <w:tcPr>
            <w:tcW w:w="11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1"/>
              </w:rPr>
              <w:t>Carrying Value</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Fair Value</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1"/>
              </w:rPr>
              <w:t>Carrying Value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11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3"/>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Fixed-maturity securities-held-to maturity</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4,870,743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5,033,545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4,869,808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5,150,076</w:t>
            </w:r>
          </w:p>
        </w:tc>
      </w:tr>
      <w:tr>
        <w:trPr>
          <w:trHeight w:val="203"/>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19,387,971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19,387,971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48,381,633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48,381,633</w:t>
            </w:r>
          </w:p>
        </w:tc>
      </w:tr>
      <w:tr>
        <w:trPr>
          <w:trHeight w:val="203"/>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Investment subscription receivable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2,000,000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2,000,000</w:t>
            </w:r>
          </w:p>
        </w:tc>
      </w:tr>
      <w:tr>
        <w:trPr>
          <w:trHeight w:val="203"/>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Premiums receivable, net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14,337,192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14,337,192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13,217,698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13,217,698</w:t>
            </w:r>
          </w:p>
        </w:tc>
      </w:tr>
      <w:tr>
        <w:trPr>
          <w:trHeight w:val="203"/>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Reinsurance receivables, net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27,892,404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27,892,404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28,519,130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28,519,130</w:t>
            </w:r>
          </w:p>
        </w:tc>
      </w:tr>
      <w:tr>
        <w:trPr>
          <w:trHeight w:val="203"/>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Real estate, net of accumulated depreciation</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2,215,291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2,705,000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2,261,829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2,705,000</w:t>
            </w:r>
          </w:p>
        </w:tc>
      </w:tr>
      <w:tr>
        <w:trPr>
          <w:trHeight w:val="203"/>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Reinsurance balances payable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4,185,624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4,185,624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2,563,966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2,563,966</w:t>
            </w:r>
          </w:p>
        </w:tc>
      </w:tr>
      <w:tr>
        <w:trPr>
          <w:trHeight w:val="209"/>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Long-term debt, net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29,207,161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29,207,161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29,126,965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29,126,965</w:t>
            </w:r>
          </w:p>
        </w:tc>
      </w:tr>
      <w:tr>
        <w:trPr>
          <w:trHeight w:val="397"/>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Note 6 – Property and Casualty Insurance Activity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07"/>
        </w:trPr>
        <w:tc>
          <w:tcPr>
            <w:tcW w:w="1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Premiums Earned</w:t>
            </w:r>
          </w:p>
        </w:tc>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21"/>
        </w:trPr>
        <w:tc>
          <w:tcPr>
            <w:tcW w:w="5960" w:type="dxa"/>
            <w:vAlign w:val="bottom"/>
            <w:gridSpan w:val="2"/>
          </w:tcPr>
          <w:p>
            <w:pPr>
              <w:spacing w:after="0"/>
              <w:rPr>
                <w:sz w:val="20"/>
                <w:szCs w:val="20"/>
                <w:color w:val="auto"/>
              </w:rPr>
            </w:pPr>
            <w:r>
              <w:rPr>
                <w:rFonts w:ascii="Arial" w:cs="Arial" w:eastAsia="Arial" w:hAnsi="Arial"/>
                <w:sz w:val="16"/>
                <w:szCs w:val="16"/>
                <w:color w:val="auto"/>
              </w:rPr>
              <w:t>Premiums written, ceded and earned are as follows: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3"/>
        </w:trPr>
        <w:tc>
          <w:tcPr>
            <w:tcW w:w="11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Direct</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Assumed</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Ceded</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Net</w:t>
            </w:r>
          </w:p>
        </w:tc>
      </w:tr>
      <w:tr>
        <w:trPr>
          <w:trHeight w:val="228"/>
        </w:trPr>
        <w:tc>
          <w:tcPr>
            <w:tcW w:w="11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Six months ended June 30, 2018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3"/>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Premiums written</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68,389,960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(16,725,724)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51,665,060</w:t>
            </w:r>
          </w:p>
        </w:tc>
      </w:tr>
      <w:tr>
        <w:trPr>
          <w:trHeight w:val="208"/>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Change in unearned premiums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(5,495,329)</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3,064</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769,436</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(4,722,829)</w:t>
            </w:r>
          </w:p>
        </w:tc>
      </w:tr>
      <w:tr>
        <w:trPr>
          <w:trHeight w:val="203"/>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Premiums earned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62,894,631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(15,956,288)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46,942,231</w:t>
            </w:r>
          </w:p>
        </w:tc>
      </w:tr>
      <w:tr>
        <w:trPr>
          <w:trHeight w:val="20"/>
        </w:trPr>
        <w:tc>
          <w:tcPr>
            <w:tcW w:w="11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3"/>
        </w:trPr>
        <w:tc>
          <w:tcPr>
            <w:tcW w:w="118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Six months ended June 30, 2017</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Premiums written</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56,583,867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6,293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(20,128,555)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36,461,605</w:t>
            </w:r>
          </w:p>
        </w:tc>
      </w:tr>
      <w:tr>
        <w:trPr>
          <w:trHeight w:val="208"/>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Change in unearned premiums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(4,048,796)</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8,327</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902,339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(3,138,130)</w:t>
            </w:r>
          </w:p>
        </w:tc>
      </w:tr>
      <w:tr>
        <w:trPr>
          <w:trHeight w:val="243"/>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Premiums earned</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52,535,071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14,620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(19,226,216)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33,323,475</w:t>
            </w:r>
          </w:p>
        </w:tc>
      </w:tr>
      <w:tr>
        <w:trPr>
          <w:trHeight w:val="193"/>
        </w:trPr>
        <w:tc>
          <w:tcPr>
            <w:tcW w:w="11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5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Three months ended June 30, 2018</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Premiums written</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36,863,677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488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(8,899,489)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27,964,676</w:t>
            </w:r>
          </w:p>
        </w:tc>
      </w:tr>
      <w:tr>
        <w:trPr>
          <w:trHeight w:val="208"/>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Change in unearned premiums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(4,486,460)</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1,163</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625,235</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(3,860,062)</w:t>
            </w:r>
          </w:p>
        </w:tc>
      </w:tr>
      <w:tr>
        <w:trPr>
          <w:trHeight w:val="203"/>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Premiums earned</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32,377,217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(8,274,254)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24,104,614</w:t>
            </w:r>
          </w:p>
        </w:tc>
      </w:tr>
      <w:tr>
        <w:trPr>
          <w:trHeight w:val="20"/>
        </w:trPr>
        <w:tc>
          <w:tcPr>
            <w:tcW w:w="11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3"/>
        </w:trPr>
        <w:tc>
          <w:tcPr>
            <w:tcW w:w="1180" w:type="dxa"/>
            <w:vAlign w:val="bottom"/>
            <w:shd w:val="clear" w:color="auto" w:fill="CCEEFF"/>
          </w:tcPr>
          <w:p>
            <w:pPr>
              <w:spacing w:after="0"/>
              <w:rPr>
                <w:sz w:val="16"/>
                <w:szCs w:val="16"/>
                <w:color w:val="auto"/>
              </w:rPr>
            </w:pPr>
          </w:p>
        </w:tc>
        <w:tc>
          <w:tcPr>
            <w:tcW w:w="4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3"/>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Three months ended June 30, 2017</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Premiums written</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30,458,400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1,865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(10,732,965)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19,727,300</w:t>
            </w:r>
          </w:p>
        </w:tc>
      </w:tr>
      <w:tr>
        <w:trPr>
          <w:trHeight w:val="208"/>
        </w:trPr>
        <w:tc>
          <w:tcPr>
            <w:tcW w:w="5960" w:type="dxa"/>
            <w:vAlign w:val="bottom"/>
            <w:gridSpan w:val="2"/>
          </w:tcPr>
          <w:p>
            <w:pPr>
              <w:ind w:left="40"/>
              <w:spacing w:after="0"/>
              <w:rPr>
                <w:sz w:val="20"/>
                <w:szCs w:val="20"/>
                <w:color w:val="auto"/>
              </w:rPr>
            </w:pPr>
            <w:r>
              <w:rPr>
                <w:rFonts w:ascii="Arial" w:cs="Arial" w:eastAsia="Arial" w:hAnsi="Arial"/>
                <w:sz w:val="16"/>
                <w:szCs w:val="16"/>
                <w:color w:val="auto"/>
              </w:rPr>
              <w:t>Change in unearned premiums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(3,717,893)</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5,346</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938,974</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(2,773,573)</w:t>
            </w:r>
          </w:p>
        </w:tc>
      </w:tr>
      <w:tr>
        <w:trPr>
          <w:trHeight w:val="243"/>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Premiums earned</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26,740,507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(9,793,991)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16,953,727</w:t>
            </w:r>
          </w:p>
        </w:tc>
      </w:tr>
    </w:tbl>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Premium receipts in advance of the policy effective date are recorded as advance premiums. The balance of advance premiums as of June 30, 2018 and December 31, 2017 was $2,831,829 and $1,477,693,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auto"/>
        </w:rPr>
        <w:t>Loss and Loss Adjustment Expense Reserves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beginning and ending balances for unpaid losses and loss adjustment expense (“LAE”) reserves: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Six months ended</w:t>
            </w:r>
          </w:p>
        </w:tc>
      </w:tr>
      <w:tr>
        <w:trPr>
          <w:trHeight w:val="191"/>
        </w:trPr>
        <w:tc>
          <w:tcPr>
            <w:tcW w:w="8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r>
      <w:tr>
        <w:trPr>
          <w:trHeight w:val="208"/>
        </w:trPr>
        <w:tc>
          <w:tcPr>
            <w:tcW w:w="8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28"/>
        </w:trPr>
        <w:tc>
          <w:tcPr>
            <w:tcW w:w="8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48,799,622</w:t>
            </w:r>
          </w:p>
        </w:tc>
        <w:tc>
          <w:tcPr>
            <w:tcW w:w="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41,736,719</w:t>
            </w:r>
          </w:p>
        </w:tc>
      </w:tr>
      <w:tr>
        <w:trPr>
          <w:trHeight w:val="208"/>
        </w:trPr>
        <w:tc>
          <w:tcPr>
            <w:tcW w:w="8700" w:type="dxa"/>
            <w:vAlign w:val="bottom"/>
          </w:tcPr>
          <w:p>
            <w:pPr>
              <w:ind w:left="40"/>
              <w:spacing w:after="0"/>
              <w:rPr>
                <w:sz w:val="20"/>
                <w:szCs w:val="20"/>
                <w:color w:val="auto"/>
              </w:rPr>
            </w:pPr>
            <w:r>
              <w:rPr>
                <w:rFonts w:ascii="Arial" w:cs="Arial" w:eastAsia="Arial" w:hAnsi="Arial"/>
                <w:sz w:val="16"/>
                <w:szCs w:val="16"/>
                <w:color w:val="auto"/>
              </w:rPr>
              <w:t>Less reinsurance recoverables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(16,748,908)</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(15,776,880)</w:t>
            </w:r>
          </w:p>
        </w:tc>
      </w:tr>
      <w:tr>
        <w:trPr>
          <w:trHeight w:val="208"/>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balance,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32,050,714</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25,959,839</w:t>
            </w:r>
          </w:p>
        </w:tc>
      </w:tr>
      <w:tr>
        <w:trPr>
          <w:trHeight w:val="203"/>
        </w:trPr>
        <w:tc>
          <w:tcPr>
            <w:tcW w:w="8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Incurred related to:</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color w:val="auto"/>
              </w:rPr>
              <w:t>Current year</w:t>
            </w:r>
          </w:p>
        </w:tc>
        <w:tc>
          <w:tcPr>
            <w:tcW w:w="320" w:type="dxa"/>
            <w:vAlign w:val="bottom"/>
          </w:tcPr>
          <w:p>
            <w:pPr>
              <w:spacing w:after="0"/>
              <w:rPr>
                <w:sz w:val="17"/>
                <w:szCs w:val="17"/>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28,215,069</w:t>
            </w:r>
          </w:p>
        </w:tc>
        <w:tc>
          <w:tcPr>
            <w:tcW w:w="3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15,958,020</w:t>
            </w:r>
          </w:p>
        </w:tc>
      </w:tr>
      <w:tr>
        <w:trPr>
          <w:trHeight w:val="208"/>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Prior years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227,346</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(210,102)</w:t>
            </w:r>
          </w:p>
        </w:tc>
      </w:tr>
      <w:tr>
        <w:trPr>
          <w:trHeight w:val="208"/>
        </w:trPr>
        <w:tc>
          <w:tcPr>
            <w:tcW w:w="8700" w:type="dxa"/>
            <w:vAlign w:val="bottom"/>
          </w:tcPr>
          <w:p>
            <w:pPr>
              <w:ind w:left="40"/>
              <w:spacing w:after="0"/>
              <w:rPr>
                <w:sz w:val="20"/>
                <w:szCs w:val="20"/>
                <w:color w:val="auto"/>
              </w:rPr>
            </w:pPr>
            <w:r>
              <w:rPr>
                <w:rFonts w:ascii="Arial" w:cs="Arial" w:eastAsia="Arial" w:hAnsi="Arial"/>
                <w:sz w:val="16"/>
                <w:szCs w:val="16"/>
                <w:color w:val="auto"/>
              </w:rPr>
              <w:t>Total incurred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28,442,415</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15,747,918</w:t>
            </w:r>
          </w:p>
        </w:tc>
      </w:tr>
      <w:tr>
        <w:trPr>
          <w:trHeight w:val="203"/>
        </w:trPr>
        <w:tc>
          <w:tcPr>
            <w:tcW w:w="8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8700" w:type="dxa"/>
            <w:vAlign w:val="bottom"/>
          </w:tcPr>
          <w:p>
            <w:pPr>
              <w:ind w:left="40"/>
              <w:spacing w:after="0"/>
              <w:rPr>
                <w:sz w:val="20"/>
                <w:szCs w:val="20"/>
                <w:color w:val="auto"/>
              </w:rPr>
            </w:pPr>
            <w:r>
              <w:rPr>
                <w:rFonts w:ascii="Arial" w:cs="Arial" w:eastAsia="Arial" w:hAnsi="Arial"/>
                <w:sz w:val="16"/>
                <w:szCs w:val="16"/>
                <w:color w:val="auto"/>
              </w:rPr>
              <w:t>Paid related to:</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year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14,656,892</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7,462,585</w:t>
            </w:r>
          </w:p>
        </w:tc>
      </w:tr>
      <w:tr>
        <w:trPr>
          <w:trHeight w:val="208"/>
        </w:trPr>
        <w:tc>
          <w:tcPr>
            <w:tcW w:w="8700" w:type="dxa"/>
            <w:vAlign w:val="bottom"/>
          </w:tcPr>
          <w:p>
            <w:pPr>
              <w:ind w:left="40"/>
              <w:spacing w:after="0"/>
              <w:rPr>
                <w:sz w:val="20"/>
                <w:szCs w:val="20"/>
                <w:color w:val="auto"/>
              </w:rPr>
            </w:pPr>
            <w:r>
              <w:rPr>
                <w:rFonts w:ascii="Arial" w:cs="Arial" w:eastAsia="Arial" w:hAnsi="Arial"/>
                <w:sz w:val="16"/>
                <w:szCs w:val="16"/>
                <w:color w:val="auto"/>
              </w:rPr>
              <w:t>Prior years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10,977,023</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6,295,577</w:t>
            </w:r>
          </w:p>
        </w:tc>
      </w:tr>
      <w:tr>
        <w:trPr>
          <w:trHeight w:val="208"/>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paid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25,633,915</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13,758,162</w:t>
            </w:r>
          </w:p>
        </w:tc>
      </w:tr>
      <w:tr>
        <w:trPr>
          <w:trHeight w:val="203"/>
        </w:trPr>
        <w:tc>
          <w:tcPr>
            <w:tcW w:w="8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balance at end of period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34,859,214</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27,949,595</w:t>
            </w:r>
          </w:p>
        </w:tc>
      </w:tr>
      <w:tr>
        <w:trPr>
          <w:trHeight w:val="208"/>
        </w:trPr>
        <w:tc>
          <w:tcPr>
            <w:tcW w:w="8700" w:type="dxa"/>
            <w:vAlign w:val="bottom"/>
          </w:tcPr>
          <w:p>
            <w:pPr>
              <w:ind w:left="40"/>
              <w:spacing w:after="0"/>
              <w:rPr>
                <w:sz w:val="20"/>
                <w:szCs w:val="20"/>
                <w:color w:val="auto"/>
              </w:rPr>
            </w:pPr>
            <w:r>
              <w:rPr>
                <w:rFonts w:ascii="Arial" w:cs="Arial" w:eastAsia="Arial" w:hAnsi="Arial"/>
                <w:sz w:val="16"/>
                <w:szCs w:val="16"/>
                <w:color w:val="auto"/>
              </w:rPr>
              <w:t>Add reinsurance recoverables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14,398,642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16,246,981</w:t>
            </w:r>
          </w:p>
        </w:tc>
      </w:tr>
      <w:tr>
        <w:trPr>
          <w:trHeight w:val="24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49,257,856</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44,196,576</w:t>
            </w:r>
          </w:p>
        </w:tc>
      </w:tr>
    </w:tbl>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Incurred losses and LAE are net of reinsurance recoveries under reinsurance contracts of $8,017,022 and $7,426,541 for the six months ended June 30, 2018 and 2017, respectively.</w:t>
      </w:r>
    </w:p>
    <w:p>
      <w:pPr>
        <w:spacing w:after="0" w:line="15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Prior year incurred loss and LAE development is based upon estimates by line of business and accident year. Prior year loss and LAE development incurred during the six months ended June 30, 2018 and 2017 was $227,346 unfavorable and $(210,102) favorable, respectively. The Company’s management continually monitors claims activity to assess the appropriateness of carried case and incurred but not reported (“IBNR”) reserves, giving consideration to Company and industry trends.</w:t>
      </w:r>
    </w:p>
    <w:p>
      <w:pPr>
        <w:spacing w:after="0" w:line="14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year’s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years. Several methods are used, varying by line of business and accident year, in order to select the estimated year-end loss reserves. These methods include the following:</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 xml:space="preserve">Paid Loss Development </w:t>
      </w:r>
      <w:r>
        <w:rPr>
          <w:rFonts w:ascii="Arial" w:cs="Arial" w:eastAsia="Arial" w:hAnsi="Arial"/>
          <w:sz w:val="15"/>
          <w:szCs w:val="15"/>
          <w:color w:val="auto"/>
        </w:rPr>
        <w:t>– historical patterns of paid loss development are used to project future paid loss emergence in order to estimate required reserves.</w:t>
      </w:r>
    </w:p>
    <w:p>
      <w:pPr>
        <w:spacing w:after="0" w:line="233" w:lineRule="exact"/>
        <w:rPr>
          <w:sz w:val="20"/>
          <w:szCs w:val="20"/>
          <w:color w:val="auto"/>
        </w:rPr>
      </w:pPr>
    </w:p>
    <w:p>
      <w:pPr>
        <w:ind w:left="600"/>
        <w:spacing w:after="0" w:line="296" w:lineRule="auto"/>
        <w:rPr>
          <w:sz w:val="20"/>
          <w:szCs w:val="20"/>
          <w:color w:val="auto"/>
        </w:rPr>
      </w:pPr>
      <w:r>
        <w:rPr>
          <w:rFonts w:ascii="Arial" w:cs="Arial" w:eastAsia="Arial" w:hAnsi="Arial"/>
          <w:sz w:val="16"/>
          <w:szCs w:val="16"/>
          <w:i w:val="1"/>
          <w:iCs w:val="1"/>
          <w:color w:val="auto"/>
        </w:rPr>
        <w:t xml:space="preserve">Incurred Loss Development </w:t>
      </w:r>
      <w:r>
        <w:rPr>
          <w:rFonts w:ascii="Arial" w:cs="Arial" w:eastAsia="Arial" w:hAnsi="Arial"/>
          <w:sz w:val="16"/>
          <w:szCs w:val="16"/>
          <w:color w:val="auto"/>
        </w:rPr>
        <w:t>– historical patterns of incurred loss development, reflecting both paid losses and changes in case reserves, are used to project future</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loss emergence in order to estimate required reserves.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4" w:name="page25"/>
    <w:bookmarkEnd w:id="24"/>
    <w:p>
      <w:pPr>
        <w:jc w:val="both"/>
        <w:ind w:left="600"/>
        <w:spacing w:after="0" w:line="275"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 accident year</w:t>
      </w:r>
      <w:r>
        <w:rPr>
          <w:rFonts w:ascii="Arial" w:cs="Arial" w:eastAsia="Arial" w:hAnsi="Arial"/>
          <w:sz w:val="16"/>
          <w:szCs w:val="16"/>
          <w:i w:val="1"/>
          <w:iCs w:val="1"/>
          <w:color w:val="auto"/>
        </w:rPr>
        <w:t xml:space="preserve"> </w:t>
      </w:r>
      <w:r>
        <w:rPr>
          <w:rFonts w:ascii="Arial" w:cs="Arial" w:eastAsia="Arial" w:hAnsi="Arial"/>
          <w:sz w:val="16"/>
          <w:szCs w:val="16"/>
          <w:color w:val="auto"/>
        </w:rPr>
        <w:t>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70" w:lineRule="exact"/>
        <w:rPr>
          <w:sz w:val="20"/>
          <w:szCs w:val="20"/>
          <w:color w:val="auto"/>
        </w:rPr>
      </w:pPr>
    </w:p>
    <w:p>
      <w:pPr>
        <w:jc w:val="both"/>
        <w:ind w:left="600"/>
        <w:spacing w:after="0" w:line="275" w:lineRule="auto"/>
        <w:rPr>
          <w:sz w:val="20"/>
          <w:szCs w:val="20"/>
          <w:color w:val="auto"/>
        </w:rPr>
      </w:pPr>
      <w:r>
        <w:rPr>
          <w:rFonts w:ascii="Arial" w:cs="Arial" w:eastAsia="Arial" w:hAnsi="Arial"/>
          <w:sz w:val="16"/>
          <w:szCs w:val="16"/>
          <w:i w:val="1"/>
          <w:iCs w:val="1"/>
          <w:color w:val="auto"/>
        </w:rPr>
        <w:t xml:space="preserve">Incurred Bornhuetter-Ferguson (“BF”) </w:t>
      </w:r>
      <w:r>
        <w:rPr>
          <w:rFonts w:ascii="Arial" w:cs="Arial" w:eastAsia="Arial" w:hAnsi="Arial"/>
          <w:sz w:val="16"/>
          <w:szCs w:val="16"/>
          <w:color w:val="auto"/>
        </w:rPr>
        <w:t>- an estimated loss ratio for a particular accident year is determined, and is weighted against the portion of the accident year</w:t>
      </w:r>
      <w:r>
        <w:rPr>
          <w:rFonts w:ascii="Arial" w:cs="Arial" w:eastAsia="Arial" w:hAnsi="Arial"/>
          <w:sz w:val="16"/>
          <w:szCs w:val="16"/>
          <w:i w:val="1"/>
          <w:iCs w:val="1"/>
          <w:color w:val="auto"/>
        </w:rPr>
        <w:t xml:space="preserve"> </w:t>
      </w:r>
      <w:r>
        <w:rPr>
          <w:rFonts w:ascii="Arial" w:cs="Arial" w:eastAsia="Arial" w:hAnsi="Arial"/>
          <w:sz w:val="16"/>
          <w:szCs w:val="16"/>
          <w:color w:val="auto"/>
        </w:rPr>
        <w:t>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70" w:lineRule="exact"/>
        <w:rPr>
          <w:sz w:val="20"/>
          <w:szCs w:val="20"/>
          <w:color w:val="auto"/>
        </w:rPr>
      </w:pPr>
    </w:p>
    <w:p>
      <w:pPr>
        <w:jc w:val="both"/>
        <w:ind w:left="600"/>
        <w:spacing w:after="0" w:line="298" w:lineRule="auto"/>
        <w:rPr>
          <w:sz w:val="20"/>
          <w:szCs w:val="20"/>
          <w:color w:val="auto"/>
        </w:rPr>
      </w:pPr>
      <w:r>
        <w:rPr>
          <w:rFonts w:ascii="Arial" w:cs="Arial" w:eastAsia="Arial" w:hAnsi="Arial"/>
          <w:sz w:val="15"/>
          <w:szCs w:val="15"/>
          <w:i w:val="1"/>
          <w:iCs w:val="1"/>
          <w:color w:val="auto"/>
        </w:rPr>
        <w:t xml:space="preserve">Incremental Claim-Based Methods </w:t>
      </w:r>
      <w:r>
        <w:rPr>
          <w:rFonts w:ascii="Arial" w:cs="Arial" w:eastAsia="Arial" w:hAnsi="Arial"/>
          <w:sz w:val="15"/>
          <w:szCs w:val="15"/>
          <w:color w:val="auto"/>
        </w:rPr>
        <w:t>– historical patterns of incremental incurred losses and paid LAE during various stages of development are reviewed and</w:t>
      </w:r>
      <w:r>
        <w:rPr>
          <w:rFonts w:ascii="Arial" w:cs="Arial" w:eastAsia="Arial" w:hAnsi="Arial"/>
          <w:sz w:val="15"/>
          <w:szCs w:val="15"/>
          <w:i w:val="1"/>
          <w:iCs w:val="1"/>
          <w:color w:val="auto"/>
        </w:rPr>
        <w:t xml:space="preserve"> </w:t>
      </w:r>
      <w:r>
        <w:rPr>
          <w:rFonts w:ascii="Arial" w:cs="Arial" w:eastAsia="Arial" w:hAnsi="Arial"/>
          <w:sz w:val="15"/>
          <w:szCs w:val="15"/>
          <w:color w:val="auto"/>
        </w:rPr>
        <w:t>assumptions are made regarding average loss and LAE development applied to remaining claims inventory. Such methods more properly reflect changes in the speed of claims closure and the relative adequacy of case reserve levels at various stages of development. These methods also provide a more accurate estimate of IBNR for lines of business with relatively few remaining open claims but for which significant recent settlement activity has occurred.</w:t>
      </w:r>
    </w:p>
    <w:p>
      <w:pPr>
        <w:spacing w:after="0" w:line="15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Management’s best estimate of required reserves is generally based on an average of the methods above, with appropriate weighting of the various methods based on the line of business and accident year being projected. In some cases, additional methods or historical data from industry sources are employed to supplement the projections derived from the methods listed above.</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Two key assumptions that materially affect the estimate of loss reserves are the loss ratio estimate for the current accident year used in the BF methods described above, and the loss development factor selections used in the loss development methods described above. The loss ratio estimates used in the BF methods are selected after reviewing historical accident year loss ratios adjusted for rate changes, trend, and mix of business.</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not aware of any claim trends that have emerged or that would cause future adverse development that have not already been considered in existing case reserves and in its current loss development factors.</w:t>
      </w:r>
    </w:p>
    <w:p>
      <w:pPr>
        <w:spacing w:after="0" w:line="15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June 30, 2015 and prior is limited although there remains the possibility of adverse development on reported claims (‘case development’ IBNR).</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following is information about incurred and paid claims development as of June 30, 2018, net of reinsurance, as well as the cumulative reported claims by accident year and total IBNR reserves as of June 30, 2018 included in the net incurred loss and allocated expense amounts. The historical information regarding incurred and paid claims development for the years ended December 31, 2009 to December 31, 2015 is presented as supplementary unaudited information.</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All Lines of Business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thousands, except reported claims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As of</w:t>
            </w:r>
          </w:p>
        </w:tc>
      </w:tr>
      <w:tr>
        <w:trPr>
          <w:trHeight w:val="191"/>
        </w:trPr>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0" w:type="dxa"/>
            <w:vAlign w:val="bottom"/>
            <w:gridSpan w:val="11"/>
          </w:tcPr>
          <w:p>
            <w:pPr>
              <w:jc w:val="right"/>
              <w:ind w:right="359"/>
              <w:spacing w:after="0"/>
              <w:rPr>
                <w:sz w:val="20"/>
                <w:szCs w:val="20"/>
                <w:color w:val="auto"/>
              </w:rPr>
            </w:pPr>
            <w:r>
              <w:rPr>
                <w:rFonts w:ascii="Arial" w:cs="Arial" w:eastAsia="Arial" w:hAnsi="Arial"/>
                <w:sz w:val="14"/>
                <w:szCs w:val="14"/>
                <w:b w:val="1"/>
                <w:bCs w:val="1"/>
                <w:color w:val="auto"/>
                <w:w w:val="92"/>
              </w:rPr>
              <w:t>Incurred Loss and Allocated Loss Adjustment Expenses, Net of Reinsurance</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June 30, 2018</w:t>
            </w:r>
          </w:p>
        </w:tc>
      </w:tr>
      <w:tr>
        <w:trPr>
          <w:trHeight w:val="139"/>
        </w:trPr>
        <w:tc>
          <w:tcPr>
            <w:tcW w:w="5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Cumulative</w:t>
            </w:r>
          </w:p>
        </w:tc>
        <w:tc>
          <w:tcPr>
            <w:tcW w:w="100" w:type="dxa"/>
            <w:vAlign w:val="bottom"/>
          </w:tcPr>
          <w:p>
            <w:pPr>
              <w:spacing w:after="0"/>
              <w:rPr>
                <w:sz w:val="12"/>
                <w:szCs w:val="12"/>
                <w:color w:val="auto"/>
              </w:rPr>
            </w:pPr>
          </w:p>
        </w:tc>
      </w:tr>
      <w:tr>
        <w:trPr>
          <w:trHeight w:val="152"/>
        </w:trPr>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102"/>
              <w:spacing w:after="0" w:line="152" w:lineRule="exact"/>
              <w:rPr>
                <w:sz w:val="20"/>
                <w:szCs w:val="20"/>
                <w:color w:val="auto"/>
              </w:rPr>
            </w:pPr>
            <w:r>
              <w:rPr>
                <w:rFonts w:ascii="Arial" w:cs="Arial" w:eastAsia="Arial" w:hAnsi="Arial"/>
                <w:sz w:val="14"/>
                <w:szCs w:val="14"/>
                <w:b w:val="1"/>
                <w:bCs w:val="1"/>
                <w:color w:val="auto"/>
                <w:w w:val="85"/>
              </w:rPr>
              <w:t>Six</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94"/>
              </w:rPr>
              <w:t>Number of</w:t>
            </w:r>
          </w:p>
        </w:tc>
      </w:tr>
      <w:tr>
        <w:trPr>
          <w:trHeight w:val="152"/>
        </w:trPr>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102"/>
              <w:spacing w:after="0" w:line="152" w:lineRule="exact"/>
              <w:rPr>
                <w:sz w:val="20"/>
                <w:szCs w:val="20"/>
                <w:color w:val="auto"/>
              </w:rPr>
            </w:pPr>
            <w:r>
              <w:rPr>
                <w:rFonts w:ascii="Arial" w:cs="Arial" w:eastAsia="Arial" w:hAnsi="Arial"/>
                <w:sz w:val="14"/>
                <w:szCs w:val="14"/>
                <w:b w:val="1"/>
                <w:bCs w:val="1"/>
                <w:color w:val="auto"/>
                <w:w w:val="92"/>
              </w:rPr>
              <w:t>Months</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87"/>
              </w:rPr>
              <w:t>Reported</w:t>
            </w:r>
          </w:p>
        </w:tc>
      </w:tr>
      <w:tr>
        <w:trPr>
          <w:trHeight w:val="171"/>
        </w:trPr>
        <w:tc>
          <w:tcPr>
            <w:tcW w:w="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4"/>
                <w:szCs w:val="14"/>
                <w:b w:val="1"/>
                <w:bCs w:val="1"/>
                <w:color w:val="auto"/>
                <w:w w:val="92"/>
              </w:rPr>
              <w:t>For the Years Ended December 31,</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102"/>
              <w:spacing w:after="0"/>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Claims</w:t>
            </w:r>
          </w:p>
        </w:tc>
      </w:tr>
      <w:tr>
        <w:trPr>
          <w:trHeight w:val="139"/>
        </w:trPr>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gridSpan w:val="2"/>
          </w:tcPr>
          <w:p>
            <w:pPr>
              <w:ind w:left="380"/>
              <w:spacing w:after="0" w:line="139" w:lineRule="exact"/>
              <w:rPr>
                <w:sz w:val="20"/>
                <w:szCs w:val="20"/>
                <w:color w:val="auto"/>
              </w:rPr>
            </w:pPr>
            <w:r>
              <w:rPr>
                <w:rFonts w:ascii="Arial" w:cs="Arial" w:eastAsia="Arial" w:hAnsi="Arial"/>
                <w:sz w:val="14"/>
                <w:szCs w:val="14"/>
                <w:b w:val="1"/>
                <w:bCs w:val="1"/>
                <w:color w:val="auto"/>
              </w:rPr>
              <w:t>by</w:t>
            </w:r>
          </w:p>
        </w:tc>
      </w:tr>
      <w:tr>
        <w:trPr>
          <w:trHeight w:val="152"/>
        </w:trPr>
        <w:tc>
          <w:tcPr>
            <w:tcW w:w="5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1"/>
              </w:rPr>
              <w:t>Accident</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102"/>
              <w:spacing w:after="0" w:line="152" w:lineRule="exact"/>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91"/>
              </w:rPr>
              <w:t>Accident</w:t>
            </w:r>
          </w:p>
        </w:tc>
      </w:tr>
      <w:tr>
        <w:trPr>
          <w:trHeight w:val="171"/>
        </w:trPr>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40" w:type="dxa"/>
            <w:vAlign w:val="bottom"/>
          </w:tcPr>
          <w:p>
            <w:pPr>
              <w:spacing w:after="0"/>
              <w:rPr>
                <w:sz w:val="14"/>
                <w:szCs w:val="14"/>
                <w:color w:val="auto"/>
              </w:rPr>
            </w:pPr>
          </w:p>
        </w:tc>
        <w:tc>
          <w:tcPr>
            <w:tcW w:w="660" w:type="dxa"/>
            <w:vAlign w:val="bottom"/>
          </w:tcPr>
          <w:p>
            <w:pPr>
              <w:jc w:val="right"/>
              <w:ind w:right="244"/>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660" w:type="dxa"/>
            <w:vAlign w:val="bottom"/>
          </w:tcPr>
          <w:p>
            <w:pPr>
              <w:jc w:val="right"/>
              <w:ind w:right="242"/>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4"/>
                <w:szCs w:val="14"/>
                <w:color w:val="auto"/>
              </w:rPr>
            </w:pPr>
          </w:p>
        </w:tc>
        <w:tc>
          <w:tcPr>
            <w:tcW w:w="660" w:type="dxa"/>
            <w:vAlign w:val="bottom"/>
          </w:tcPr>
          <w:p>
            <w:pPr>
              <w:jc w:val="right"/>
              <w:ind w:right="244"/>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660" w:type="dxa"/>
            <w:vAlign w:val="bottom"/>
          </w:tcPr>
          <w:p>
            <w:pPr>
              <w:jc w:val="right"/>
              <w:ind w:right="24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600" w:type="dxa"/>
            <w:vAlign w:val="bottom"/>
          </w:tcPr>
          <w:p>
            <w:pPr>
              <w:jc w:val="right"/>
              <w:ind w:right="240"/>
              <w:spacing w:after="0"/>
              <w:rPr>
                <w:sz w:val="20"/>
                <w:szCs w:val="20"/>
                <w:color w:val="auto"/>
              </w:rPr>
            </w:pPr>
            <w:r>
              <w:rPr>
                <w:rFonts w:ascii="Arial" w:cs="Arial" w:eastAsia="Arial" w:hAnsi="Arial"/>
                <w:sz w:val="14"/>
                <w:szCs w:val="14"/>
                <w:b w:val="1"/>
                <w:bCs w:val="1"/>
                <w:color w:val="auto"/>
                <w:w w:val="83"/>
              </w:rPr>
              <w:t>2013</w:t>
            </w:r>
          </w:p>
        </w:tc>
        <w:tc>
          <w:tcPr>
            <w:tcW w:w="240" w:type="dxa"/>
            <w:vAlign w:val="bottom"/>
          </w:tcPr>
          <w:p>
            <w:pPr>
              <w:spacing w:after="0"/>
              <w:rPr>
                <w:sz w:val="14"/>
                <w:szCs w:val="14"/>
                <w:color w:val="auto"/>
              </w:rPr>
            </w:pPr>
          </w:p>
        </w:tc>
        <w:tc>
          <w:tcPr>
            <w:tcW w:w="680" w:type="dxa"/>
            <w:vAlign w:val="bottom"/>
          </w:tcPr>
          <w:p>
            <w:pPr>
              <w:jc w:val="right"/>
              <w:ind w:right="239"/>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660" w:type="dxa"/>
            <w:vAlign w:val="bottom"/>
          </w:tcPr>
          <w:p>
            <w:pPr>
              <w:jc w:val="right"/>
              <w:ind w:right="239"/>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660" w:type="dxa"/>
            <w:vAlign w:val="bottom"/>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680" w:type="dxa"/>
            <w:vAlign w:val="bottom"/>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72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IBNR</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Year</w:t>
            </w:r>
          </w:p>
        </w:tc>
      </w:tr>
      <w:tr>
        <w:trPr>
          <w:trHeight w:val="183"/>
        </w:trPr>
        <w:tc>
          <w:tcPr>
            <w:tcW w:w="5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 2009 - 2015)</w:t>
            </w:r>
          </w:p>
        </w:tc>
        <w:tc>
          <w:tcPr>
            <w:tcW w:w="6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8"/>
        </w:trPr>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2009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4,403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4,254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4,287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4,384</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4,609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4,675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w:t>
            </w:r>
          </w:p>
        </w:tc>
        <w:tc>
          <w:tcPr>
            <w:tcW w:w="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1,136</w:t>
            </w:r>
          </w:p>
        </w:tc>
        <w:tc>
          <w:tcPr>
            <w:tcW w:w="100" w:type="dxa"/>
            <w:vAlign w:val="bottom"/>
          </w:tcPr>
          <w:p>
            <w:pPr>
              <w:spacing w:after="0"/>
              <w:rPr>
                <w:sz w:val="17"/>
                <w:szCs w:val="17"/>
                <w:color w:val="auto"/>
              </w:rPr>
            </w:pPr>
          </w:p>
        </w:tc>
      </w:tr>
      <w:tr>
        <w:trPr>
          <w:trHeight w:val="203"/>
        </w:trPr>
        <w:tc>
          <w:tcPr>
            <w:tcW w:w="540" w:type="dxa"/>
            <w:vAlign w:val="bottom"/>
          </w:tcPr>
          <w:p>
            <w:pPr>
              <w:jc w:val="center"/>
              <w:spacing w:after="0"/>
              <w:rPr>
                <w:sz w:val="20"/>
                <w:szCs w:val="20"/>
                <w:color w:val="auto"/>
              </w:rPr>
            </w:pPr>
            <w:r>
              <w:rPr>
                <w:rFonts w:ascii="Arial" w:cs="Arial" w:eastAsia="Arial" w:hAnsi="Arial"/>
                <w:sz w:val="16"/>
                <w:szCs w:val="16"/>
                <w:color w:val="auto"/>
                <w:w w:val="95"/>
              </w:rPr>
              <w:t>2010</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5,598</w:t>
            </w:r>
          </w:p>
        </w:tc>
        <w:tc>
          <w:tcPr>
            <w:tcW w:w="240" w:type="dxa"/>
            <w:vAlign w:val="bottom"/>
          </w:tcPr>
          <w:p>
            <w:pPr>
              <w:spacing w:after="0"/>
              <w:rPr>
                <w:sz w:val="17"/>
                <w:szCs w:val="17"/>
                <w:color w:val="auto"/>
              </w:rPr>
            </w:pPr>
          </w:p>
        </w:tc>
        <w:tc>
          <w:tcPr>
            <w:tcW w:w="660" w:type="dxa"/>
            <w:vAlign w:val="bottom"/>
          </w:tcPr>
          <w:p>
            <w:pPr>
              <w:jc w:val="right"/>
              <w:ind w:right="24"/>
              <w:spacing w:after="0"/>
              <w:rPr>
                <w:sz w:val="20"/>
                <w:szCs w:val="20"/>
                <w:color w:val="auto"/>
              </w:rPr>
            </w:pPr>
            <w:r>
              <w:rPr>
                <w:rFonts w:ascii="Arial" w:cs="Arial" w:eastAsia="Arial" w:hAnsi="Arial"/>
                <w:sz w:val="16"/>
                <w:szCs w:val="16"/>
                <w:color w:val="auto"/>
              </w:rPr>
              <w:t>5,707</w:t>
            </w:r>
          </w:p>
        </w:tc>
        <w:tc>
          <w:tcPr>
            <w:tcW w:w="24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6,429</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6,623</w:t>
            </w:r>
          </w:p>
        </w:tc>
        <w:tc>
          <w:tcPr>
            <w:tcW w:w="2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6,912</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6,853</w:t>
            </w:r>
          </w:p>
        </w:tc>
        <w:tc>
          <w:tcPr>
            <w:tcW w:w="2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6,838</w:t>
            </w:r>
          </w:p>
        </w:tc>
        <w:tc>
          <w:tcPr>
            <w:tcW w:w="2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6,840</w:t>
            </w:r>
          </w:p>
        </w:tc>
        <w:tc>
          <w:tcPr>
            <w:tcW w:w="18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6,845</w:t>
            </w:r>
          </w:p>
        </w:tc>
        <w:tc>
          <w:tcPr>
            <w:tcW w:w="240" w:type="dxa"/>
            <w:vAlign w:val="bottom"/>
          </w:tcPr>
          <w:p>
            <w:pPr>
              <w:spacing w:after="0"/>
              <w:rPr>
                <w:sz w:val="17"/>
                <w:szCs w:val="17"/>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60" w:type="dxa"/>
            <w:vAlign w:val="bottom"/>
          </w:tcPr>
          <w:p>
            <w:pPr>
              <w:ind w:left="400"/>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17"/>
                <w:szCs w:val="17"/>
                <w:color w:val="auto"/>
              </w:rPr>
            </w:pPr>
          </w:p>
        </w:tc>
      </w:tr>
      <w:tr>
        <w:trPr>
          <w:trHeight w:val="203"/>
        </w:trPr>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2011</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7,603</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7,678</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8,618</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9,440</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9,198</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9,066</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9,144</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9,186</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w:t>
            </w:r>
          </w:p>
        </w:tc>
        <w:tc>
          <w:tcPr>
            <w:tcW w:w="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1,913</w:t>
            </w:r>
          </w:p>
        </w:tc>
        <w:tc>
          <w:tcPr>
            <w:tcW w:w="100" w:type="dxa"/>
            <w:vAlign w:val="bottom"/>
          </w:tcPr>
          <w:p>
            <w:pPr>
              <w:spacing w:after="0"/>
              <w:rPr>
                <w:sz w:val="17"/>
                <w:szCs w:val="17"/>
                <w:color w:val="auto"/>
              </w:rPr>
            </w:pPr>
          </w:p>
        </w:tc>
      </w:tr>
      <w:tr>
        <w:trPr>
          <w:trHeight w:val="203"/>
        </w:trPr>
        <w:tc>
          <w:tcPr>
            <w:tcW w:w="540" w:type="dxa"/>
            <w:vAlign w:val="bottom"/>
          </w:tcPr>
          <w:p>
            <w:pPr>
              <w:jc w:val="center"/>
              <w:spacing w:after="0"/>
              <w:rPr>
                <w:sz w:val="20"/>
                <w:szCs w:val="20"/>
                <w:color w:val="auto"/>
              </w:rPr>
            </w:pPr>
            <w:r>
              <w:rPr>
                <w:rFonts w:ascii="Arial" w:cs="Arial" w:eastAsia="Arial" w:hAnsi="Arial"/>
                <w:sz w:val="16"/>
                <w:szCs w:val="16"/>
                <w:color w:val="auto"/>
                <w:w w:val="95"/>
              </w:rPr>
              <w:t>2012</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9,539</w:t>
            </w:r>
          </w:p>
        </w:tc>
        <w:tc>
          <w:tcPr>
            <w:tcW w:w="3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9,344</w:t>
            </w:r>
          </w:p>
        </w:tc>
        <w:tc>
          <w:tcPr>
            <w:tcW w:w="2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10,278</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10,382</w:t>
            </w:r>
          </w:p>
        </w:tc>
        <w:tc>
          <w:tcPr>
            <w:tcW w:w="2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10,582</w:t>
            </w:r>
          </w:p>
        </w:tc>
        <w:tc>
          <w:tcPr>
            <w:tcW w:w="2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10,790</w:t>
            </w:r>
          </w:p>
        </w:tc>
        <w:tc>
          <w:tcPr>
            <w:tcW w:w="18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10,788</w:t>
            </w:r>
          </w:p>
        </w:tc>
        <w:tc>
          <w:tcPr>
            <w:tcW w:w="24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28</w:t>
            </w:r>
          </w:p>
        </w:tc>
        <w:tc>
          <w:tcPr>
            <w:tcW w:w="860" w:type="dxa"/>
            <w:vAlign w:val="bottom"/>
          </w:tcPr>
          <w:p>
            <w:pPr>
              <w:ind w:left="400"/>
              <w:spacing w:after="0"/>
              <w:rPr>
                <w:sz w:val="20"/>
                <w:szCs w:val="20"/>
                <w:color w:val="auto"/>
              </w:rPr>
            </w:pPr>
            <w:r>
              <w:rPr>
                <w:rFonts w:ascii="Arial" w:cs="Arial" w:eastAsia="Arial" w:hAnsi="Arial"/>
                <w:sz w:val="16"/>
                <w:szCs w:val="16"/>
                <w:color w:val="auto"/>
                <w:w w:val="73"/>
              </w:rPr>
              <w:t>4,702(1)</w:t>
            </w:r>
          </w:p>
        </w:tc>
        <w:tc>
          <w:tcPr>
            <w:tcW w:w="100" w:type="dxa"/>
            <w:vAlign w:val="bottom"/>
          </w:tcPr>
          <w:p>
            <w:pPr>
              <w:spacing w:after="0"/>
              <w:rPr>
                <w:sz w:val="17"/>
                <w:szCs w:val="17"/>
                <w:color w:val="auto"/>
              </w:rPr>
            </w:pPr>
          </w:p>
        </w:tc>
      </w:tr>
      <w:tr>
        <w:trPr>
          <w:trHeight w:val="203"/>
        </w:trPr>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2013</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10,728</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9,745</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9,424</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9,621</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10,061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10,055</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187</w:t>
            </w:r>
          </w:p>
        </w:tc>
        <w:tc>
          <w:tcPr>
            <w:tcW w:w="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17"/>
                <w:szCs w:val="17"/>
                <w:color w:val="auto"/>
              </w:rPr>
            </w:pPr>
          </w:p>
        </w:tc>
      </w:tr>
      <w:tr>
        <w:trPr>
          <w:trHeight w:val="203"/>
        </w:trPr>
        <w:tc>
          <w:tcPr>
            <w:tcW w:w="54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14,193</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14,260</w:t>
            </w:r>
          </w:p>
        </w:tc>
        <w:tc>
          <w:tcPr>
            <w:tcW w:w="2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14,218</w:t>
            </w:r>
          </w:p>
        </w:tc>
        <w:tc>
          <w:tcPr>
            <w:tcW w:w="2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14,564</w:t>
            </w:r>
          </w:p>
        </w:tc>
        <w:tc>
          <w:tcPr>
            <w:tcW w:w="18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14,802</w:t>
            </w:r>
          </w:p>
        </w:tc>
        <w:tc>
          <w:tcPr>
            <w:tcW w:w="24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506</w:t>
            </w:r>
          </w:p>
        </w:tc>
        <w:tc>
          <w:tcPr>
            <w:tcW w:w="860" w:type="dxa"/>
            <w:vAlign w:val="bottom"/>
          </w:tcPr>
          <w:p>
            <w:pPr>
              <w:ind w:left="400"/>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17"/>
                <w:szCs w:val="17"/>
                <w:color w:val="auto"/>
              </w:rPr>
            </w:pPr>
          </w:p>
        </w:tc>
      </w:tr>
      <w:tr>
        <w:trPr>
          <w:trHeight w:val="203"/>
        </w:trPr>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2015</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21,994</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22,148</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22,071</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713</w:t>
            </w:r>
          </w:p>
        </w:tc>
        <w:tc>
          <w:tcPr>
            <w:tcW w:w="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2,541</w:t>
            </w:r>
          </w:p>
        </w:tc>
        <w:tc>
          <w:tcPr>
            <w:tcW w:w="100" w:type="dxa"/>
            <w:vAlign w:val="bottom"/>
          </w:tcPr>
          <w:p>
            <w:pPr>
              <w:spacing w:after="0"/>
              <w:rPr>
                <w:sz w:val="17"/>
                <w:szCs w:val="17"/>
                <w:color w:val="auto"/>
              </w:rPr>
            </w:pPr>
          </w:p>
        </w:tc>
      </w:tr>
      <w:tr>
        <w:trPr>
          <w:trHeight w:val="203"/>
        </w:trPr>
        <w:tc>
          <w:tcPr>
            <w:tcW w:w="540" w:type="dxa"/>
            <w:vAlign w:val="bottom"/>
          </w:tcPr>
          <w:p>
            <w:pPr>
              <w:jc w:val="center"/>
              <w:spacing w:after="0"/>
              <w:rPr>
                <w:sz w:val="20"/>
                <w:szCs w:val="20"/>
                <w:color w:val="auto"/>
              </w:rPr>
            </w:pPr>
            <w:r>
              <w:rPr>
                <w:rFonts w:ascii="Arial" w:cs="Arial" w:eastAsia="Arial" w:hAnsi="Arial"/>
                <w:sz w:val="16"/>
                <w:szCs w:val="16"/>
                <w:color w:val="auto"/>
                <w:w w:val="95"/>
              </w:rPr>
              <w:t>2016</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26,062</w:t>
            </w:r>
          </w:p>
        </w:tc>
        <w:tc>
          <w:tcPr>
            <w:tcW w:w="2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24,941</w:t>
            </w:r>
          </w:p>
        </w:tc>
        <w:tc>
          <w:tcPr>
            <w:tcW w:w="18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24,356</w:t>
            </w:r>
          </w:p>
        </w:tc>
        <w:tc>
          <w:tcPr>
            <w:tcW w:w="24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2,008</w:t>
            </w:r>
          </w:p>
        </w:tc>
        <w:tc>
          <w:tcPr>
            <w:tcW w:w="860" w:type="dxa"/>
            <w:vAlign w:val="bottom"/>
          </w:tcPr>
          <w:p>
            <w:pPr>
              <w:ind w:left="400"/>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17"/>
                <w:szCs w:val="17"/>
                <w:color w:val="auto"/>
              </w:rPr>
            </w:pPr>
          </w:p>
        </w:tc>
      </w:tr>
      <w:tr>
        <w:trPr>
          <w:trHeight w:val="203"/>
        </w:trPr>
        <w:tc>
          <w:tcPr>
            <w:tcW w:w="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2017</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31,605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32,227</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4,227</w:t>
            </w:r>
          </w:p>
        </w:tc>
        <w:tc>
          <w:tcPr>
            <w:tcW w:w="8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3,304</w:t>
            </w:r>
          </w:p>
        </w:tc>
        <w:tc>
          <w:tcPr>
            <w:tcW w:w="100" w:type="dxa"/>
            <w:vAlign w:val="bottom"/>
          </w:tcPr>
          <w:p>
            <w:pPr>
              <w:spacing w:after="0"/>
              <w:rPr>
                <w:sz w:val="17"/>
                <w:szCs w:val="17"/>
                <w:color w:val="auto"/>
              </w:rPr>
            </w:pPr>
          </w:p>
        </w:tc>
      </w:tr>
      <w:tr>
        <w:trPr>
          <w:trHeight w:val="208"/>
        </w:trPr>
        <w:tc>
          <w:tcPr>
            <w:tcW w:w="540" w:type="dxa"/>
            <w:vAlign w:val="bottom"/>
          </w:tcPr>
          <w:p>
            <w:pPr>
              <w:jc w:val="center"/>
              <w:spacing w:after="0"/>
              <w:rPr>
                <w:sz w:val="20"/>
                <w:szCs w:val="20"/>
                <w:color w:val="auto"/>
              </w:rPr>
            </w:pPr>
            <w:r>
              <w:rPr>
                <w:rFonts w:ascii="Arial" w:cs="Arial" w:eastAsia="Arial" w:hAnsi="Arial"/>
                <w:sz w:val="16"/>
                <w:szCs w:val="16"/>
                <w:color w:val="auto"/>
                <w:w w:val="95"/>
              </w:rPr>
              <w:t>2018</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26,940</w:t>
            </w:r>
          </w:p>
        </w:tc>
        <w:tc>
          <w:tcPr>
            <w:tcW w:w="240" w:type="dxa"/>
            <w:vAlign w:val="bottom"/>
          </w:tcPr>
          <w:p>
            <w:pPr>
              <w:spacing w:after="0"/>
              <w:rPr>
                <w:sz w:val="18"/>
                <w:szCs w:val="18"/>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5,436</w:t>
            </w:r>
          </w:p>
        </w:tc>
        <w:tc>
          <w:tcPr>
            <w:tcW w:w="860" w:type="dxa"/>
            <w:vAlign w:val="bottom"/>
          </w:tcPr>
          <w:p>
            <w:pPr>
              <w:ind w:left="40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8"/>
                <w:szCs w:val="18"/>
                <w:color w:val="auto"/>
              </w:rPr>
            </w:pPr>
          </w:p>
        </w:tc>
      </w:tr>
      <w:tr>
        <w:trPr>
          <w:trHeight w:val="233"/>
        </w:trPr>
        <w:tc>
          <w:tcPr>
            <w:tcW w:w="5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161,945</w:t>
            </w: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6"/>
          <w:szCs w:val="16"/>
          <w:color w:val="auto"/>
        </w:rPr>
        <w:t>(1) Reported claims for accident year 2012 includes 3,406 claims from Superstorm Sandy.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Lines of Business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80" w:type="dxa"/>
            <w:vAlign w:val="bottom"/>
            <w:tcBorders>
              <w:bottom w:val="single" w:sz="8" w:color="auto"/>
            </w:tcBorders>
            <w:gridSpan w:val="11"/>
          </w:tcPr>
          <w:p>
            <w:pPr>
              <w:ind w:left="280"/>
              <w:spacing w:after="0"/>
              <w:rPr>
                <w:sz w:val="20"/>
                <w:szCs w:val="20"/>
                <w:color w:val="auto"/>
              </w:rPr>
            </w:pPr>
            <w:r>
              <w:rPr>
                <w:rFonts w:ascii="Arial" w:cs="Arial" w:eastAsia="Arial" w:hAnsi="Arial"/>
                <w:sz w:val="14"/>
                <w:szCs w:val="14"/>
                <w:b w:val="1"/>
                <w:bCs w:val="1"/>
                <w:color w:val="auto"/>
                <w:w w:val="99"/>
              </w:rPr>
              <w:t>Cumulative Paid Loss and Allocated Loss Adjustment Expenses, Net of Reinsurance</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39"/>
        </w:trPr>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41"/>
              <w:spacing w:after="0" w:line="139" w:lineRule="exact"/>
              <w:rPr>
                <w:sz w:val="20"/>
                <w:szCs w:val="20"/>
                <w:color w:val="auto"/>
              </w:rPr>
            </w:pPr>
            <w:r>
              <w:rPr>
                <w:rFonts w:ascii="Arial" w:cs="Arial" w:eastAsia="Arial" w:hAnsi="Arial"/>
                <w:sz w:val="14"/>
                <w:szCs w:val="14"/>
                <w:b w:val="1"/>
                <w:bCs w:val="1"/>
                <w:color w:val="auto"/>
                <w:w w:val="85"/>
              </w:rPr>
              <w:t>Six</w:t>
            </w:r>
          </w:p>
        </w:tc>
      </w:tr>
      <w:tr>
        <w:trPr>
          <w:trHeight w:val="152"/>
        </w:trPr>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ind w:right="141"/>
              <w:spacing w:after="0" w:line="152" w:lineRule="exact"/>
              <w:rPr>
                <w:sz w:val="20"/>
                <w:szCs w:val="20"/>
                <w:color w:val="auto"/>
              </w:rPr>
            </w:pPr>
            <w:r>
              <w:rPr>
                <w:rFonts w:ascii="Arial" w:cs="Arial" w:eastAsia="Arial" w:hAnsi="Arial"/>
                <w:sz w:val="14"/>
                <w:szCs w:val="14"/>
                <w:b w:val="1"/>
                <w:bCs w:val="1"/>
                <w:color w:val="auto"/>
                <w:w w:val="92"/>
              </w:rPr>
              <w:t>Months</w:t>
            </w:r>
          </w:p>
        </w:tc>
      </w:tr>
      <w:tr>
        <w:trPr>
          <w:trHeight w:val="152"/>
        </w:trPr>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ind w:right="141"/>
              <w:spacing w:after="0" w:line="152" w:lineRule="exact"/>
              <w:rPr>
                <w:sz w:val="20"/>
                <w:szCs w:val="20"/>
                <w:color w:val="auto"/>
              </w:rPr>
            </w:pPr>
            <w:r>
              <w:rPr>
                <w:rFonts w:ascii="Arial" w:cs="Arial" w:eastAsia="Arial" w:hAnsi="Arial"/>
                <w:sz w:val="14"/>
                <w:szCs w:val="14"/>
                <w:b w:val="1"/>
                <w:bCs w:val="1"/>
                <w:color w:val="auto"/>
                <w:w w:val="88"/>
              </w:rPr>
              <w:t>Ended</w:t>
            </w:r>
          </w:p>
        </w:tc>
      </w:tr>
      <w:tr>
        <w:trPr>
          <w:trHeight w:val="171"/>
        </w:trPr>
        <w:tc>
          <w:tcPr>
            <w:tcW w:w="1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right"/>
              <w:ind w:right="419"/>
              <w:spacing w:after="0"/>
              <w:rPr>
                <w:sz w:val="20"/>
                <w:szCs w:val="20"/>
                <w:color w:val="auto"/>
              </w:rPr>
            </w:pPr>
            <w:r>
              <w:rPr>
                <w:rFonts w:ascii="Arial" w:cs="Arial" w:eastAsia="Arial" w:hAnsi="Arial"/>
                <w:sz w:val="14"/>
                <w:szCs w:val="14"/>
                <w:b w:val="1"/>
                <w:bCs w:val="1"/>
                <w:color w:val="auto"/>
                <w:w w:val="98"/>
              </w:rPr>
              <w:t>For the Years Ended December 31,</w:t>
            </w: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June 30,</w:t>
            </w:r>
          </w:p>
        </w:tc>
      </w:tr>
      <w:tr>
        <w:trPr>
          <w:trHeight w:val="157"/>
        </w:trPr>
        <w:tc>
          <w:tcPr>
            <w:tcW w:w="11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89"/>
              </w:rPr>
              <w:t>Accident Year</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4"/>
              <w:spacing w:after="0" w:line="15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2"/>
              <w:spacing w:after="0" w:line="15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00"/>
              <w:spacing w:after="0" w:line="15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2"/>
              <w:spacing w:after="0" w:line="15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9"/>
              <w:spacing w:after="0" w:line="15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9"/>
              <w:spacing w:after="0" w:line="15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9"/>
              <w:spacing w:after="0" w:line="15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9"/>
              <w:spacing w:after="0" w:line="15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9"/>
              <w:spacing w:after="0" w:line="15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800" w:type="dxa"/>
            <w:vAlign w:val="bottom"/>
          </w:tcPr>
          <w:p>
            <w:pPr>
              <w:jc w:val="center"/>
              <w:ind w:right="121"/>
              <w:spacing w:after="0" w:line="152" w:lineRule="exact"/>
              <w:rPr>
                <w:sz w:val="20"/>
                <w:szCs w:val="20"/>
                <w:color w:val="auto"/>
              </w:rPr>
            </w:pPr>
            <w:r>
              <w:rPr>
                <w:rFonts w:ascii="Arial" w:cs="Arial" w:eastAsia="Arial" w:hAnsi="Arial"/>
                <w:sz w:val="14"/>
                <w:szCs w:val="14"/>
                <w:b w:val="1"/>
                <w:bCs w:val="1"/>
                <w:color w:val="auto"/>
                <w:w w:val="89"/>
              </w:rPr>
              <w:t>2018</w:t>
            </w:r>
          </w:p>
        </w:tc>
      </w:tr>
      <w:tr>
        <w:trPr>
          <w:trHeight w:val="208"/>
        </w:trPr>
        <w:tc>
          <w:tcPr>
            <w:tcW w:w="1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4"/>
              </w:rPr>
              <w:t>(Unaudited 2009 - 2015)</w:t>
            </w: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(Unaudited)</w:t>
            </w:r>
          </w:p>
        </w:tc>
      </w:tr>
      <w:tr>
        <w:trPr>
          <w:trHeight w:val="228"/>
        </w:trPr>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2009</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2,298</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3,068</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3,607</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3,920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4,134</w:t>
            </w:r>
          </w:p>
        </w:tc>
        <w:tc>
          <w:tcPr>
            <w:tcW w:w="3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4,362</w:t>
            </w:r>
          </w:p>
        </w:tc>
        <w:tc>
          <w:tcPr>
            <w:tcW w:w="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4,468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4,659</w:t>
            </w:r>
          </w:p>
        </w:tc>
      </w:tr>
      <w:tr>
        <w:trPr>
          <w:trHeight w:val="203"/>
        </w:trPr>
        <w:tc>
          <w:tcPr>
            <w:tcW w:w="1160" w:type="dxa"/>
            <w:vAlign w:val="bottom"/>
          </w:tcPr>
          <w:p>
            <w:pPr>
              <w:jc w:val="center"/>
              <w:spacing w:after="0"/>
              <w:rPr>
                <w:sz w:val="20"/>
                <w:szCs w:val="20"/>
                <w:color w:val="auto"/>
              </w:rPr>
            </w:pPr>
            <w:r>
              <w:rPr>
                <w:rFonts w:ascii="Arial" w:cs="Arial" w:eastAsia="Arial" w:hAnsi="Arial"/>
                <w:sz w:val="16"/>
                <w:szCs w:val="16"/>
                <w:color w:val="auto"/>
                <w:w w:val="89"/>
              </w:rPr>
              <w:t>2010</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22"/>
              <w:spacing w:after="0"/>
              <w:rPr>
                <w:sz w:val="20"/>
                <w:szCs w:val="20"/>
                <w:color w:val="auto"/>
              </w:rPr>
            </w:pPr>
            <w:r>
              <w:rPr>
                <w:rFonts w:ascii="Arial" w:cs="Arial" w:eastAsia="Arial" w:hAnsi="Arial"/>
                <w:sz w:val="16"/>
                <w:szCs w:val="16"/>
                <w:color w:val="auto"/>
              </w:rPr>
              <w:t>2,566</w:t>
            </w:r>
          </w:p>
        </w:tc>
        <w:tc>
          <w:tcPr>
            <w:tcW w:w="280" w:type="dxa"/>
            <w:vAlign w:val="bottom"/>
          </w:tcPr>
          <w:p>
            <w:pPr>
              <w:spacing w:after="0"/>
              <w:rPr>
                <w:sz w:val="17"/>
                <w:szCs w:val="17"/>
                <w:color w:val="auto"/>
              </w:rPr>
            </w:pPr>
          </w:p>
        </w:tc>
        <w:tc>
          <w:tcPr>
            <w:tcW w:w="740" w:type="dxa"/>
            <w:vAlign w:val="bottom"/>
          </w:tcPr>
          <w:p>
            <w:pPr>
              <w:ind w:left="280"/>
              <w:spacing w:after="0"/>
              <w:rPr>
                <w:sz w:val="20"/>
                <w:szCs w:val="20"/>
                <w:color w:val="auto"/>
              </w:rPr>
            </w:pPr>
            <w:r>
              <w:rPr>
                <w:rFonts w:ascii="Arial" w:cs="Arial" w:eastAsia="Arial" w:hAnsi="Arial"/>
                <w:sz w:val="16"/>
                <w:szCs w:val="16"/>
                <w:color w:val="auto"/>
              </w:rPr>
              <w:t>3,947</w:t>
            </w:r>
          </w:p>
        </w:tc>
        <w:tc>
          <w:tcPr>
            <w:tcW w:w="28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4,972</w:t>
            </w:r>
          </w:p>
        </w:tc>
        <w:tc>
          <w:tcPr>
            <w:tcW w:w="2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5,602</w:t>
            </w:r>
          </w:p>
        </w:tc>
        <w:tc>
          <w:tcPr>
            <w:tcW w:w="3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6,323</w:t>
            </w:r>
          </w:p>
        </w:tc>
        <w:tc>
          <w:tcPr>
            <w:tcW w:w="2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6,576</w:t>
            </w:r>
          </w:p>
        </w:tc>
        <w:tc>
          <w:tcPr>
            <w:tcW w:w="2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6,720</w:t>
            </w:r>
          </w:p>
        </w:tc>
        <w:tc>
          <w:tcPr>
            <w:tcW w:w="2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6,772</w:t>
            </w:r>
          </w:p>
        </w:tc>
        <w:tc>
          <w:tcPr>
            <w:tcW w:w="22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6,778</w:t>
            </w:r>
          </w:p>
        </w:tc>
      </w:tr>
      <w:tr>
        <w:trPr>
          <w:trHeight w:val="203"/>
        </w:trPr>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2011</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3,740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5,117</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6,228</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7,170</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8,139</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8,540</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8,702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8,715</w:t>
            </w:r>
          </w:p>
        </w:tc>
      </w:tr>
      <w:tr>
        <w:trPr>
          <w:trHeight w:val="203"/>
        </w:trPr>
        <w:tc>
          <w:tcPr>
            <w:tcW w:w="1160" w:type="dxa"/>
            <w:vAlign w:val="bottom"/>
          </w:tcPr>
          <w:p>
            <w:pPr>
              <w:jc w:val="center"/>
              <w:spacing w:after="0"/>
              <w:rPr>
                <w:sz w:val="20"/>
                <w:szCs w:val="20"/>
                <w:color w:val="auto"/>
              </w:rPr>
            </w:pPr>
            <w:r>
              <w:rPr>
                <w:rFonts w:ascii="Arial" w:cs="Arial" w:eastAsia="Arial" w:hAnsi="Arial"/>
                <w:sz w:val="16"/>
                <w:szCs w:val="16"/>
                <w:color w:val="auto"/>
                <w:w w:val="89"/>
              </w:rPr>
              <w:t>2012</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3,950</w:t>
            </w:r>
          </w:p>
        </w:tc>
        <w:tc>
          <w:tcPr>
            <w:tcW w:w="2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5,770</w:t>
            </w:r>
          </w:p>
        </w:tc>
        <w:tc>
          <w:tcPr>
            <w:tcW w:w="3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7,127</w:t>
            </w:r>
          </w:p>
        </w:tc>
        <w:tc>
          <w:tcPr>
            <w:tcW w:w="2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8,196</w:t>
            </w:r>
          </w:p>
        </w:tc>
        <w:tc>
          <w:tcPr>
            <w:tcW w:w="2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9,187</w:t>
            </w:r>
          </w:p>
        </w:tc>
        <w:tc>
          <w:tcPr>
            <w:tcW w:w="2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10,236</w:t>
            </w:r>
          </w:p>
        </w:tc>
        <w:tc>
          <w:tcPr>
            <w:tcW w:w="22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10,296</w:t>
            </w:r>
          </w:p>
        </w:tc>
      </w:tr>
      <w:tr>
        <w:trPr>
          <w:trHeight w:val="203"/>
        </w:trPr>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2013</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3,405</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5,303</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6,633</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7,591</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8,407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8,698</w:t>
            </w:r>
          </w:p>
        </w:tc>
      </w:tr>
      <w:tr>
        <w:trPr>
          <w:trHeight w:val="203"/>
        </w:trPr>
        <w:tc>
          <w:tcPr>
            <w:tcW w:w="116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5,710</w:t>
            </w:r>
          </w:p>
        </w:tc>
        <w:tc>
          <w:tcPr>
            <w:tcW w:w="2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9,429</w:t>
            </w:r>
          </w:p>
        </w:tc>
        <w:tc>
          <w:tcPr>
            <w:tcW w:w="2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10,738</w:t>
            </w:r>
          </w:p>
        </w:tc>
        <w:tc>
          <w:tcPr>
            <w:tcW w:w="2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11,770</w:t>
            </w:r>
          </w:p>
        </w:tc>
        <w:tc>
          <w:tcPr>
            <w:tcW w:w="22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13,226</w:t>
            </w:r>
          </w:p>
        </w:tc>
      </w:tr>
      <w:tr>
        <w:trPr>
          <w:trHeight w:val="203"/>
        </w:trPr>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2015</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12,295</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16,181</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18,266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19,150</w:t>
            </w:r>
          </w:p>
        </w:tc>
      </w:tr>
      <w:tr>
        <w:trPr>
          <w:trHeight w:val="203"/>
        </w:trPr>
        <w:tc>
          <w:tcPr>
            <w:tcW w:w="116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15,364</w:t>
            </w:r>
          </w:p>
        </w:tc>
        <w:tc>
          <w:tcPr>
            <w:tcW w:w="26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19,001</w:t>
            </w:r>
          </w:p>
        </w:tc>
        <w:tc>
          <w:tcPr>
            <w:tcW w:w="22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19,993</w:t>
            </w:r>
          </w:p>
        </w:tc>
      </w:tr>
      <w:tr>
        <w:trPr>
          <w:trHeight w:val="203"/>
        </w:trPr>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16,704</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23,287</w:t>
            </w:r>
          </w:p>
        </w:tc>
      </w:tr>
      <w:tr>
        <w:trPr>
          <w:trHeight w:val="208"/>
        </w:trPr>
        <w:tc>
          <w:tcPr>
            <w:tcW w:w="1160" w:type="dxa"/>
            <w:vAlign w:val="bottom"/>
          </w:tcPr>
          <w:p>
            <w:pPr>
              <w:jc w:val="center"/>
              <w:spacing w:after="0"/>
              <w:rPr>
                <w:sz w:val="20"/>
                <w:szCs w:val="20"/>
                <w:color w:val="auto"/>
              </w:rPr>
            </w:pPr>
            <w:r>
              <w:rPr>
                <w:rFonts w:ascii="Arial" w:cs="Arial" w:eastAsia="Arial" w:hAnsi="Arial"/>
                <w:sz w:val="16"/>
                <w:szCs w:val="16"/>
                <w:color w:val="auto"/>
                <w:w w:val="89"/>
              </w:rPr>
              <w:t>2018</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13,944</w:t>
            </w:r>
          </w:p>
        </w:tc>
      </w:tr>
      <w:tr>
        <w:trPr>
          <w:trHeight w:val="233"/>
        </w:trPr>
        <w:tc>
          <w:tcPr>
            <w:tcW w:w="1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128,746</w:t>
            </w:r>
          </w:p>
        </w:tc>
      </w:tr>
      <w:tr>
        <w:trPr>
          <w:trHeight w:val="203"/>
        </w:trPr>
        <w:tc>
          <w:tcPr>
            <w:tcW w:w="664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8"/>
        </w:trPr>
        <w:tc>
          <w:tcPr>
            <w:tcW w:w="6640" w:type="dxa"/>
            <w:vAlign w:val="bottom"/>
            <w:gridSpan w:val="12"/>
            <w:shd w:val="clear" w:color="auto" w:fill="CCEEFF"/>
          </w:tcPr>
          <w:p>
            <w:pPr>
              <w:ind w:left="60"/>
              <w:spacing w:after="0"/>
              <w:rPr>
                <w:sz w:val="20"/>
                <w:szCs w:val="20"/>
                <w:color w:val="auto"/>
              </w:rPr>
            </w:pPr>
            <w:r>
              <w:rPr>
                <w:rFonts w:ascii="Arial" w:cs="Arial" w:eastAsia="Arial" w:hAnsi="Arial"/>
                <w:sz w:val="16"/>
                <w:szCs w:val="16"/>
                <w:color w:val="auto"/>
                <w:w w:val="92"/>
              </w:rPr>
              <w:t>Net liability for unpaid loss and allocated loss adjustment expenses for the accident years presented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33,199</w:t>
            </w:r>
          </w:p>
        </w:tc>
      </w:tr>
      <w:tr>
        <w:trPr>
          <w:trHeight w:val="233"/>
        </w:trPr>
        <w:tc>
          <w:tcPr>
            <w:tcW w:w="4240" w:type="dxa"/>
            <w:vAlign w:val="bottom"/>
            <w:gridSpan w:val="7"/>
          </w:tcPr>
          <w:p>
            <w:pPr>
              <w:ind w:left="60"/>
              <w:spacing w:after="0"/>
              <w:rPr>
                <w:sz w:val="20"/>
                <w:szCs w:val="20"/>
                <w:color w:val="auto"/>
              </w:rPr>
            </w:pPr>
            <w:r>
              <w:rPr>
                <w:rFonts w:ascii="Arial" w:cs="Arial" w:eastAsia="Arial" w:hAnsi="Arial"/>
                <w:sz w:val="16"/>
                <w:szCs w:val="16"/>
                <w:color w:val="auto"/>
              </w:rPr>
              <w:t>All outstanding liabilities before 2009, net of reinsurance</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216</w:t>
            </w:r>
          </w:p>
        </w:tc>
      </w:tr>
      <w:tr>
        <w:trPr>
          <w:trHeight w:val="267"/>
        </w:trPr>
        <w:tc>
          <w:tcPr>
            <w:tcW w:w="5280" w:type="dxa"/>
            <w:vAlign w:val="bottom"/>
            <w:tcBorders>
              <w:bottom w:val="single" w:sz="8" w:color="CCEEFF"/>
            </w:tcBorders>
            <w:gridSpan w:val="9"/>
            <w:shd w:val="clear" w:color="auto" w:fill="CCEEFF"/>
          </w:tcPr>
          <w:p>
            <w:pPr>
              <w:ind w:left="60"/>
              <w:spacing w:after="0"/>
              <w:rPr>
                <w:sz w:val="20"/>
                <w:szCs w:val="20"/>
                <w:color w:val="auto"/>
              </w:rPr>
            </w:pPr>
            <w:r>
              <w:rPr>
                <w:rFonts w:ascii="Arial" w:cs="Arial" w:eastAsia="Arial" w:hAnsi="Arial"/>
                <w:sz w:val="16"/>
                <w:szCs w:val="16"/>
                <w:color w:val="auto"/>
                <w:w w:val="95"/>
              </w:rPr>
              <w:t>Liabilities for loss and allocated loss adjustment expenses, net of reinsurance</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33,415</w:t>
            </w:r>
          </w:p>
        </w:tc>
      </w:tr>
      <w:tr>
        <w:trPr>
          <w:trHeight w:val="599"/>
        </w:trPr>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24</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520"/>
          </w:cols>
          <w:pgMar w:left="240" w:top="532" w:right="1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The reconciliation of the net incurred and paid loss development tables to the loss and LAE reserves in the consolidated balance sheet is as follows: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the Disclosure of Incurred and Paid Loss Development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the Liability for Loss and LAE Reserves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tcPr>
          <w:p>
            <w:pPr>
              <w:jc w:val="right"/>
              <w:ind w:right="442"/>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10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0"/>
              </w:rPr>
              <w:t>June 30, 2018</w:t>
            </w:r>
          </w:p>
        </w:tc>
        <w:tc>
          <w:tcPr>
            <w:tcW w:w="0" w:type="dxa"/>
            <w:vAlign w:val="bottom"/>
          </w:tcPr>
          <w:p>
            <w:pPr>
              <w:spacing w:after="0"/>
              <w:rPr>
                <w:sz w:val="1"/>
                <w:szCs w:val="1"/>
                <w:color w:val="auto"/>
              </w:rPr>
            </w:pPr>
          </w:p>
        </w:tc>
      </w:tr>
      <w:tr>
        <w:trPr>
          <w:trHeight w:val="203"/>
        </w:trPr>
        <w:tc>
          <w:tcPr>
            <w:tcW w:w="10060" w:type="dxa"/>
            <w:vAlign w:val="bottom"/>
            <w:shd w:val="clear" w:color="auto" w:fill="CCEEFF"/>
          </w:tcPr>
          <w:p>
            <w:pPr>
              <w:spacing w:after="0"/>
              <w:rPr>
                <w:sz w:val="20"/>
                <w:szCs w:val="20"/>
                <w:color w:val="auto"/>
              </w:rPr>
            </w:pPr>
            <w:r>
              <w:rPr>
                <w:rFonts w:ascii="Arial" w:cs="Arial" w:eastAsia="Arial" w:hAnsi="Arial"/>
                <w:sz w:val="16"/>
                <w:szCs w:val="16"/>
                <w:color w:val="auto"/>
              </w:rPr>
              <w:t>Liabilities for allocated loss and loss adjustment expenses, net of reinsurance</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33,415</w:t>
            </w:r>
          </w:p>
        </w:tc>
        <w:tc>
          <w:tcPr>
            <w:tcW w:w="0" w:type="dxa"/>
            <w:vAlign w:val="bottom"/>
          </w:tcPr>
          <w:p>
            <w:pPr>
              <w:spacing w:after="0"/>
              <w:rPr>
                <w:sz w:val="1"/>
                <w:szCs w:val="1"/>
                <w:color w:val="auto"/>
              </w:rPr>
            </w:pPr>
          </w:p>
        </w:tc>
      </w:tr>
      <w:tr>
        <w:trPr>
          <w:trHeight w:val="203"/>
        </w:trPr>
        <w:tc>
          <w:tcPr>
            <w:tcW w:w="10060" w:type="dxa"/>
            <w:vAlign w:val="bottom"/>
          </w:tcPr>
          <w:p>
            <w:pPr>
              <w:spacing w:after="0"/>
              <w:rPr>
                <w:sz w:val="20"/>
                <w:szCs w:val="20"/>
                <w:color w:val="auto"/>
              </w:rPr>
            </w:pPr>
            <w:r>
              <w:rPr>
                <w:rFonts w:ascii="Arial" w:cs="Arial" w:eastAsia="Arial" w:hAnsi="Arial"/>
                <w:sz w:val="16"/>
                <w:szCs w:val="16"/>
                <w:color w:val="auto"/>
              </w:rPr>
              <w:t>Total reinsurance recoverable on unpaid losses</w:t>
            </w:r>
          </w:p>
        </w:tc>
        <w:tc>
          <w:tcPr>
            <w:tcW w:w="240" w:type="dxa"/>
            <w:vAlign w:val="bottom"/>
          </w:tcPr>
          <w:p>
            <w:pPr>
              <w:spacing w:after="0"/>
              <w:rPr>
                <w:sz w:val="17"/>
                <w:szCs w:val="17"/>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14,399</w:t>
            </w:r>
          </w:p>
        </w:tc>
        <w:tc>
          <w:tcPr>
            <w:tcW w:w="0" w:type="dxa"/>
            <w:vAlign w:val="bottom"/>
          </w:tcPr>
          <w:p>
            <w:pPr>
              <w:spacing w:after="0"/>
              <w:rPr>
                <w:sz w:val="1"/>
                <w:szCs w:val="1"/>
                <w:color w:val="auto"/>
              </w:rPr>
            </w:pPr>
          </w:p>
        </w:tc>
      </w:tr>
      <w:tr>
        <w:trPr>
          <w:trHeight w:val="208"/>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Unallocated loss adjustment expenses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03"/>
        </w:trPr>
        <w:tc>
          <w:tcPr>
            <w:tcW w:w="10060" w:type="dxa"/>
            <w:vAlign w:val="bottom"/>
          </w:tcPr>
          <w:p>
            <w:pPr>
              <w:spacing w:after="0"/>
              <w:rPr>
                <w:sz w:val="20"/>
                <w:szCs w:val="20"/>
                <w:color w:val="auto"/>
              </w:rPr>
            </w:pPr>
            <w:r>
              <w:rPr>
                <w:rFonts w:ascii="Arial" w:cs="Arial" w:eastAsia="Arial" w:hAnsi="Arial"/>
                <w:sz w:val="16"/>
                <w:szCs w:val="16"/>
                <w:color w:val="auto"/>
              </w:rPr>
              <w:t>Total gross liability for loss and LAE reserves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49,258</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Reinsurance</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quota share reinsurance treaties are on a July 1 through June 30 fiscal year basis; therefore, for year to date fiscal periods after June 30, two separate treaties will be included in such periods.</w:t>
      </w:r>
    </w:p>
    <w:p>
      <w:pPr>
        <w:spacing w:after="0" w:line="15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Company’s quota share reinsurance treaties in effect for the six months ended June 30, 2018 for its personal lines business, which primarily consists of homeowners’ policies, were covered under the July 1, 2017/June 30, 2018 treaty year (“2017/2019 Treaty”) (two year treaty as described below). The Company’s quota share reinsurance treaties in effect for the six months ended June 30, 2017 were covered under the July 1, 2016/June 30, 2017 treaty year (“2016/2017 Treaty”).</w:t>
      </w:r>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March 2017, the Company bound its personal lines quota share reinsurance treaty effective July 1, 2017. The treaty provides for a reduction in the quota share ceding rate to 20%, from 40% in the 2016/2017 Treaty, and an increase in the provisional ceding commission rate to 53%, from 52% in the 2016/2017 Treaty. The 2017/2019 Treaty covers a two year period from July 1, 2017 through June 30, 2019.</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entered into new excess of loss and catastrophe reinsurance treaties effective July 1, 2018. Material terms for reinsurance treaties in effect for the treaty years shown below are as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1"/>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1"/>
              </w:rPr>
              <w:t>Treaty Year</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ind w:right="199"/>
              <w:spacing w:after="0" w:line="139" w:lineRule="exact"/>
              <w:rPr>
                <w:sz w:val="20"/>
                <w:szCs w:val="20"/>
                <w:color w:val="auto"/>
              </w:rPr>
            </w:pPr>
            <w:r>
              <w:rPr>
                <w:rFonts w:ascii="Arial" w:cs="Arial" w:eastAsia="Arial" w:hAnsi="Arial"/>
                <w:sz w:val="14"/>
                <w:szCs w:val="14"/>
                <w:b w:val="1"/>
                <w:bCs w:val="1"/>
                <w:color w:val="auto"/>
                <w:w w:val="88"/>
              </w:rPr>
              <w:t>July 1, 2018</w:t>
            </w:r>
          </w:p>
        </w:tc>
        <w:tc>
          <w:tcPr>
            <w:tcW w:w="160" w:type="dxa"/>
            <w:vAlign w:val="bottom"/>
          </w:tcPr>
          <w:p>
            <w:pPr>
              <w:spacing w:after="0"/>
              <w:rPr>
                <w:sz w:val="12"/>
                <w:szCs w:val="12"/>
                <w:color w:val="auto"/>
              </w:rPr>
            </w:pPr>
          </w:p>
        </w:tc>
        <w:tc>
          <w:tcPr>
            <w:tcW w:w="1200" w:type="dxa"/>
            <w:vAlign w:val="bottom"/>
          </w:tcPr>
          <w:p>
            <w:pPr>
              <w:jc w:val="center"/>
              <w:ind w:right="219"/>
              <w:spacing w:after="0" w:line="139" w:lineRule="exact"/>
              <w:rPr>
                <w:sz w:val="20"/>
                <w:szCs w:val="20"/>
                <w:color w:val="auto"/>
              </w:rPr>
            </w:pPr>
            <w:r>
              <w:rPr>
                <w:rFonts w:ascii="Arial" w:cs="Arial" w:eastAsia="Arial" w:hAnsi="Arial"/>
                <w:sz w:val="14"/>
                <w:szCs w:val="14"/>
                <w:b w:val="1"/>
                <w:bCs w:val="1"/>
                <w:color w:val="auto"/>
                <w:w w:val="88"/>
              </w:rPr>
              <w:t>July 1, 2017</w:t>
            </w:r>
          </w:p>
        </w:tc>
        <w:tc>
          <w:tcPr>
            <w:tcW w:w="160" w:type="dxa"/>
            <w:vAlign w:val="bottom"/>
          </w:tcPr>
          <w:p>
            <w:pPr>
              <w:spacing w:after="0"/>
              <w:rPr>
                <w:sz w:val="12"/>
                <w:szCs w:val="12"/>
                <w:color w:val="auto"/>
              </w:rPr>
            </w:pPr>
          </w:p>
        </w:tc>
        <w:tc>
          <w:tcPr>
            <w:tcW w:w="1140" w:type="dxa"/>
            <w:vAlign w:val="bottom"/>
          </w:tcPr>
          <w:p>
            <w:pPr>
              <w:jc w:val="center"/>
              <w:ind w:right="139"/>
              <w:spacing w:after="0" w:line="139" w:lineRule="exact"/>
              <w:rPr>
                <w:sz w:val="20"/>
                <w:szCs w:val="20"/>
                <w:color w:val="auto"/>
              </w:rPr>
            </w:pPr>
            <w:r>
              <w:rPr>
                <w:rFonts w:ascii="Arial" w:cs="Arial" w:eastAsia="Arial" w:hAnsi="Arial"/>
                <w:sz w:val="14"/>
                <w:szCs w:val="14"/>
                <w:b w:val="1"/>
                <w:bCs w:val="1"/>
                <w:color w:val="auto"/>
                <w:w w:val="91"/>
              </w:rPr>
              <w:t>July 1, 2016</w:t>
            </w:r>
          </w:p>
        </w:tc>
        <w:tc>
          <w:tcPr>
            <w:tcW w:w="20" w:type="dxa"/>
            <w:vAlign w:val="bottom"/>
          </w:tcPr>
          <w:p>
            <w:pPr>
              <w:spacing w:after="0"/>
              <w:rPr>
                <w:sz w:val="12"/>
                <w:szCs w:val="12"/>
                <w:color w:val="auto"/>
              </w:rPr>
            </w:pPr>
          </w:p>
        </w:tc>
      </w:tr>
      <w:tr>
        <w:trPr>
          <w:trHeight w:val="152"/>
        </w:trPr>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219"/>
              <w:spacing w:after="0" w:line="152" w:lineRule="exact"/>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3"/>
                <w:szCs w:val="13"/>
                <w:color w:val="auto"/>
              </w:rPr>
            </w:pPr>
          </w:p>
        </w:tc>
        <w:tc>
          <w:tcPr>
            <w:tcW w:w="1200" w:type="dxa"/>
            <w:vAlign w:val="bottom"/>
          </w:tcPr>
          <w:p>
            <w:pPr>
              <w:jc w:val="center"/>
              <w:ind w:right="199"/>
              <w:spacing w:after="0" w:line="152" w:lineRule="exact"/>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3"/>
                <w:szCs w:val="13"/>
                <w:color w:val="auto"/>
              </w:rPr>
            </w:pPr>
          </w:p>
        </w:tc>
        <w:tc>
          <w:tcPr>
            <w:tcW w:w="1160" w:type="dxa"/>
            <w:vAlign w:val="bottom"/>
            <w:gridSpan w:val="2"/>
          </w:tcPr>
          <w:p>
            <w:pPr>
              <w:jc w:val="center"/>
              <w:ind w:right="240"/>
              <w:spacing w:after="0" w:line="152" w:lineRule="exact"/>
              <w:rPr>
                <w:sz w:val="20"/>
                <w:szCs w:val="20"/>
                <w:color w:val="auto"/>
              </w:rPr>
            </w:pPr>
            <w:r>
              <w:rPr>
                <w:rFonts w:ascii="Arial" w:cs="Arial" w:eastAsia="Arial" w:hAnsi="Arial"/>
                <w:sz w:val="14"/>
                <w:szCs w:val="14"/>
                <w:b w:val="1"/>
                <w:bCs w:val="1"/>
                <w:color w:val="auto"/>
                <w:w w:val="90"/>
              </w:rPr>
              <w:t>to</w:t>
            </w:r>
          </w:p>
        </w:tc>
      </w:tr>
      <w:tr>
        <w:trPr>
          <w:trHeight w:val="171"/>
        </w:trPr>
        <w:tc>
          <w:tcPr>
            <w:tcW w:w="7320" w:type="dxa"/>
            <w:vAlign w:val="bottom"/>
            <w:gridSpan w:val="4"/>
          </w:tcPr>
          <w:p>
            <w:pPr>
              <w:ind w:left="40"/>
              <w:spacing w:after="0"/>
              <w:rPr>
                <w:sz w:val="20"/>
                <w:szCs w:val="20"/>
                <w:color w:val="auto"/>
              </w:rPr>
            </w:pPr>
            <w:r>
              <w:rPr>
                <w:rFonts w:ascii="Arial" w:cs="Arial" w:eastAsia="Arial" w:hAnsi="Arial"/>
                <w:sz w:val="14"/>
                <w:szCs w:val="14"/>
                <w:b w:val="1"/>
                <w:bCs w:val="1"/>
                <w:color w:val="auto"/>
              </w:rPr>
              <w:t>Line of Busines</w:t>
            </w:r>
          </w:p>
        </w:tc>
        <w:tc>
          <w:tcPr>
            <w:tcW w:w="220" w:type="dxa"/>
            <w:vAlign w:val="bottom"/>
          </w:tcPr>
          <w:p>
            <w:pPr>
              <w:spacing w:after="0"/>
              <w:rPr>
                <w:sz w:val="14"/>
                <w:szCs w:val="14"/>
                <w:color w:val="auto"/>
              </w:rPr>
            </w:pPr>
          </w:p>
        </w:tc>
        <w:tc>
          <w:tcPr>
            <w:tcW w:w="1220" w:type="dxa"/>
            <w:vAlign w:val="bottom"/>
          </w:tcPr>
          <w:p>
            <w:pPr>
              <w:jc w:val="center"/>
              <w:ind w:right="199"/>
              <w:spacing w:after="0"/>
              <w:rPr>
                <w:sz w:val="20"/>
                <w:szCs w:val="20"/>
                <w:color w:val="auto"/>
              </w:rPr>
            </w:pPr>
            <w:r>
              <w:rPr>
                <w:rFonts w:ascii="Arial" w:cs="Arial" w:eastAsia="Arial" w:hAnsi="Arial"/>
                <w:sz w:val="14"/>
                <w:szCs w:val="14"/>
                <w:b w:val="1"/>
                <w:bCs w:val="1"/>
                <w:color w:val="auto"/>
                <w:w w:val="90"/>
              </w:rPr>
              <w:t>June 30, 2019</w:t>
            </w:r>
          </w:p>
        </w:tc>
        <w:tc>
          <w:tcPr>
            <w:tcW w:w="160" w:type="dxa"/>
            <w:vAlign w:val="bottom"/>
          </w:tcPr>
          <w:p>
            <w:pPr>
              <w:spacing w:after="0"/>
              <w:rPr>
                <w:sz w:val="14"/>
                <w:szCs w:val="14"/>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87"/>
              </w:rPr>
              <w:t>June 30, 2018</w:t>
            </w: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June 30, 2017</w:t>
            </w:r>
          </w:p>
        </w:tc>
      </w:tr>
      <w:tr>
        <w:trPr>
          <w:trHeight w:val="228"/>
        </w:trPr>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6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7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Personal Lines: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38"/>
        </w:trPr>
        <w:tc>
          <w:tcPr>
            <w:tcW w:w="102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27"/>
        </w:trPr>
        <w:tc>
          <w:tcPr>
            <w:tcW w:w="7320" w:type="dxa"/>
            <w:vAlign w:val="bottom"/>
            <w:gridSpan w:val="4"/>
          </w:tcPr>
          <w:p>
            <w:pPr>
              <w:spacing w:after="0"/>
              <w:rPr>
                <w:sz w:val="20"/>
                <w:szCs w:val="20"/>
                <w:color w:val="auto"/>
              </w:rPr>
            </w:pPr>
            <w:r>
              <w:rPr>
                <w:rFonts w:ascii="Arial" w:cs="Arial" w:eastAsia="Arial" w:hAnsi="Arial"/>
                <w:sz w:val="16"/>
                <w:szCs w:val="16"/>
                <w:color w:val="auto"/>
              </w:rPr>
              <w:t>Homeowners, dwelling fire and canine legal liability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Quota share treaty: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7320" w:type="dxa"/>
            <w:vAlign w:val="bottom"/>
            <w:gridSpan w:val="4"/>
          </w:tcPr>
          <w:p>
            <w:pPr>
              <w:ind w:left="500"/>
              <w:spacing w:after="0"/>
              <w:rPr>
                <w:sz w:val="20"/>
                <w:szCs w:val="20"/>
                <w:color w:val="auto"/>
              </w:rPr>
            </w:pPr>
            <w:r>
              <w:rPr>
                <w:rFonts w:ascii="Arial" w:cs="Arial" w:eastAsia="Arial" w:hAnsi="Arial"/>
                <w:sz w:val="16"/>
                <w:szCs w:val="16"/>
                <w:color w:val="auto"/>
              </w:rPr>
              <w:t>Percent ceded</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Risk retained</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500,000</w:t>
            </w:r>
          </w:p>
        </w:tc>
        <w:tc>
          <w:tcPr>
            <w:tcW w:w="20" w:type="dxa"/>
            <w:vAlign w:val="bottom"/>
          </w:tcPr>
          <w:p>
            <w:pPr>
              <w:spacing w:after="0"/>
              <w:rPr>
                <w:sz w:val="17"/>
                <w:szCs w:val="17"/>
                <w:color w:val="auto"/>
              </w:rPr>
            </w:pPr>
          </w:p>
        </w:tc>
      </w:tr>
      <w:tr>
        <w:trPr>
          <w:trHeight w:val="203"/>
        </w:trPr>
        <w:tc>
          <w:tcPr>
            <w:tcW w:w="7320" w:type="dxa"/>
            <w:vAlign w:val="bottom"/>
            <w:gridSpan w:val="4"/>
          </w:tcPr>
          <w:p>
            <w:pPr>
              <w:ind w:left="50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833,333</w:t>
            </w: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Excess of loss coverage and facultative facility above quota share coverage (1)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3,666,667</w:t>
            </w:r>
          </w:p>
        </w:tc>
        <w:tc>
          <w:tcPr>
            <w:tcW w:w="20" w:type="dxa"/>
            <w:vAlign w:val="bottom"/>
          </w:tcPr>
          <w:p>
            <w:pPr>
              <w:spacing w:after="0"/>
              <w:rPr>
                <w:sz w:val="17"/>
                <w:szCs w:val="17"/>
                <w:color w:val="auto"/>
              </w:rPr>
            </w:pPr>
          </w:p>
        </w:tc>
      </w:tr>
      <w:tr>
        <w:trPr>
          <w:trHeight w:val="227"/>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color w:val="auto"/>
              </w:rPr>
              <w:t>in excess of</w:t>
            </w:r>
          </w:p>
        </w:tc>
        <w:tc>
          <w:tcPr>
            <w:tcW w:w="16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color w:val="auto"/>
                <w:w w:val="92"/>
              </w:rPr>
              <w:t>in excess of</w:t>
            </w:r>
          </w:p>
        </w:tc>
        <w:tc>
          <w:tcPr>
            <w:tcW w:w="16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color w:val="auto"/>
              </w:rPr>
              <w:t>in excess of</w:t>
            </w:r>
          </w:p>
        </w:tc>
      </w:tr>
      <w:tr>
        <w:trPr>
          <w:trHeight w:val="204"/>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833,333</w:t>
            </w:r>
          </w:p>
        </w:tc>
        <w:tc>
          <w:tcPr>
            <w:tcW w:w="20" w:type="dxa"/>
            <w:vAlign w:val="bottom"/>
          </w:tcPr>
          <w:p>
            <w:pPr>
              <w:spacing w:after="0"/>
              <w:rPr>
                <w:sz w:val="17"/>
                <w:szCs w:val="17"/>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Total reinsurance coverage per occurrence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9,200,000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9,200,000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4,000,000</w:t>
            </w: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Losses per occurrence subject to reinsurance coverage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4,500,000</w:t>
            </w:r>
          </w:p>
        </w:tc>
        <w:tc>
          <w:tcPr>
            <w:tcW w:w="20" w:type="dxa"/>
            <w:vAlign w:val="bottom"/>
          </w:tcPr>
          <w:p>
            <w:pPr>
              <w:spacing w:after="0"/>
              <w:rPr>
                <w:sz w:val="17"/>
                <w:szCs w:val="17"/>
                <w:color w:val="auto"/>
              </w:rPr>
            </w:pPr>
          </w:p>
        </w:tc>
      </w:tr>
      <w:tr>
        <w:trPr>
          <w:trHeight w:val="227"/>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Expiration date</w:t>
            </w:r>
          </w:p>
        </w:tc>
        <w:tc>
          <w:tcPr>
            <w:tcW w:w="220" w:type="dxa"/>
            <w:vAlign w:val="bottom"/>
          </w:tcPr>
          <w:p>
            <w:pPr>
              <w:spacing w:after="0"/>
              <w:rPr>
                <w:sz w:val="19"/>
                <w:szCs w:val="19"/>
                <w:color w:val="auto"/>
              </w:rPr>
            </w:pPr>
          </w:p>
        </w:tc>
        <w:tc>
          <w:tcPr>
            <w:tcW w:w="1220" w:type="dxa"/>
            <w:vAlign w:val="bottom"/>
          </w:tcPr>
          <w:p>
            <w:pPr>
              <w:jc w:val="center"/>
              <w:ind w:right="219"/>
              <w:spacing w:after="0"/>
              <w:rPr>
                <w:sz w:val="20"/>
                <w:szCs w:val="20"/>
                <w:color w:val="auto"/>
              </w:rPr>
            </w:pPr>
            <w:r>
              <w:rPr>
                <w:rFonts w:ascii="Arial" w:cs="Arial" w:eastAsia="Arial" w:hAnsi="Arial"/>
                <w:sz w:val="16"/>
                <w:szCs w:val="16"/>
                <w:color w:val="auto"/>
                <w:w w:val="90"/>
              </w:rPr>
              <w:t>June 30, 2019</w:t>
            </w:r>
          </w:p>
        </w:tc>
        <w:tc>
          <w:tcPr>
            <w:tcW w:w="16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90"/>
              </w:rPr>
              <w:t>June 30, 2019</w:t>
            </w:r>
          </w:p>
        </w:tc>
        <w:tc>
          <w:tcPr>
            <w:tcW w:w="16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June 30, 2017</w:t>
            </w:r>
          </w:p>
        </w:tc>
      </w:tr>
      <w:tr>
        <w:trPr>
          <w:trHeight w:val="204"/>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20" w:type="dxa"/>
            <w:vAlign w:val="bottom"/>
            <w:gridSpan w:val="4"/>
          </w:tcPr>
          <w:p>
            <w:pPr>
              <w:ind w:left="40"/>
              <w:spacing w:after="0"/>
              <w:rPr>
                <w:sz w:val="20"/>
                <w:szCs w:val="20"/>
                <w:color w:val="auto"/>
              </w:rPr>
            </w:pPr>
            <w:r>
              <w:rPr>
                <w:rFonts w:ascii="Arial" w:cs="Arial" w:eastAsia="Arial" w:hAnsi="Arial"/>
                <w:sz w:val="16"/>
                <w:szCs w:val="16"/>
                <w:color w:val="auto"/>
              </w:rPr>
              <w:t>Personal Umbrella</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Quota share treaty:</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20" w:type="dxa"/>
            <w:vAlign w:val="bottom"/>
            <w:gridSpan w:val="4"/>
          </w:tcPr>
          <w:p>
            <w:pPr>
              <w:ind w:left="500"/>
              <w:spacing w:after="0"/>
              <w:rPr>
                <w:sz w:val="20"/>
                <w:szCs w:val="20"/>
                <w:color w:val="auto"/>
              </w:rPr>
            </w:pPr>
            <w:r>
              <w:rPr>
                <w:rFonts w:ascii="Arial" w:cs="Arial" w:eastAsia="Arial" w:hAnsi="Arial"/>
                <w:sz w:val="16"/>
                <w:szCs w:val="16"/>
                <w:color w:val="auto"/>
              </w:rPr>
              <w:t>Percent ceded - first $1,000,000 of coverage</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Percent ceded - excess of $1,000,000 dollars of coverage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03"/>
        </w:trPr>
        <w:tc>
          <w:tcPr>
            <w:tcW w:w="7320" w:type="dxa"/>
            <w:vAlign w:val="bottom"/>
            <w:gridSpan w:val="4"/>
          </w:tcPr>
          <w:p>
            <w:pPr>
              <w:ind w:left="500"/>
              <w:spacing w:after="0"/>
              <w:rPr>
                <w:sz w:val="20"/>
                <w:szCs w:val="20"/>
                <w:color w:val="auto"/>
              </w:rPr>
            </w:pPr>
            <w:r>
              <w:rPr>
                <w:rFonts w:ascii="Arial" w:cs="Arial" w:eastAsia="Arial" w:hAnsi="Arial"/>
                <w:sz w:val="16"/>
                <w:szCs w:val="16"/>
                <w:color w:val="auto"/>
              </w:rPr>
              <w:t>Risk retained</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Total reinsurance coverage per occurrence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4,900,000</w:t>
            </w:r>
          </w:p>
        </w:tc>
        <w:tc>
          <w:tcPr>
            <w:tcW w:w="20" w:type="dxa"/>
            <w:vAlign w:val="bottom"/>
          </w:tcPr>
          <w:p>
            <w:pPr>
              <w:spacing w:after="0"/>
              <w:rPr>
                <w:sz w:val="17"/>
                <w:szCs w:val="17"/>
                <w:color w:val="auto"/>
              </w:rPr>
            </w:pPr>
          </w:p>
        </w:tc>
      </w:tr>
      <w:tr>
        <w:trPr>
          <w:trHeight w:val="203"/>
        </w:trPr>
        <w:tc>
          <w:tcPr>
            <w:tcW w:w="7320" w:type="dxa"/>
            <w:vAlign w:val="bottom"/>
            <w:gridSpan w:val="4"/>
          </w:tcPr>
          <w:p>
            <w:pPr>
              <w:ind w:left="50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5,000,000</w:t>
            </w:r>
          </w:p>
        </w:tc>
        <w:tc>
          <w:tcPr>
            <w:tcW w:w="20" w:type="dxa"/>
            <w:vAlign w:val="bottom"/>
          </w:tcPr>
          <w:p>
            <w:pPr>
              <w:spacing w:after="0"/>
              <w:rPr>
                <w:sz w:val="17"/>
                <w:szCs w:val="17"/>
                <w:color w:val="auto"/>
              </w:rPr>
            </w:pPr>
          </w:p>
        </w:tc>
      </w:tr>
      <w:tr>
        <w:trPr>
          <w:trHeight w:val="228"/>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Expiration date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219"/>
              <w:spacing w:after="0"/>
              <w:rPr>
                <w:sz w:val="20"/>
                <w:szCs w:val="20"/>
                <w:color w:val="auto"/>
              </w:rPr>
            </w:pPr>
            <w:r>
              <w:rPr>
                <w:rFonts w:ascii="Arial" w:cs="Arial" w:eastAsia="Arial" w:hAnsi="Arial"/>
                <w:sz w:val="16"/>
                <w:szCs w:val="16"/>
                <w:color w:val="auto"/>
                <w:w w:val="90"/>
              </w:rPr>
              <w:t>June 30, 2019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0"/>
              </w:rPr>
              <w:t>June 30, 2018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0"/>
              </w:rPr>
              <w:t>June 30, 2017</w:t>
            </w:r>
          </w:p>
        </w:tc>
        <w:tc>
          <w:tcPr>
            <w:tcW w:w="20" w:type="dxa"/>
            <w:vAlign w:val="bottom"/>
          </w:tcPr>
          <w:p>
            <w:pPr>
              <w:spacing w:after="0"/>
              <w:rPr>
                <w:sz w:val="19"/>
                <w:szCs w:val="19"/>
                <w:color w:val="auto"/>
              </w:rPr>
            </w:pP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5"/>
        </w:trPr>
        <w:tc>
          <w:tcPr>
            <w:tcW w:w="7320" w:type="dxa"/>
            <w:vAlign w:val="bottom"/>
            <w:gridSpan w:val="4"/>
            <w:shd w:val="clear" w:color="auto" w:fill="CCEEFF"/>
          </w:tcPr>
          <w:p>
            <w:pPr>
              <w:spacing w:after="0" w:line="165" w:lineRule="exact"/>
              <w:rPr>
                <w:sz w:val="20"/>
                <w:szCs w:val="20"/>
                <w:color w:val="auto"/>
              </w:rPr>
            </w:pPr>
            <w:r>
              <w:rPr>
                <w:rFonts w:ascii="Arial" w:cs="Arial" w:eastAsia="Arial" w:hAnsi="Arial"/>
                <w:sz w:val="16"/>
                <w:szCs w:val="16"/>
                <w:color w:val="auto"/>
              </w:rPr>
              <w:t>Commercial Lines: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38"/>
        </w:trPr>
        <w:tc>
          <w:tcPr>
            <w:tcW w:w="102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203"/>
        </w:trPr>
        <w:tc>
          <w:tcPr>
            <w:tcW w:w="7320" w:type="dxa"/>
            <w:vAlign w:val="bottom"/>
            <w:gridSpan w:val="4"/>
          </w:tcPr>
          <w:p>
            <w:pPr>
              <w:ind w:left="40"/>
              <w:spacing w:after="0"/>
              <w:rPr>
                <w:sz w:val="20"/>
                <w:szCs w:val="20"/>
                <w:color w:val="auto"/>
              </w:rPr>
            </w:pPr>
            <w:r>
              <w:rPr>
                <w:rFonts w:ascii="Arial" w:cs="Arial" w:eastAsia="Arial" w:hAnsi="Arial"/>
                <w:sz w:val="16"/>
                <w:szCs w:val="16"/>
                <w:color w:val="auto"/>
              </w:rPr>
              <w:t>General liability commercial policies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Quota share treaty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219"/>
              <w:spacing w:after="0"/>
              <w:rPr>
                <w:sz w:val="20"/>
                <w:szCs w:val="20"/>
                <w:color w:val="auto"/>
              </w:rPr>
            </w:pPr>
            <w:r>
              <w:rPr>
                <w:rFonts w:ascii="Arial" w:cs="Arial" w:eastAsia="Arial" w:hAnsi="Arial"/>
                <w:sz w:val="16"/>
                <w:szCs w:val="16"/>
                <w:color w:val="auto"/>
                <w:w w:val="94"/>
              </w:rPr>
              <w:t>None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4"/>
              </w:rPr>
              <w:t>None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4"/>
              </w:rPr>
              <w:t>None</w:t>
            </w:r>
          </w:p>
        </w:tc>
        <w:tc>
          <w:tcPr>
            <w:tcW w:w="20" w:type="dxa"/>
            <w:vAlign w:val="bottom"/>
          </w:tcPr>
          <w:p>
            <w:pPr>
              <w:spacing w:after="0"/>
              <w:rPr>
                <w:sz w:val="19"/>
                <w:szCs w:val="19"/>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Risk retained</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750,000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750,000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500,000</w:t>
            </w: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Excess of loss coverage above risk retained</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3,750,000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3,750,000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4,000,000</w:t>
            </w:r>
          </w:p>
        </w:tc>
        <w:tc>
          <w:tcPr>
            <w:tcW w:w="20" w:type="dxa"/>
            <w:vAlign w:val="bottom"/>
          </w:tcPr>
          <w:p>
            <w:pPr>
              <w:spacing w:after="0"/>
              <w:rPr>
                <w:sz w:val="17"/>
                <w:szCs w:val="17"/>
                <w:color w:val="auto"/>
              </w:rPr>
            </w:pPr>
          </w:p>
        </w:tc>
      </w:tr>
      <w:tr>
        <w:trPr>
          <w:trHeight w:val="227"/>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color w:val="auto"/>
              </w:rPr>
              <w:t>in excess of</w:t>
            </w:r>
          </w:p>
        </w:tc>
        <w:tc>
          <w:tcPr>
            <w:tcW w:w="16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color w:val="auto"/>
                <w:w w:val="92"/>
              </w:rPr>
              <w:t>in excess of</w:t>
            </w:r>
          </w:p>
        </w:tc>
        <w:tc>
          <w:tcPr>
            <w:tcW w:w="16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color w:val="auto"/>
              </w:rPr>
              <w:t>in excess of</w:t>
            </w:r>
          </w:p>
        </w:tc>
      </w:tr>
      <w:tr>
        <w:trPr>
          <w:trHeight w:val="204"/>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500,000</w:t>
            </w:r>
          </w:p>
        </w:tc>
        <w:tc>
          <w:tcPr>
            <w:tcW w:w="20" w:type="dxa"/>
            <w:vAlign w:val="bottom"/>
          </w:tcPr>
          <w:p>
            <w:pPr>
              <w:spacing w:after="0"/>
              <w:rPr>
                <w:sz w:val="17"/>
                <w:szCs w:val="17"/>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Total reinsurance coverage per occurrence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3,750,000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3,750,000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4,000,000</w:t>
            </w: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Losses per occurrence subject to reinsurance coverage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4,500,000</w:t>
            </w:r>
          </w:p>
        </w:tc>
        <w:tc>
          <w:tcPr>
            <w:tcW w:w="20" w:type="dxa"/>
            <w:vAlign w:val="bottom"/>
          </w:tcPr>
          <w:p>
            <w:pPr>
              <w:spacing w:after="0"/>
              <w:rPr>
                <w:sz w:val="17"/>
                <w:szCs w:val="17"/>
                <w:color w:val="auto"/>
              </w:rPr>
            </w:pP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Commercial Umbrella</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Quota share treaty:</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Percent ceded - first $1,000,000 of coverage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7"/>
                <w:szCs w:val="17"/>
                <w:color w:val="auto"/>
              </w:rPr>
            </w:pPr>
          </w:p>
        </w:tc>
      </w:tr>
      <w:tr>
        <w:trPr>
          <w:trHeight w:val="203"/>
        </w:trPr>
        <w:tc>
          <w:tcPr>
            <w:tcW w:w="7320" w:type="dxa"/>
            <w:vAlign w:val="bottom"/>
            <w:gridSpan w:val="4"/>
          </w:tcPr>
          <w:p>
            <w:pPr>
              <w:ind w:left="500"/>
              <w:spacing w:after="0"/>
              <w:rPr>
                <w:sz w:val="20"/>
                <w:szCs w:val="20"/>
                <w:color w:val="auto"/>
              </w:rPr>
            </w:pPr>
            <w:r>
              <w:rPr>
                <w:rFonts w:ascii="Arial" w:cs="Arial" w:eastAsia="Arial" w:hAnsi="Arial"/>
                <w:sz w:val="16"/>
                <w:szCs w:val="16"/>
                <w:color w:val="auto"/>
              </w:rPr>
              <w:t>Percent ceded - excess of $1,000,000 of coverage</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Risk retained</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100,000</w:t>
            </w:r>
          </w:p>
        </w:tc>
        <w:tc>
          <w:tcPr>
            <w:tcW w:w="20" w:type="dxa"/>
            <w:vAlign w:val="bottom"/>
          </w:tcPr>
          <w:p>
            <w:pPr>
              <w:spacing w:after="0"/>
              <w:rPr>
                <w:sz w:val="17"/>
                <w:szCs w:val="17"/>
                <w:color w:val="auto"/>
              </w:rPr>
            </w:pPr>
          </w:p>
        </w:tc>
      </w:tr>
      <w:tr>
        <w:trPr>
          <w:trHeight w:val="203"/>
        </w:trPr>
        <w:tc>
          <w:tcPr>
            <w:tcW w:w="7320" w:type="dxa"/>
            <w:vAlign w:val="bottom"/>
            <w:gridSpan w:val="4"/>
          </w:tcPr>
          <w:p>
            <w:pPr>
              <w:ind w:left="500"/>
              <w:spacing w:after="0"/>
              <w:rPr>
                <w:sz w:val="20"/>
                <w:szCs w:val="20"/>
                <w:color w:val="auto"/>
              </w:rPr>
            </w:pPr>
            <w:r>
              <w:rPr>
                <w:rFonts w:ascii="Arial" w:cs="Arial" w:eastAsia="Arial" w:hAnsi="Arial"/>
                <w:sz w:val="16"/>
                <w:szCs w:val="16"/>
                <w:color w:val="auto"/>
              </w:rPr>
              <w:t>Total reinsurance coverage per occurrence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4,900,000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4,900,000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4,900,000</w:t>
            </w: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50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5,000,000</w:t>
            </w:r>
          </w:p>
        </w:tc>
        <w:tc>
          <w:tcPr>
            <w:tcW w:w="20" w:type="dxa"/>
            <w:vAlign w:val="bottom"/>
          </w:tcPr>
          <w:p>
            <w:pPr>
              <w:spacing w:after="0"/>
              <w:rPr>
                <w:sz w:val="17"/>
                <w:szCs w:val="17"/>
                <w:color w:val="auto"/>
              </w:rPr>
            </w:pPr>
          </w:p>
        </w:tc>
      </w:tr>
      <w:tr>
        <w:trPr>
          <w:trHeight w:val="227"/>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Expiration date</w:t>
            </w:r>
          </w:p>
        </w:tc>
        <w:tc>
          <w:tcPr>
            <w:tcW w:w="220" w:type="dxa"/>
            <w:vAlign w:val="bottom"/>
          </w:tcPr>
          <w:p>
            <w:pPr>
              <w:spacing w:after="0"/>
              <w:rPr>
                <w:sz w:val="19"/>
                <w:szCs w:val="19"/>
                <w:color w:val="auto"/>
              </w:rPr>
            </w:pPr>
          </w:p>
        </w:tc>
        <w:tc>
          <w:tcPr>
            <w:tcW w:w="1220" w:type="dxa"/>
            <w:vAlign w:val="bottom"/>
          </w:tcPr>
          <w:p>
            <w:pPr>
              <w:jc w:val="center"/>
              <w:ind w:right="219"/>
              <w:spacing w:after="0"/>
              <w:rPr>
                <w:sz w:val="20"/>
                <w:szCs w:val="20"/>
                <w:color w:val="auto"/>
              </w:rPr>
            </w:pPr>
            <w:r>
              <w:rPr>
                <w:rFonts w:ascii="Arial" w:cs="Arial" w:eastAsia="Arial" w:hAnsi="Arial"/>
                <w:sz w:val="16"/>
                <w:szCs w:val="16"/>
                <w:color w:val="auto"/>
                <w:w w:val="90"/>
              </w:rPr>
              <w:t>June 30, 2019</w:t>
            </w:r>
          </w:p>
        </w:tc>
        <w:tc>
          <w:tcPr>
            <w:tcW w:w="16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90"/>
              </w:rPr>
              <w:t>June 30, 2018</w:t>
            </w:r>
          </w:p>
        </w:tc>
        <w:tc>
          <w:tcPr>
            <w:tcW w:w="16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June 30, 2017</w:t>
            </w:r>
          </w:p>
        </w:tc>
      </w:tr>
      <w:tr>
        <w:trPr>
          <w:trHeight w:val="204"/>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65"/>
        </w:trPr>
        <w:tc>
          <w:tcPr>
            <w:tcW w:w="7320" w:type="dxa"/>
            <w:vAlign w:val="bottom"/>
            <w:gridSpan w:val="4"/>
          </w:tcPr>
          <w:p>
            <w:pPr>
              <w:spacing w:after="0" w:line="165" w:lineRule="exact"/>
              <w:rPr>
                <w:sz w:val="20"/>
                <w:szCs w:val="20"/>
                <w:color w:val="auto"/>
              </w:rPr>
            </w:pPr>
            <w:r>
              <w:rPr>
                <w:rFonts w:ascii="Arial" w:cs="Arial" w:eastAsia="Arial" w:hAnsi="Arial"/>
                <w:sz w:val="16"/>
                <w:szCs w:val="16"/>
                <w:color w:val="auto"/>
              </w:rPr>
              <w:t>Catastrophe Reinsurance:</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
        </w:trPr>
        <w:tc>
          <w:tcPr>
            <w:tcW w:w="10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73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Initial loss subject to personal lines quota share treaty</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5,000,000</w:t>
            </w:r>
          </w:p>
        </w:tc>
        <w:tc>
          <w:tcPr>
            <w:tcW w:w="20" w:type="dxa"/>
            <w:vAlign w:val="bottom"/>
          </w:tcPr>
          <w:p>
            <w:pPr>
              <w:spacing w:after="0"/>
              <w:rPr>
                <w:sz w:val="18"/>
                <w:szCs w:val="18"/>
                <w:color w:val="auto"/>
              </w:rPr>
            </w:pPr>
          </w:p>
        </w:tc>
      </w:tr>
      <w:tr>
        <w:trPr>
          <w:trHeight w:val="203"/>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Risk retained per catastrophe occurrence (2)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3,000,000</w:t>
            </w:r>
          </w:p>
        </w:tc>
        <w:tc>
          <w:tcPr>
            <w:tcW w:w="2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Catastrophe loss coverage in excess of quota share coverage (3) (4)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247,000,000</w:t>
            </w:r>
          </w:p>
        </w:tc>
        <w:tc>
          <w:tcPr>
            <w:tcW w:w="20" w:type="dxa"/>
            <w:vAlign w:val="bottom"/>
          </w:tcPr>
          <w:p>
            <w:pPr>
              <w:spacing w:after="0"/>
              <w:rPr>
                <w:sz w:val="17"/>
                <w:szCs w:val="17"/>
                <w:color w:val="auto"/>
              </w:rPr>
            </w:pPr>
          </w:p>
        </w:tc>
      </w:tr>
      <w:tr>
        <w:trPr>
          <w:trHeight w:val="225"/>
        </w:trPr>
        <w:tc>
          <w:tcPr>
            <w:tcW w:w="7320" w:type="dxa"/>
            <w:vAlign w:val="bottom"/>
            <w:gridSpan w:val="4"/>
          </w:tcPr>
          <w:p>
            <w:pPr>
              <w:ind w:left="200"/>
              <w:spacing w:after="0"/>
              <w:rPr>
                <w:sz w:val="20"/>
                <w:szCs w:val="20"/>
                <w:color w:val="auto"/>
              </w:rPr>
            </w:pPr>
            <w:r>
              <w:rPr>
                <w:rFonts w:ascii="Arial" w:cs="Arial" w:eastAsia="Arial" w:hAnsi="Arial"/>
                <w:sz w:val="16"/>
                <w:szCs w:val="16"/>
                <w:color w:val="auto"/>
              </w:rPr>
              <w:t>Reinstatement premium protection (5)</w:t>
            </w:r>
          </w:p>
        </w:tc>
        <w:tc>
          <w:tcPr>
            <w:tcW w:w="220" w:type="dxa"/>
            <w:vAlign w:val="bottom"/>
          </w:tcPr>
          <w:p>
            <w:pPr>
              <w:spacing w:after="0"/>
              <w:rPr>
                <w:sz w:val="19"/>
                <w:szCs w:val="19"/>
                <w:color w:val="auto"/>
              </w:rPr>
            </w:pPr>
          </w:p>
        </w:tc>
        <w:tc>
          <w:tcPr>
            <w:tcW w:w="1220" w:type="dxa"/>
            <w:vAlign w:val="bottom"/>
          </w:tcPr>
          <w:p>
            <w:pPr>
              <w:jc w:val="center"/>
              <w:ind w:right="179"/>
              <w:spacing w:after="0"/>
              <w:rPr>
                <w:sz w:val="20"/>
                <w:szCs w:val="20"/>
                <w:color w:val="auto"/>
              </w:rPr>
            </w:pPr>
            <w:r>
              <w:rPr>
                <w:rFonts w:ascii="Arial" w:cs="Arial" w:eastAsia="Arial" w:hAnsi="Arial"/>
                <w:sz w:val="16"/>
                <w:szCs w:val="16"/>
                <w:color w:val="auto"/>
                <w:w w:val="86"/>
              </w:rPr>
              <w:t>Yes</w:t>
            </w:r>
          </w:p>
        </w:tc>
        <w:tc>
          <w:tcPr>
            <w:tcW w:w="160" w:type="dxa"/>
            <w:vAlign w:val="bottom"/>
          </w:tcPr>
          <w:p>
            <w:pPr>
              <w:spacing w:after="0"/>
              <w:rPr>
                <w:sz w:val="19"/>
                <w:szCs w:val="19"/>
                <w:color w:val="auto"/>
              </w:rPr>
            </w:pP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6"/>
              </w:rPr>
              <w:t>Yes</w:t>
            </w:r>
          </w:p>
        </w:tc>
        <w:tc>
          <w:tcPr>
            <w:tcW w:w="16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color w:val="auto"/>
                <w:w w:val="86"/>
              </w:rPr>
              <w:t>Yes</w:t>
            </w:r>
          </w:p>
        </w:tc>
      </w:tr>
    </w:tbl>
    <w:p>
      <w:pPr>
        <w:spacing w:after="0" w:line="197" w:lineRule="exact"/>
        <w:rPr>
          <w:sz w:val="20"/>
          <w:szCs w:val="20"/>
          <w:color w:val="auto"/>
        </w:rPr>
      </w:pPr>
    </w:p>
    <w:p>
      <w:pPr>
        <w:ind w:left="300" w:hanging="299"/>
        <w:spacing w:after="0" w:line="268"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ind w:left="300" w:hanging="299"/>
        <w:spacing w:after="0"/>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Plus losses in excess of catastrophe coverage.</w:t>
      </w:r>
    </w:p>
    <w:p>
      <w:pPr>
        <w:spacing w:after="0" w:line="18" w:lineRule="exact"/>
        <w:rPr>
          <w:rFonts w:ascii="Arial" w:cs="Arial" w:eastAsia="Arial" w:hAnsi="Arial"/>
          <w:sz w:val="16"/>
          <w:szCs w:val="16"/>
          <w:color w:val="auto"/>
        </w:rPr>
      </w:pPr>
    </w:p>
    <w:p>
      <w:pPr>
        <w:ind w:left="300" w:hanging="299"/>
        <w:spacing w:after="0" w:line="264"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ind w:left="300" w:hanging="299"/>
        <w:spacing w:after="0"/>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Effective July 1, 2018, the top $50,000,000 layer of catastrophe reinsurance coverage has a two year term expiring on June 30, 2020.</w:t>
      </w:r>
    </w:p>
    <w:p>
      <w:pPr>
        <w:spacing w:after="0" w:line="18" w:lineRule="exact"/>
        <w:rPr>
          <w:rFonts w:ascii="Arial" w:cs="Arial" w:eastAsia="Arial" w:hAnsi="Arial"/>
          <w:sz w:val="16"/>
          <w:szCs w:val="16"/>
          <w:color w:val="auto"/>
        </w:rPr>
      </w:pPr>
    </w:p>
    <w:p>
      <w:pPr>
        <w:ind w:left="300" w:right="2920" w:hanging="299"/>
        <w:spacing w:after="0" w:line="333" w:lineRule="auto"/>
        <w:tabs>
          <w:tab w:leader="none" w:pos="3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Effective July 1, 2016, reinstatement premium protection for $20,000,000 of catastrophe coverage in excess of $5,000,000. Effective July 1, 2017, reinstatement premium protection for $145,000,000 of catastrophe coverage in excess of $5,000,000. Effective July 1, 2018, reinstatement premium protection for $210,000,000 of catastrophe coverage in excess of $5,000,000.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The single maximum risks per occurrence to which the Company is subject under the treaty years shown below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Treaty</w:t>
            </w:r>
          </w:p>
        </w:tc>
        <w:tc>
          <w:tcPr>
            <w:tcW w:w="120" w:type="dxa"/>
            <w:vAlign w:val="bottom"/>
            <w:vMerge w:val="restart"/>
          </w:tcPr>
          <w:p>
            <w:pPr>
              <w:spacing w:after="0"/>
              <w:rPr>
                <w:sz w:val="14"/>
                <w:szCs w:val="14"/>
                <w:color w:val="auto"/>
              </w:rPr>
            </w:pPr>
          </w:p>
        </w:tc>
        <w:tc>
          <w:tcPr>
            <w:tcW w:w="3300" w:type="dxa"/>
            <w:vAlign w:val="bottom"/>
            <w:tcBorders>
              <w:bottom w:val="single" w:sz="8" w:color="auto"/>
            </w:tcBorders>
            <w:gridSpan w:val="3"/>
          </w:tcPr>
          <w:p>
            <w:pPr>
              <w:ind w:left="1520"/>
              <w:spacing w:after="0"/>
              <w:rPr>
                <w:sz w:val="20"/>
                <w:szCs w:val="20"/>
                <w:color w:val="auto"/>
              </w:rPr>
            </w:pPr>
            <w:r>
              <w:rPr>
                <w:rFonts w:ascii="Arial" w:cs="Arial" w:eastAsia="Arial" w:hAnsi="Arial"/>
                <w:sz w:val="14"/>
                <w:szCs w:val="14"/>
                <w:b w:val="1"/>
                <w:bCs w:val="1"/>
                <w:color w:val="auto"/>
                <w:w w:val="96"/>
              </w:rPr>
              <w:t>July 1, 2017 - June 30, 2018</w:t>
            </w: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95"/>
              </w:rPr>
              <w:t>July 1, 2016 - June 30, 2017</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1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8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84"/>
              </w:rPr>
              <w:t>Range of Loss</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218"/>
              <w:spacing w:after="0" w:line="152" w:lineRule="exact"/>
              <w:rPr>
                <w:sz w:val="20"/>
                <w:szCs w:val="20"/>
                <w:color w:val="auto"/>
              </w:rPr>
            </w:pPr>
            <w:r>
              <w:rPr>
                <w:rFonts w:ascii="Arial" w:cs="Arial" w:eastAsia="Arial" w:hAnsi="Arial"/>
                <w:sz w:val="14"/>
                <w:szCs w:val="14"/>
                <w:b w:val="1"/>
                <w:bCs w:val="1"/>
                <w:color w:val="auto"/>
                <w:w w:val="90"/>
              </w:rPr>
              <w:t>Risk Retained</w:t>
            </w:r>
          </w:p>
        </w:tc>
        <w:tc>
          <w:tcPr>
            <w:tcW w:w="120" w:type="dxa"/>
            <w:vAlign w:val="bottom"/>
          </w:tcPr>
          <w:p>
            <w:pPr>
              <w:spacing w:after="0"/>
              <w:rPr>
                <w:sz w:val="13"/>
                <w:szCs w:val="13"/>
                <w:color w:val="auto"/>
              </w:rPr>
            </w:pPr>
          </w:p>
        </w:tc>
        <w:tc>
          <w:tcPr>
            <w:tcW w:w="284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87"/>
              </w:rPr>
              <w:t>Range of Loss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8"/>
              <w:spacing w:after="0" w:line="152" w:lineRule="exact"/>
              <w:rPr>
                <w:sz w:val="20"/>
                <w:szCs w:val="20"/>
                <w:color w:val="auto"/>
              </w:rPr>
            </w:pPr>
            <w:r>
              <w:rPr>
                <w:rFonts w:ascii="Arial" w:cs="Arial" w:eastAsia="Arial" w:hAnsi="Arial"/>
                <w:sz w:val="14"/>
                <w:szCs w:val="14"/>
                <w:b w:val="1"/>
                <w:bCs w:val="1"/>
                <w:color w:val="auto"/>
                <w:w w:val="90"/>
              </w:rPr>
              <w:t>Risk Retained</w:t>
            </w: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Personal Lines (1)</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6"/>
              </w:rPr>
              <w:t>Initial $1,000,000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$800,000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5"/>
              </w:rPr>
              <w:t>Initial $833,333</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$500,000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2"/>
              </w:rPr>
              <w:t>$1,000,000 - $10,000,000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198"/>
              <w:spacing w:after="0"/>
              <w:rPr>
                <w:sz w:val="20"/>
                <w:szCs w:val="20"/>
                <w:color w:val="auto"/>
              </w:rPr>
            </w:pPr>
            <w:r>
              <w:rPr>
                <w:rFonts w:ascii="Arial" w:cs="Arial" w:eastAsia="Arial" w:hAnsi="Arial"/>
                <w:sz w:val="16"/>
                <w:szCs w:val="16"/>
                <w:color w:val="auto"/>
                <w:w w:val="93"/>
              </w:rPr>
              <w:t>None(2)</w:t>
            </w:r>
          </w:p>
        </w:tc>
        <w:tc>
          <w:tcPr>
            <w:tcW w:w="2960" w:type="dxa"/>
            <w:vAlign w:val="bottom"/>
            <w:gridSpan w:val="2"/>
          </w:tcPr>
          <w:p>
            <w:pPr>
              <w:jc w:val="center"/>
              <w:ind w:left="78"/>
              <w:spacing w:after="0"/>
              <w:rPr>
                <w:sz w:val="20"/>
                <w:szCs w:val="20"/>
                <w:color w:val="auto"/>
              </w:rPr>
            </w:pPr>
            <w:r>
              <w:rPr>
                <w:rFonts w:ascii="Arial" w:cs="Arial" w:eastAsia="Arial" w:hAnsi="Arial"/>
                <w:sz w:val="16"/>
                <w:szCs w:val="16"/>
                <w:color w:val="auto"/>
                <w:w w:val="91"/>
              </w:rPr>
              <w:t>$833,333 - $4,500,000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18"/>
              <w:spacing w:after="0"/>
              <w:rPr>
                <w:sz w:val="20"/>
                <w:szCs w:val="20"/>
                <w:color w:val="auto"/>
              </w:rPr>
            </w:pPr>
            <w:r>
              <w:rPr>
                <w:rFonts w:ascii="Arial" w:cs="Arial" w:eastAsia="Arial" w:hAnsi="Arial"/>
                <w:sz w:val="16"/>
                <w:szCs w:val="16"/>
                <w:color w:val="auto"/>
                <w:w w:val="96"/>
              </w:rPr>
              <w:t>None(3)</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2"/>
              </w:rPr>
              <w:t>Over $10,000,000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3"/>
              </w:rPr>
              <w:t>Over $4,500,000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Personal Umbrella</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6"/>
              </w:rPr>
              <w:t>Initial $1,000,000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$100,000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5"/>
              </w:rPr>
              <w:t>Initial $1,000,000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$100,000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2"/>
              </w:rPr>
              <w:t>$1,000,000 - $5,000,000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218"/>
              <w:spacing w:after="0"/>
              <w:rPr>
                <w:sz w:val="20"/>
                <w:szCs w:val="20"/>
                <w:color w:val="auto"/>
              </w:rPr>
            </w:pPr>
            <w:r>
              <w:rPr>
                <w:rFonts w:ascii="Arial" w:cs="Arial" w:eastAsia="Arial" w:hAnsi="Arial"/>
                <w:sz w:val="16"/>
                <w:szCs w:val="16"/>
                <w:color w:val="auto"/>
                <w:w w:val="94"/>
              </w:rPr>
              <w:t>None</w:t>
            </w:r>
          </w:p>
        </w:tc>
        <w:tc>
          <w:tcPr>
            <w:tcW w:w="2960" w:type="dxa"/>
            <w:vAlign w:val="bottom"/>
            <w:gridSpan w:val="2"/>
          </w:tcPr>
          <w:p>
            <w:pPr>
              <w:jc w:val="center"/>
              <w:ind w:left="78"/>
              <w:spacing w:after="0"/>
              <w:rPr>
                <w:sz w:val="20"/>
                <w:szCs w:val="20"/>
                <w:color w:val="auto"/>
              </w:rPr>
            </w:pPr>
            <w:r>
              <w:rPr>
                <w:rFonts w:ascii="Arial" w:cs="Arial" w:eastAsia="Arial" w:hAnsi="Arial"/>
                <w:sz w:val="16"/>
                <w:szCs w:val="16"/>
                <w:color w:val="auto"/>
                <w:w w:val="91"/>
              </w:rPr>
              <w:t>$1,000,000 - $5,000,000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18"/>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2"/>
              </w:rPr>
              <w:t>Over $5,000,000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3"/>
              </w:rPr>
              <w:t>Over $5,000,000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Commercial Lines</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7"/>
              </w:rPr>
              <w:t>Initial $750,000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$750,000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5"/>
              </w:rPr>
              <w:t>Initial $500,000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$500,000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3"/>
              </w:rPr>
              <w:t>$750,000 - $4,500,000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198"/>
              <w:spacing w:after="0"/>
              <w:rPr>
                <w:sz w:val="20"/>
                <w:szCs w:val="20"/>
                <w:color w:val="auto"/>
              </w:rPr>
            </w:pPr>
            <w:r>
              <w:rPr>
                <w:rFonts w:ascii="Arial" w:cs="Arial" w:eastAsia="Arial" w:hAnsi="Arial"/>
                <w:sz w:val="16"/>
                <w:szCs w:val="16"/>
                <w:color w:val="auto"/>
                <w:w w:val="93"/>
              </w:rPr>
              <w:t>None(3)</w:t>
            </w:r>
          </w:p>
        </w:tc>
        <w:tc>
          <w:tcPr>
            <w:tcW w:w="2960" w:type="dxa"/>
            <w:vAlign w:val="bottom"/>
            <w:gridSpan w:val="2"/>
          </w:tcPr>
          <w:p>
            <w:pPr>
              <w:jc w:val="center"/>
              <w:ind w:left="78"/>
              <w:spacing w:after="0"/>
              <w:rPr>
                <w:sz w:val="20"/>
                <w:szCs w:val="20"/>
                <w:color w:val="auto"/>
              </w:rPr>
            </w:pPr>
            <w:r>
              <w:rPr>
                <w:rFonts w:ascii="Arial" w:cs="Arial" w:eastAsia="Arial" w:hAnsi="Arial"/>
                <w:sz w:val="16"/>
                <w:szCs w:val="16"/>
                <w:color w:val="auto"/>
                <w:w w:val="91"/>
              </w:rPr>
              <w:t>$500,000 - $4,500,000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8"/>
              <w:spacing w:after="0"/>
              <w:rPr>
                <w:sz w:val="20"/>
                <w:szCs w:val="20"/>
                <w:color w:val="auto"/>
              </w:rPr>
            </w:pPr>
            <w:r>
              <w:rPr>
                <w:rFonts w:ascii="Arial" w:cs="Arial" w:eastAsia="Arial" w:hAnsi="Arial"/>
                <w:sz w:val="16"/>
                <w:szCs w:val="16"/>
                <w:color w:val="auto"/>
                <w:w w:val="96"/>
              </w:rPr>
              <w:t>None(3)</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2"/>
              </w:rPr>
              <w:t>Over $4,500,000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3"/>
              </w:rPr>
              <w:t>Over $4,500,000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Commercial Umbrella</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6"/>
              </w:rPr>
              <w:t>Initial $1,000,000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$100,000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5"/>
              </w:rPr>
              <w:t>Initial $1,000,000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$100,000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2"/>
              </w:rPr>
              <w:t>$1,000,000 - $5,000,000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218"/>
              <w:spacing w:after="0"/>
              <w:rPr>
                <w:sz w:val="20"/>
                <w:szCs w:val="20"/>
                <w:color w:val="auto"/>
              </w:rPr>
            </w:pPr>
            <w:r>
              <w:rPr>
                <w:rFonts w:ascii="Arial" w:cs="Arial" w:eastAsia="Arial" w:hAnsi="Arial"/>
                <w:sz w:val="16"/>
                <w:szCs w:val="16"/>
                <w:color w:val="auto"/>
                <w:w w:val="94"/>
              </w:rPr>
              <w:t>None</w:t>
            </w:r>
          </w:p>
        </w:tc>
        <w:tc>
          <w:tcPr>
            <w:tcW w:w="2960" w:type="dxa"/>
            <w:vAlign w:val="bottom"/>
            <w:gridSpan w:val="2"/>
          </w:tcPr>
          <w:p>
            <w:pPr>
              <w:jc w:val="center"/>
              <w:ind w:left="78"/>
              <w:spacing w:after="0"/>
              <w:rPr>
                <w:sz w:val="20"/>
                <w:szCs w:val="20"/>
                <w:color w:val="auto"/>
              </w:rPr>
            </w:pPr>
            <w:r>
              <w:rPr>
                <w:rFonts w:ascii="Arial" w:cs="Arial" w:eastAsia="Arial" w:hAnsi="Arial"/>
                <w:sz w:val="16"/>
                <w:szCs w:val="16"/>
                <w:color w:val="auto"/>
                <w:w w:val="91"/>
              </w:rPr>
              <w:t>$1,000,000 - $5,000,000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18"/>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2"/>
              </w:rPr>
              <w:t>Over $5,000,000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3"/>
              </w:rPr>
              <w:t>Over $5,000,000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Catastrophe (4)</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6"/>
              </w:rPr>
              <w:t>Initial $5,000,000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$4,000,000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5"/>
              </w:rPr>
              <w:t>Initial $5,000,000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$3,000,000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2"/>
              </w:rPr>
              <w:t>$5,000,000 - $320,000,000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218"/>
              <w:spacing w:after="0"/>
              <w:rPr>
                <w:sz w:val="20"/>
                <w:szCs w:val="20"/>
                <w:color w:val="auto"/>
              </w:rPr>
            </w:pPr>
            <w:r>
              <w:rPr>
                <w:rFonts w:ascii="Arial" w:cs="Arial" w:eastAsia="Arial" w:hAnsi="Arial"/>
                <w:sz w:val="16"/>
                <w:szCs w:val="16"/>
                <w:color w:val="auto"/>
                <w:w w:val="94"/>
              </w:rPr>
              <w:t>None</w:t>
            </w:r>
          </w:p>
        </w:tc>
        <w:tc>
          <w:tcPr>
            <w:tcW w:w="2960" w:type="dxa"/>
            <w:vAlign w:val="bottom"/>
            <w:gridSpan w:val="2"/>
          </w:tcPr>
          <w:p>
            <w:pPr>
              <w:jc w:val="center"/>
              <w:ind w:left="38"/>
              <w:spacing w:after="0"/>
              <w:rPr>
                <w:sz w:val="20"/>
                <w:szCs w:val="20"/>
                <w:color w:val="auto"/>
              </w:rPr>
            </w:pPr>
            <w:r>
              <w:rPr>
                <w:rFonts w:ascii="Arial" w:cs="Arial" w:eastAsia="Arial" w:hAnsi="Arial"/>
                <w:sz w:val="16"/>
                <w:szCs w:val="16"/>
                <w:color w:val="auto"/>
                <w:w w:val="93"/>
              </w:rPr>
              <w:t>$5,000,000 - $252,000,000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18"/>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center"/>
              <w:ind w:right="380"/>
              <w:spacing w:after="0"/>
              <w:rPr>
                <w:sz w:val="20"/>
                <w:szCs w:val="20"/>
                <w:color w:val="auto"/>
              </w:rPr>
            </w:pPr>
            <w:r>
              <w:rPr>
                <w:rFonts w:ascii="Arial" w:cs="Arial" w:eastAsia="Arial" w:hAnsi="Arial"/>
                <w:sz w:val="16"/>
                <w:szCs w:val="16"/>
                <w:color w:val="auto"/>
                <w:w w:val="93"/>
              </w:rPr>
              <w:t>Over $320,000,000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3"/>
              </w:rPr>
              <w:t>Over $252,000,000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w:t>
      </w:r>
    </w:p>
    <w:p>
      <w:pPr>
        <w:spacing w:after="0" w:line="213" w:lineRule="exact"/>
        <w:rPr>
          <w:sz w:val="20"/>
          <w:szCs w:val="20"/>
          <w:color w:val="auto"/>
        </w:rPr>
      </w:pPr>
    </w:p>
    <w:p>
      <w:pPr>
        <w:ind w:left="300" w:hanging="299"/>
        <w:spacing w:after="0"/>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Treaty for July 1, 2017 – June 30, 2018 is a two year treaty with expiration date of June 30, 2019.</w:t>
      </w:r>
    </w:p>
    <w:p>
      <w:pPr>
        <w:spacing w:after="0" w:line="24" w:lineRule="exact"/>
        <w:rPr>
          <w:rFonts w:ascii="Arial" w:cs="Arial" w:eastAsia="Arial" w:hAnsi="Arial"/>
          <w:sz w:val="16"/>
          <w:szCs w:val="16"/>
          <w:color w:val="auto"/>
        </w:rPr>
      </w:pPr>
    </w:p>
    <w:p>
      <w:pPr>
        <w:ind w:left="300" w:hanging="299"/>
        <w:spacing w:after="0"/>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Covered by excess of loss treaties up to $3,500,000 and by facultative facility from $3,500,000 to $10,000,000.</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Covered by excess of loss treaties.</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The single maximum risks per occurrence to which the Company is subject under the treaties effective July 1, 2018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Treaty</w:t>
            </w:r>
          </w:p>
        </w:tc>
        <w:tc>
          <w:tcPr>
            <w:tcW w:w="120" w:type="dxa"/>
            <w:vAlign w:val="bottom"/>
            <w:vMerge w:val="restart"/>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July 1, 2018 - June 30, 2019</w:t>
            </w:r>
          </w:p>
        </w:tc>
        <w:tc>
          <w:tcPr>
            <w:tcW w:w="0" w:type="dxa"/>
            <w:vAlign w:val="bottom"/>
          </w:tcPr>
          <w:p>
            <w:pPr>
              <w:spacing w:after="0"/>
              <w:rPr>
                <w:sz w:val="1"/>
                <w:szCs w:val="1"/>
                <w:color w:val="auto"/>
              </w:rPr>
            </w:pPr>
          </w:p>
        </w:tc>
      </w:tr>
      <w:tr>
        <w:trPr>
          <w:trHeight w:val="157"/>
        </w:trPr>
        <w:tc>
          <w:tcPr>
            <w:tcW w:w="40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780" w:type="dxa"/>
            <w:vAlign w:val="bottom"/>
            <w:tcBorders>
              <w:bottom w:val="single" w:sz="8" w:color="auto"/>
            </w:tcBorders>
          </w:tcPr>
          <w:p>
            <w:pPr>
              <w:jc w:val="center"/>
              <w:ind w:left="738"/>
              <w:spacing w:after="0" w:line="152" w:lineRule="exact"/>
              <w:rPr>
                <w:sz w:val="20"/>
                <w:szCs w:val="20"/>
                <w:color w:val="auto"/>
              </w:rPr>
            </w:pPr>
            <w:r>
              <w:rPr>
                <w:rFonts w:ascii="Arial" w:cs="Arial" w:eastAsia="Arial" w:hAnsi="Arial"/>
                <w:sz w:val="14"/>
                <w:szCs w:val="14"/>
                <w:b w:val="1"/>
                <w:bCs w:val="1"/>
                <w:color w:val="auto"/>
                <w:w w:val="87"/>
              </w:rPr>
              <w:t>Extent of Loss</w:t>
            </w: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58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0"/>
              </w:rPr>
              <w:t>Risk Retained</w:t>
            </w: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Personal Lines (1)</w:t>
            </w:r>
          </w:p>
        </w:tc>
        <w:tc>
          <w:tcPr>
            <w:tcW w:w="2780" w:type="dxa"/>
            <w:vAlign w:val="bottom"/>
            <w:shd w:val="clear" w:color="auto" w:fill="CCEEFF"/>
          </w:tcPr>
          <w:p>
            <w:pPr>
              <w:jc w:val="center"/>
              <w:ind w:left="758"/>
              <w:spacing w:after="0"/>
              <w:rPr>
                <w:sz w:val="20"/>
                <w:szCs w:val="20"/>
                <w:color w:val="auto"/>
              </w:rPr>
            </w:pPr>
            <w:r>
              <w:rPr>
                <w:rFonts w:ascii="Arial" w:cs="Arial" w:eastAsia="Arial" w:hAnsi="Arial"/>
                <w:sz w:val="16"/>
                <w:szCs w:val="16"/>
                <w:color w:val="auto"/>
                <w:w w:val="96"/>
              </w:rPr>
              <w:t>Initial $1,000,000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$800,000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center"/>
              <w:ind w:left="758"/>
              <w:spacing w:after="0"/>
              <w:rPr>
                <w:sz w:val="20"/>
                <w:szCs w:val="20"/>
                <w:color w:val="auto"/>
              </w:rPr>
            </w:pPr>
            <w:r>
              <w:rPr>
                <w:rFonts w:ascii="Arial" w:cs="Arial" w:eastAsia="Arial" w:hAnsi="Arial"/>
                <w:sz w:val="16"/>
                <w:szCs w:val="16"/>
                <w:color w:val="auto"/>
                <w:w w:val="92"/>
              </w:rPr>
              <w:t>$1,000,000 - $10,000,000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3"/>
              </w:rPr>
              <w:t>None(2)</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3"/>
              </w:rPr>
              <w:t>Over $10,000,000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Personal Umbrella</w:t>
            </w:r>
          </w:p>
        </w:tc>
        <w:tc>
          <w:tcPr>
            <w:tcW w:w="2780" w:type="dxa"/>
            <w:vAlign w:val="bottom"/>
            <w:shd w:val="clear" w:color="auto" w:fill="CCEEFF"/>
          </w:tcPr>
          <w:p>
            <w:pPr>
              <w:jc w:val="center"/>
              <w:ind w:left="758"/>
              <w:spacing w:after="0"/>
              <w:rPr>
                <w:sz w:val="20"/>
                <w:szCs w:val="20"/>
                <w:color w:val="auto"/>
              </w:rPr>
            </w:pPr>
            <w:r>
              <w:rPr>
                <w:rFonts w:ascii="Arial" w:cs="Arial" w:eastAsia="Arial" w:hAnsi="Arial"/>
                <w:sz w:val="16"/>
                <w:szCs w:val="16"/>
                <w:color w:val="auto"/>
                <w:w w:val="96"/>
              </w:rPr>
              <w:t>Initial $1,000,000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$100,000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center"/>
              <w:ind w:left="758"/>
              <w:spacing w:after="0"/>
              <w:rPr>
                <w:sz w:val="20"/>
                <w:szCs w:val="20"/>
                <w:color w:val="auto"/>
              </w:rPr>
            </w:pPr>
            <w:r>
              <w:rPr>
                <w:rFonts w:ascii="Arial" w:cs="Arial" w:eastAsia="Arial" w:hAnsi="Arial"/>
                <w:sz w:val="16"/>
                <w:szCs w:val="16"/>
                <w:color w:val="auto"/>
                <w:w w:val="92"/>
              </w:rPr>
              <w:t>$1,000,000 - $5,000,000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3"/>
              </w:rPr>
              <w:t>Over $5,000,000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Commercial Lines</w:t>
            </w: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5"/>
              </w:rPr>
              <w:t>Initial $750,000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$750,000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center"/>
              <w:ind w:left="758"/>
              <w:spacing w:after="0"/>
              <w:rPr>
                <w:sz w:val="20"/>
                <w:szCs w:val="20"/>
                <w:color w:val="auto"/>
              </w:rPr>
            </w:pPr>
            <w:r>
              <w:rPr>
                <w:rFonts w:ascii="Arial" w:cs="Arial" w:eastAsia="Arial" w:hAnsi="Arial"/>
                <w:sz w:val="16"/>
                <w:szCs w:val="16"/>
                <w:color w:val="auto"/>
                <w:w w:val="93"/>
              </w:rPr>
              <w:t>$750,000 - $4,500,000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3"/>
              </w:rPr>
              <w:t>None(3)</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3"/>
              </w:rPr>
              <w:t>Over $4,500,000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Commercial Umbrella</w:t>
            </w:r>
          </w:p>
        </w:tc>
        <w:tc>
          <w:tcPr>
            <w:tcW w:w="2780" w:type="dxa"/>
            <w:vAlign w:val="bottom"/>
            <w:shd w:val="clear" w:color="auto" w:fill="CCEEFF"/>
          </w:tcPr>
          <w:p>
            <w:pPr>
              <w:jc w:val="center"/>
              <w:ind w:left="758"/>
              <w:spacing w:after="0"/>
              <w:rPr>
                <w:sz w:val="20"/>
                <w:szCs w:val="20"/>
                <w:color w:val="auto"/>
              </w:rPr>
            </w:pPr>
            <w:r>
              <w:rPr>
                <w:rFonts w:ascii="Arial" w:cs="Arial" w:eastAsia="Arial" w:hAnsi="Arial"/>
                <w:sz w:val="16"/>
                <w:szCs w:val="16"/>
                <w:color w:val="auto"/>
                <w:w w:val="96"/>
              </w:rPr>
              <w:t>Initial $1,000,000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$100,000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center"/>
              <w:ind w:left="758"/>
              <w:spacing w:after="0"/>
              <w:rPr>
                <w:sz w:val="20"/>
                <w:szCs w:val="20"/>
                <w:color w:val="auto"/>
              </w:rPr>
            </w:pPr>
            <w:r>
              <w:rPr>
                <w:rFonts w:ascii="Arial" w:cs="Arial" w:eastAsia="Arial" w:hAnsi="Arial"/>
                <w:sz w:val="16"/>
                <w:szCs w:val="16"/>
                <w:color w:val="auto"/>
                <w:w w:val="92"/>
              </w:rPr>
              <w:t>$1,000,000 - $5,000,000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3"/>
              </w:rPr>
              <w:t>Over $5,000,000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Catastrophe (4)</w:t>
            </w:r>
          </w:p>
        </w:tc>
        <w:tc>
          <w:tcPr>
            <w:tcW w:w="2780" w:type="dxa"/>
            <w:vAlign w:val="bottom"/>
            <w:shd w:val="clear" w:color="auto" w:fill="CCEEFF"/>
          </w:tcPr>
          <w:p>
            <w:pPr>
              <w:jc w:val="center"/>
              <w:ind w:left="758"/>
              <w:spacing w:after="0"/>
              <w:rPr>
                <w:sz w:val="20"/>
                <w:szCs w:val="20"/>
                <w:color w:val="auto"/>
              </w:rPr>
            </w:pPr>
            <w:r>
              <w:rPr>
                <w:rFonts w:ascii="Arial" w:cs="Arial" w:eastAsia="Arial" w:hAnsi="Arial"/>
                <w:sz w:val="16"/>
                <w:szCs w:val="16"/>
                <w:color w:val="auto"/>
                <w:w w:val="96"/>
              </w:rPr>
              <w:t>Initial $5,000,000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$4,000,000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Arial" w:cs="Arial" w:eastAsia="Arial" w:hAnsi="Arial"/>
                <w:sz w:val="16"/>
                <w:szCs w:val="16"/>
                <w:color w:val="auto"/>
              </w:rPr>
              <w:t>$5,000,000 - $450,000,000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3"/>
              </w:rPr>
              <w:t>Over $450,000,000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hanging="299"/>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Treaty for July 1, 2018 – June 30, 2019 is a two year treaty with expiration date of June 30, 2019.</w:t>
      </w:r>
    </w:p>
    <w:p>
      <w:pPr>
        <w:spacing w:after="0" w:line="24" w:lineRule="exact"/>
        <w:rPr>
          <w:rFonts w:ascii="Arial" w:cs="Arial" w:eastAsia="Arial" w:hAnsi="Arial"/>
          <w:sz w:val="16"/>
          <w:szCs w:val="16"/>
          <w:color w:val="auto"/>
        </w:rPr>
      </w:pPr>
    </w:p>
    <w:p>
      <w:pPr>
        <w:ind w:left="300" w:hanging="299"/>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Covered by excess of loss treaties up to $3,500,000 and by facultative facility from $3,500,000 to $10,000,000.</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Covered by excess of loss treaties.</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w:t>
      </w:r>
    </w:p>
    <w:p>
      <w:pPr>
        <w:spacing w:after="0" w:line="1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reinsurance program is structured to enable the Company to significantly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Ceding Commission Revenue</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Company’s estimated ultimate treaty year loss ratios (“Loss Ratio(s)”) for treaties in effect for the three months and six months ended June 30, 2018 are attributable to contracts for the 2017/2019 Treaty. The Company’s estimated ultimate treaty year Loss Ratios for treaties in effect for the three months and six months ended June 30, 2017 are attributable to contracts for the 2016/2017 Treaty.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0" w:name="page31"/>
    <w:bookmarkEnd w:id="30"/>
    <w:p>
      <w:pPr>
        <w:ind w:left="600"/>
        <w:spacing w:after="0"/>
        <w:rPr>
          <w:sz w:val="20"/>
          <w:szCs w:val="20"/>
          <w:color w:val="auto"/>
        </w:rPr>
      </w:pPr>
      <w:r>
        <w:rPr>
          <w:rFonts w:ascii="Arial" w:cs="Arial" w:eastAsia="Arial" w:hAnsi="Arial"/>
          <w:sz w:val="16"/>
          <w:szCs w:val="16"/>
          <w:i w:val="1"/>
          <w:iCs w:val="1"/>
          <w:color w:val="auto"/>
        </w:rPr>
        <w:t>Treaty in effect for the three months and six months ended June 30, 2018</w:t>
      </w:r>
    </w:p>
    <w:p>
      <w:pPr>
        <w:spacing w:after="0" w:line="221" w:lineRule="exact"/>
        <w:rPr>
          <w:sz w:val="20"/>
          <w:szCs w:val="20"/>
          <w:color w:val="auto"/>
        </w:rPr>
      </w:pPr>
    </w:p>
    <w:p>
      <w:pPr>
        <w:jc w:val="both"/>
        <w:ind w:left="600"/>
        <w:spacing w:after="0" w:line="270" w:lineRule="auto"/>
        <w:rPr>
          <w:sz w:val="20"/>
          <w:szCs w:val="20"/>
          <w:color w:val="auto"/>
        </w:rPr>
      </w:pPr>
      <w:r>
        <w:rPr>
          <w:rFonts w:ascii="Arial" w:cs="Arial" w:eastAsia="Arial" w:hAnsi="Arial"/>
          <w:sz w:val="16"/>
          <w:szCs w:val="16"/>
          <w:color w:val="auto"/>
        </w:rPr>
        <w:t>Under the 2017/2019 Treaty, the Company receives an upfront fixed provisional rate that is subject to a sliding scale contingent adjustment based upon Loss Ratio. Under this arrangement, the Company earns and earned provisional ceding commissions that are subject to later adjustment dependent on changes to the estimated Loss Ratio for the 2017/2019 Treaty. The Company’s Loss Ratios for the period July 1, 2017 through June 30, 2018 attributable to the 2017/2019 Treaty were higher than the contractual Loss Ratio at which provisional ceding commissions were earned. Accordingly, for the three months and six months ended June 30, 2018, the Company incurred negative contingent ceding commissions as a result of the estimated Loss Ratio for the 2017/2019 Treaty, which reduced contingent ceding commissions earned.</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Treaty in effect for the three months and six months ended June 30, 2017</w:t>
      </w:r>
    </w:p>
    <w:p>
      <w:pPr>
        <w:spacing w:after="0" w:line="221" w:lineRule="exact"/>
        <w:rPr>
          <w:sz w:val="20"/>
          <w:szCs w:val="20"/>
          <w:color w:val="auto"/>
        </w:rPr>
      </w:pPr>
    </w:p>
    <w:p>
      <w:pPr>
        <w:jc w:val="both"/>
        <w:ind w:left="600"/>
        <w:spacing w:after="0" w:line="272" w:lineRule="auto"/>
        <w:rPr>
          <w:sz w:val="20"/>
          <w:szCs w:val="20"/>
          <w:color w:val="auto"/>
        </w:rPr>
      </w:pPr>
      <w:r>
        <w:rPr>
          <w:rFonts w:ascii="Arial" w:cs="Arial" w:eastAsia="Arial" w:hAnsi="Arial"/>
          <w:sz w:val="16"/>
          <w:szCs w:val="16"/>
          <w:color w:val="auto"/>
        </w:rPr>
        <w:t>Under the 2016/2017 Treaty, the Company received an upfront fixed provisional rate that was subject to a sliding scale contingent adjustment based upon Loss Ratio. Under this arrangement, the Company earned provisional ceding commissions that were subject to later adjustment dependent on changes to the estimated Loss Ratio for the 2016/2017 Treaty. The Company’s Loss Ratios for the period July 1, 2016 through June 30, 2017 (attributable to the 2016/2017 Treaty) were consistent with the contractual Loss Ratio at which the provisional ceding commissions were earned and therefore no contingent commission adjustment was recorded for the three months and six months ended June 30, 2017.</w:t>
      </w:r>
    </w:p>
    <w:p>
      <w:pPr>
        <w:spacing w:after="0" w:line="173" w:lineRule="exact"/>
        <w:rPr>
          <w:sz w:val="20"/>
          <w:szCs w:val="20"/>
          <w:color w:val="auto"/>
        </w:rPr>
      </w:pPr>
    </w:p>
    <w:p>
      <w:pPr>
        <w:jc w:val="both"/>
        <w:spacing w:after="0" w:line="373" w:lineRule="auto"/>
        <w:rPr>
          <w:sz w:val="20"/>
          <w:szCs w:val="20"/>
          <w:color w:val="auto"/>
        </w:rPr>
      </w:pPr>
      <w:r>
        <w:rPr>
          <w:rFonts w:ascii="Arial" w:cs="Arial" w:eastAsia="Arial" w:hAnsi="Arial"/>
          <w:sz w:val="14"/>
          <w:szCs w:val="14"/>
          <w:color w:val="auto"/>
        </w:rPr>
        <w:t>In addition to the treaties that were in effect for the three months and six months ended June 30, 2018 and 2017, the Loss Ratios from prior years’ treaties are subject to change as incurred losses from those periods increase or decrease, resulting in an increase or decrease in the commission rate and contingent ceding commissions earned.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Ceding commission revenue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29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r>
      <w:tr>
        <w:trPr>
          <w:trHeight w:val="157"/>
        </w:trPr>
        <w:tc>
          <w:tcPr>
            <w:tcW w:w="59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4"/>
              <w:spacing w:after="0" w:line="15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1"/>
              <w:spacing w:after="0" w:line="15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4"/>
              <w:spacing w:after="0" w:line="15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41"/>
              <w:spacing w:after="0" w:line="152" w:lineRule="exact"/>
              <w:rPr>
                <w:sz w:val="20"/>
                <w:szCs w:val="20"/>
                <w:color w:val="auto"/>
              </w:rPr>
            </w:pPr>
            <w:r>
              <w:rPr>
                <w:rFonts w:ascii="Arial" w:cs="Arial" w:eastAsia="Arial" w:hAnsi="Arial"/>
                <w:sz w:val="14"/>
                <w:szCs w:val="14"/>
                <w:b w:val="1"/>
                <w:bCs w:val="1"/>
                <w:color w:val="auto"/>
                <w:w w:val="83"/>
              </w:rPr>
              <w:t>2017</w:t>
            </w:r>
          </w:p>
        </w:tc>
      </w:tr>
      <w:tr>
        <w:trPr>
          <w:trHeight w:val="228"/>
        </w:trPr>
        <w:tc>
          <w:tcPr>
            <w:tcW w:w="5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Provisional ceding commissions earned</w:t>
            </w:r>
          </w:p>
        </w:tc>
        <w:tc>
          <w:tcPr>
            <w:tcW w:w="3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2,145,775</w:t>
            </w:r>
          </w:p>
        </w:tc>
        <w:tc>
          <w:tcPr>
            <w:tcW w:w="3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3,424,577</w:t>
            </w:r>
          </w:p>
        </w:tc>
        <w:tc>
          <w:tcPr>
            <w:tcW w:w="3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4,213,280</w:t>
            </w:r>
          </w:p>
        </w:tc>
        <w:tc>
          <w:tcPr>
            <w:tcW w:w="5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6,768,346</w:t>
            </w:r>
          </w:p>
        </w:tc>
      </w:tr>
      <w:tr>
        <w:trPr>
          <w:trHeight w:val="208"/>
        </w:trPr>
        <w:tc>
          <w:tcPr>
            <w:tcW w:w="5960" w:type="dxa"/>
            <w:vAlign w:val="bottom"/>
          </w:tcPr>
          <w:p>
            <w:pPr>
              <w:ind w:left="40"/>
              <w:spacing w:after="0"/>
              <w:rPr>
                <w:sz w:val="20"/>
                <w:szCs w:val="20"/>
                <w:color w:val="auto"/>
              </w:rPr>
            </w:pPr>
            <w:r>
              <w:rPr>
                <w:rFonts w:ascii="Arial" w:cs="Arial" w:eastAsia="Arial" w:hAnsi="Arial"/>
                <w:sz w:val="16"/>
                <w:szCs w:val="16"/>
                <w:color w:val="auto"/>
              </w:rPr>
              <w:t>Contingent ceding commissions earned</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(454,607)</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(118,639)</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(826,954)</w:t>
            </w: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(277,956)</w:t>
            </w:r>
          </w:p>
        </w:tc>
      </w:tr>
      <w:tr>
        <w:trPr>
          <w:trHeight w:val="243"/>
        </w:trPr>
        <w:tc>
          <w:tcPr>
            <w:tcW w:w="5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1,691,168</w:t>
            </w:r>
          </w:p>
        </w:tc>
        <w:tc>
          <w:tcPr>
            <w:tcW w:w="3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3,305,938</w:t>
            </w:r>
          </w:p>
        </w:tc>
        <w:tc>
          <w:tcPr>
            <w:tcW w:w="3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3,386,326</w:t>
            </w:r>
          </w:p>
        </w:tc>
        <w:tc>
          <w:tcPr>
            <w:tcW w:w="54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6,490,390</w:t>
            </w:r>
          </w:p>
        </w:tc>
      </w:tr>
    </w:tbl>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June 30, 2018 and December 31, 2017, net contingent ceding commissions payable to reinsurers under all treaties was approximately $2,821,000 and $1,850,000, respectively.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Note 7 – Debt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Short-term Debt</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In July 2017, KICO became a member of, and invested in, the Federal Home Loan Bank of New York (“FHLBNY”). The aggregate investment in dividend bearing common stock was $18,400 as of June 30, 2018.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December 31 of the previous year and are due and payable within one year of borrowing. The maximum allowable advance as of June 30, 2018 was approximately $9,849,000 based on KICO’s net admitted assets as of December 31, 2017. Advances are limited to the amount of available collateral, which was approximately $6,083,000 as of June 30, 2018. There were no borrowings under this facility during the period ended June 30, 2018.</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Long-term Debt</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19, 2017, the Company issued $30 million of its 5.50% Senior Unsecured Notes due December 30, 2022 (the “Notes”) in an underwritten public offering. Interest is payable semi-annually in arrears on June 30 and December 30 of each year, beginning on June 30 2018 at the rate of 5.50% per year from December 19, 2017. The net proceeds of the issuance were $29,121,630, net of discount of $163,200 and transaction costs of $715,170, for an effective yield of 5.67%. The balance of long-term debt as of June 30, 2018 and December 31, 2017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202"/>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8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r>
      <w:tr>
        <w:trPr>
          <w:trHeight w:val="203"/>
        </w:trPr>
        <w:tc>
          <w:tcPr>
            <w:tcW w:w="8820" w:type="dxa"/>
            <w:vAlign w:val="bottom"/>
            <w:shd w:val="clear" w:color="auto" w:fill="CCEEFF"/>
          </w:tcPr>
          <w:p>
            <w:pPr>
              <w:spacing w:after="0"/>
              <w:rPr>
                <w:sz w:val="20"/>
                <w:szCs w:val="20"/>
                <w:color w:val="auto"/>
              </w:rPr>
            </w:pPr>
            <w:r>
              <w:rPr>
                <w:rFonts w:ascii="Arial" w:cs="Arial" w:eastAsia="Arial" w:hAnsi="Arial"/>
                <w:sz w:val="16"/>
                <w:szCs w:val="16"/>
                <w:color w:val="auto"/>
              </w:rPr>
              <w:t>5.50% Senior Unsecured Notes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30,000,000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30,000,000</w:t>
            </w:r>
          </w:p>
        </w:tc>
      </w:tr>
      <w:tr>
        <w:trPr>
          <w:trHeight w:val="203"/>
        </w:trPr>
        <w:tc>
          <w:tcPr>
            <w:tcW w:w="8820" w:type="dxa"/>
            <w:vAlign w:val="bottom"/>
          </w:tcPr>
          <w:p>
            <w:pPr>
              <w:spacing w:after="0"/>
              <w:rPr>
                <w:sz w:val="20"/>
                <w:szCs w:val="20"/>
                <w:color w:val="auto"/>
              </w:rPr>
            </w:pPr>
            <w:r>
              <w:rPr>
                <w:rFonts w:ascii="Arial" w:cs="Arial" w:eastAsia="Arial" w:hAnsi="Arial"/>
                <w:sz w:val="16"/>
                <w:szCs w:val="16"/>
                <w:color w:val="auto"/>
              </w:rPr>
              <w:t>Discount</w:t>
            </w:r>
          </w:p>
        </w:tc>
        <w:tc>
          <w:tcPr>
            <w:tcW w:w="20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(145,988)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(162,209)</w:t>
            </w:r>
          </w:p>
        </w:tc>
      </w:tr>
      <w:tr>
        <w:trPr>
          <w:trHeight w:val="208"/>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costs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(646,851)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(710,826)</w:t>
            </w:r>
          </w:p>
        </w:tc>
      </w:tr>
      <w:tr>
        <w:trPr>
          <w:trHeight w:val="203"/>
        </w:trPr>
        <w:tc>
          <w:tcPr>
            <w:tcW w:w="8820" w:type="dxa"/>
            <w:vAlign w:val="bottom"/>
          </w:tcPr>
          <w:p>
            <w:pPr>
              <w:spacing w:after="0"/>
              <w:rPr>
                <w:sz w:val="20"/>
                <w:szCs w:val="20"/>
                <w:color w:val="auto"/>
              </w:rPr>
            </w:pPr>
            <w:r>
              <w:rPr>
                <w:rFonts w:ascii="Arial" w:cs="Arial" w:eastAsia="Arial" w:hAnsi="Arial"/>
                <w:sz w:val="16"/>
                <w:szCs w:val="16"/>
                <w:color w:val="auto"/>
              </w:rPr>
              <w:t>Long-term debt, net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29,207,161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29,126,965</w:t>
            </w:r>
          </w:p>
        </w:tc>
      </w:tr>
      <w:tr>
        <w:trPr>
          <w:trHeight w:val="20"/>
        </w:trPr>
        <w:tc>
          <w:tcPr>
            <w:tcW w:w="8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8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December 20, 2017, the Company used $25,000,000 of the net proceeds from the offering to contribute capital to KICO, to support additional growth. The remainder of the net proceeds will be used for general corporate purposes. A registration statement relating to the debt issued in the offering was filed with the SEC and became effective on November 28, 2017.</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Note 8 – Stockholders’ Equity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Public Offering of Common Stock</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January 31, 2017, the Company closed on an underwritten public offering of 2,500,000 shares of its Common Stock. On February 14, 2017, the Company closed on the underwriters’ purchase option for an additional 192,500 shares of its Common Stock. The public offering price for the 2,692,500 shares sold was $12.00 per share. The aggregate net proceeds to the Company were approximately $30,137,000, after deducting underwriting discounts and commissions and other offering expenses in the aggregate amount of approximately $2,173,000.</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March 1, 2017, the Company used $23,000,000 of the net proceeds from the offering to contribute capital to its insurance subsidiary, KICO, to support its ratings upgrade plan and additional growth. The remainder of the net proceeds will be used for general corporate purposes. A shelf registration statement relating to the shares sold in the offering was filed with the SEC and became effective on January 19, 2017.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Dividends Declared and Paid</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Dividends declared and paid on Common Stock were $2,134,759 and $1,513,633 for the six months ended June 30, 2018 and 2017, respectively. The Company’s Board of Directors approved a quarterly dividend on August 8, 2018 of $.10 per share payable in cash on September 14, 2018 to stockholders of record as of August 31, 2018 (see Note 13).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Stock Options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Pursuant to the Company’s 2005 Equity Participation Plan (the “2005 Plan”), which provides for the issuance of incentive stock options, non-statutory stock options and restricted stock, a maximum of 700,000 shares of the Company’s Common Stock are permitted to be issued pursuant to options granted and restricted stock issued. Pursuant to the Company’s 2014 Equity Participation Plan (the “2014 Plan”), a maximum of 700,000 shares of Common Stock of the Company are authorized to be issued pursuant to the grant of incentive stock options, non-statutory stock options, stock appreciation rights, restricted stock and stock bonuses. Incentive stock options granted under the 2014 Plan and 2005 Plan expire no later than ten years from the date of grant (except no later than five years for a grant to a 10% stockholder). The Board of Directors or the Compensation Committee of the Board determines the expiration date with respect to non-statutory stock options and the vesting provisions for restricted stock granted under the 2014 Plan and 2005 Plan.</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results of operations for the three months ended June 30, 2018 and 2017 include stock-based compensation expense related to stock options totaling approximately $1,000 and $14,000, respectively. The results of operations for the six months ended June 30, 2018 and 2017 include stock-based compensation expense related to stock options totaling approximately $4,000 and $30,000, respectively. Stock-based compensation expense related to stock options is net of estimated forfeitures of 17% for the three months and six months ended June 30, 2018 and 2017. Such amounts have been recorded in the condensed consolidated statements of income and comprehensive income (loss) within other operating expenses.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Stock-based compensation expense for the six months ended June 30, 2018 and 2017 is the estimated fair value of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 No options were granted during the six months ended June 30, 2018 and 2017.</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33" w:name="page34"/>
    <w:bookmarkEnd w:id="33"/>
    <w:p>
      <w:pPr>
        <w:jc w:val="both"/>
        <w:spacing w:after="0" w:line="298" w:lineRule="auto"/>
        <w:rPr>
          <w:sz w:val="20"/>
          <w:szCs w:val="20"/>
          <w:color w:val="auto"/>
        </w:rPr>
      </w:pPr>
      <w:r>
        <w:rPr>
          <w:rFonts w:ascii="Arial" w:cs="Arial" w:eastAsia="Arial" w:hAnsi="Arial"/>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our stock options.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A summary of stock option activity under the Company’s 2014 Plan and 2005 Plan for the six months ended June 30, 2018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2"/>
        </w:trPr>
        <w:tc>
          <w:tcPr>
            <w:tcW w:w="5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center"/>
              <w:ind w:right="121"/>
              <w:spacing w:after="0" w:line="152" w:lineRule="exact"/>
              <w:rPr>
                <w:sz w:val="20"/>
                <w:szCs w:val="20"/>
                <w:color w:val="auto"/>
              </w:rPr>
            </w:pPr>
            <w:r>
              <w:rPr>
                <w:rFonts w:ascii="Arial" w:cs="Arial" w:eastAsia="Arial" w:hAnsi="Arial"/>
                <w:sz w:val="14"/>
                <w:szCs w:val="14"/>
                <w:b w:val="1"/>
                <w:bCs w:val="1"/>
                <w:color w:val="auto"/>
                <w:w w:val="88"/>
              </w:rPr>
              <w:t>Weighted</w:t>
            </w:r>
          </w:p>
        </w:tc>
        <w:tc>
          <w:tcPr>
            <w:tcW w:w="13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2"/>
        </w:trPr>
        <w:tc>
          <w:tcPr>
            <w:tcW w:w="5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gridSpan w:val="2"/>
          </w:tcPr>
          <w:p>
            <w:pPr>
              <w:jc w:val="center"/>
              <w:spacing w:after="0" w:line="152" w:lineRule="exact"/>
              <w:rPr>
                <w:sz w:val="20"/>
                <w:szCs w:val="20"/>
                <w:color w:val="auto"/>
              </w:rPr>
            </w:pPr>
            <w:r>
              <w:rPr>
                <w:rFonts w:ascii="Arial" w:cs="Arial" w:eastAsia="Arial" w:hAnsi="Arial"/>
                <w:sz w:val="14"/>
                <w:szCs w:val="14"/>
                <w:b w:val="1"/>
                <w:bCs w:val="1"/>
                <w:color w:val="auto"/>
                <w:w w:val="87"/>
              </w:rPr>
              <w:t>Average Exercise</w:t>
            </w:r>
          </w:p>
        </w:tc>
        <w:tc>
          <w:tcPr>
            <w:tcW w:w="13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3"/>
                <w:szCs w:val="13"/>
                <w:color w:val="auto"/>
              </w:rPr>
            </w:pPr>
          </w:p>
        </w:tc>
        <w:tc>
          <w:tcPr>
            <w:tcW w:w="1140" w:type="dxa"/>
            <w:vAlign w:val="bottom"/>
          </w:tcPr>
          <w:p>
            <w:pPr>
              <w:jc w:val="right"/>
              <w:ind w:right="281"/>
              <w:spacing w:after="0" w:line="152" w:lineRule="exact"/>
              <w:rPr>
                <w:sz w:val="20"/>
                <w:szCs w:val="20"/>
                <w:color w:val="auto"/>
              </w:rPr>
            </w:pPr>
            <w:r>
              <w:rPr>
                <w:rFonts w:ascii="Arial" w:cs="Arial" w:eastAsia="Arial" w:hAnsi="Arial"/>
                <w:sz w:val="14"/>
                <w:szCs w:val="14"/>
                <w:b w:val="1"/>
                <w:bCs w:val="1"/>
                <w:color w:val="auto"/>
              </w:rPr>
              <w:t>Aggregate</w:t>
            </w:r>
          </w:p>
        </w:tc>
      </w:tr>
      <w:tr>
        <w:trPr>
          <w:trHeight w:val="171"/>
        </w:trPr>
        <w:tc>
          <w:tcPr>
            <w:tcW w:w="596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Stock Options</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9"/>
              </w:rPr>
              <w:t>Number of Shares</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9"/>
              </w:rPr>
              <w:t>Price per Share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Contractual Term</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1"/>
              </w:rPr>
              <w:t>Intrinsic Value</w:t>
            </w:r>
          </w:p>
        </w:tc>
      </w:tr>
      <w:tr>
        <w:trPr>
          <w:trHeight w:val="228"/>
        </w:trPr>
        <w:tc>
          <w:tcPr>
            <w:tcW w:w="5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January 1, 2018</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341,150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6.69</w:t>
            </w: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4,131,028</w:t>
            </w:r>
          </w:p>
        </w:tc>
      </w:tr>
      <w:tr>
        <w:trPr>
          <w:trHeight w:val="203"/>
        </w:trPr>
        <w:tc>
          <w:tcPr>
            <w:tcW w:w="5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1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Exercised</w:t>
            </w:r>
          </w:p>
        </w:tc>
        <w:tc>
          <w:tcPr>
            <w:tcW w:w="1360" w:type="dxa"/>
            <w:vAlign w:val="bottom"/>
          </w:tcPr>
          <w:p>
            <w:pPr>
              <w:jc w:val="right"/>
              <w:spacing w:after="0"/>
              <w:rPr>
                <w:sz w:val="20"/>
                <w:szCs w:val="20"/>
                <w:color w:val="auto"/>
              </w:rPr>
            </w:pPr>
            <w:r>
              <w:rPr>
                <w:rFonts w:ascii="Arial" w:cs="Arial" w:eastAsia="Arial" w:hAnsi="Arial"/>
                <w:sz w:val="16"/>
                <w:szCs w:val="16"/>
                <w:color w:val="auto"/>
              </w:rPr>
              <w:t>(93,900)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6.35</w:t>
            </w:r>
          </w:p>
        </w:tc>
        <w:tc>
          <w:tcPr>
            <w:tcW w:w="13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1,407,509</w:t>
            </w:r>
          </w:p>
        </w:tc>
      </w:tr>
      <w:tr>
        <w:trPr>
          <w:trHeight w:val="208"/>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r>
      <w:tr>
        <w:trPr>
          <w:trHeight w:val="203"/>
        </w:trPr>
        <w:tc>
          <w:tcPr>
            <w:tcW w:w="5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Outstanding at June 30, 2018</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247,250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6.82</w:t>
            </w:r>
          </w:p>
        </w:tc>
        <w:tc>
          <w:tcPr>
            <w:tcW w:w="13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2,492,109</w:t>
            </w:r>
          </w:p>
        </w:tc>
      </w:tr>
      <w:tr>
        <w:trPr>
          <w:trHeight w:val="193"/>
        </w:trPr>
        <w:tc>
          <w:tcPr>
            <w:tcW w:w="5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3"/>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Vested and Exercisable at June 30, 2018</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237,250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6.76</w:t>
            </w:r>
          </w:p>
        </w:tc>
        <w:tc>
          <w:tcPr>
            <w:tcW w:w="13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2,406,371</w:t>
            </w:r>
          </w:p>
        </w:tc>
      </w:tr>
    </w:tbl>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aggregate intrinsic value of options outstanding and options exercisable at June 30, 2018 is calculated as the difference between the exercise price of the underlying options and the market price of the Company’s Common Stock for the options that had exercise prices that were lower than the $16.90 closing price of the Company’s Common Stock on June 30, 2018. The total intrinsic value of options exercised during the six months ended June 30, 2018 was $1,407,509, determined as of the date of exercise.</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Participants in the 2005 and 2014 Plans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 The Company received cash proceeds of $46,831 from the exercise of options for the purchase of 7,400 shares of Common Stock during the six months ended June 30, 2018. The Company received 4,860 shares from the exercise of options under a Share Exchange for the purchase of 20,000 shares of Common Stock during the six months ended June 30, 2018. The remaining 66,500 options exercised during the six months ended June 30, 2018 were Net Exercises, resulting in the issuance of 30,126 shares of Common Stock. The Company received cash proceeds of $39,361 from the exercise of options for the purchase of 6,250 shares of Common Stock during the six months ended June 30, 2017. The remaining 250 options exercised during the six months ended June 30, 2017 were Net Exercises, resulting in the issuance of 166 shares of Common Stock.</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4" w:name="page35"/>
    <w:bookmarkEnd w:id="34"/>
    <w:p>
      <w:pPr>
        <w:jc w:val="both"/>
        <w:spacing w:after="0" w:line="296" w:lineRule="auto"/>
        <w:rPr>
          <w:sz w:val="20"/>
          <w:szCs w:val="20"/>
          <w:color w:val="auto"/>
        </w:rPr>
      </w:pPr>
      <w:r>
        <w:rPr>
          <w:rFonts w:ascii="Arial" w:cs="Arial" w:eastAsia="Arial" w:hAnsi="Arial"/>
          <w:sz w:val="16"/>
          <w:szCs w:val="16"/>
          <w:color w:val="auto"/>
        </w:rPr>
        <w:t>As of June 30, 2018, the fair value of unamortized compensation cost related to unvested stock option awards was approximately $3,000. Unamortized compensation cost as of June 30, 2018 is expected to be recognized over a remaining weighted-average vesting period of 0.28 years.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2018, there were 487,137 shares reserved for grants under the 2014 Plan.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Stock Awards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restricted common stock activity under the Company’s 2014 Plan for the six months ended June 30, 2018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2"/>
        </w:trPr>
        <w:tc>
          <w:tcPr>
            <w:tcW w:w="7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42"/>
              <w:spacing w:after="0" w:line="152" w:lineRule="exact"/>
              <w:rPr>
                <w:sz w:val="20"/>
                <w:szCs w:val="20"/>
                <w:color w:val="auto"/>
              </w:rPr>
            </w:pPr>
            <w:r>
              <w:rPr>
                <w:rFonts w:ascii="Arial" w:cs="Arial" w:eastAsia="Arial" w:hAnsi="Arial"/>
                <w:sz w:val="14"/>
                <w:szCs w:val="14"/>
                <w:b w:val="1"/>
                <w:bCs w:val="1"/>
                <w:color w:val="auto"/>
                <w:w w:val="91"/>
              </w:rPr>
              <w:t>Average Grant</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2"/>
        </w:trPr>
        <w:tc>
          <w:tcPr>
            <w:tcW w:w="7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60" w:type="dxa"/>
            <w:vAlign w:val="bottom"/>
            <w:gridSpan w:val="2"/>
          </w:tcPr>
          <w:p>
            <w:pPr>
              <w:jc w:val="center"/>
              <w:spacing w:after="0" w:line="152" w:lineRule="exact"/>
              <w:rPr>
                <w:sz w:val="20"/>
                <w:szCs w:val="20"/>
                <w:color w:val="auto"/>
              </w:rPr>
            </w:pPr>
            <w:r>
              <w:rPr>
                <w:rFonts w:ascii="Arial" w:cs="Arial" w:eastAsia="Arial" w:hAnsi="Arial"/>
                <w:sz w:val="14"/>
                <w:szCs w:val="14"/>
                <w:b w:val="1"/>
                <w:bCs w:val="1"/>
                <w:color w:val="auto"/>
                <w:w w:val="92"/>
              </w:rPr>
              <w:t>Date Fair Value</w:t>
            </w:r>
          </w:p>
        </w:tc>
        <w:tc>
          <w:tcPr>
            <w:tcW w:w="240" w:type="dxa"/>
            <w:vAlign w:val="bottom"/>
          </w:tcPr>
          <w:p>
            <w:pPr>
              <w:spacing w:after="0"/>
              <w:rPr>
                <w:sz w:val="13"/>
                <w:szCs w:val="13"/>
                <w:color w:val="auto"/>
              </w:rPr>
            </w:pPr>
          </w:p>
        </w:tc>
        <w:tc>
          <w:tcPr>
            <w:tcW w:w="1120" w:type="dxa"/>
            <w:vAlign w:val="bottom"/>
          </w:tcPr>
          <w:p>
            <w:pPr>
              <w:jc w:val="right"/>
              <w:ind w:right="141"/>
              <w:spacing w:after="0" w:line="152" w:lineRule="exact"/>
              <w:rPr>
                <w:sz w:val="20"/>
                <w:szCs w:val="20"/>
                <w:color w:val="auto"/>
              </w:rPr>
            </w:pPr>
            <w:r>
              <w:rPr>
                <w:rFonts w:ascii="Arial" w:cs="Arial" w:eastAsia="Arial" w:hAnsi="Arial"/>
                <w:sz w:val="14"/>
                <w:szCs w:val="14"/>
                <w:b w:val="1"/>
                <w:bCs w:val="1"/>
                <w:color w:val="auto"/>
                <w:w w:val="89"/>
              </w:rPr>
              <w:t>Aggregate Fair</w:t>
            </w:r>
          </w:p>
        </w:tc>
      </w:tr>
      <w:tr>
        <w:trPr>
          <w:trHeight w:val="171"/>
        </w:trPr>
        <w:tc>
          <w:tcPr>
            <w:tcW w:w="732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Restricted Stock Awards</w:t>
            </w:r>
          </w:p>
        </w:tc>
        <w:tc>
          <w:tcPr>
            <w:tcW w:w="13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per Share</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r>
      <w:tr>
        <w:trPr>
          <w:trHeight w:val="228"/>
        </w:trPr>
        <w:tc>
          <w:tcPr>
            <w:tcW w:w="7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2018</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47,337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14.35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679,180</w:t>
            </w:r>
          </w:p>
        </w:tc>
      </w:tr>
      <w:tr>
        <w:trPr>
          <w:trHeight w:val="203"/>
        </w:trPr>
        <w:tc>
          <w:tcPr>
            <w:tcW w:w="7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Granted</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61,215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20.68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1,266,090</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Vested</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(10,886)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13.58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(147,800)</w:t>
            </w:r>
          </w:p>
        </w:tc>
      </w:tr>
      <w:tr>
        <w:trPr>
          <w:trHeight w:val="208"/>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(9,960)</w:t>
            </w:r>
          </w:p>
        </w:tc>
      </w:tr>
      <w:tr>
        <w:trPr>
          <w:trHeight w:val="203"/>
        </w:trPr>
        <w:tc>
          <w:tcPr>
            <w:tcW w:w="7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3"/>
        </w:trPr>
        <w:tc>
          <w:tcPr>
            <w:tcW w:w="7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at June 30, 2018</w:t>
            </w: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97,002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18.43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1,787,510</w:t>
            </w:r>
          </w:p>
        </w:tc>
      </w:tr>
    </w:tbl>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Fair value was calculated using the closing price of the Company’s Common Stock on the grant date. For the three months ended June 30, 2018 and 2017, stock-based compensation of approximately $175,000 and $54,000, respectively, for these grants is included in other operating expenses in the condensed consolidated statements of income and comprehensive income (loss). For the six months ended June 30, 2018 and 2017, stock-based compensation of approximately $281,000 and $97,000, respectively, for these grants is included in other operating expenses in the condensed consolidated statements of income and comprehensive income (loss). These amounts reflect the Company’s accounting expense and do not correspond to the actual value that will be recognized by the directors, executives and employees.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Income Taxes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a various rates depending on whether the temporary differences are subject to federal taxes, state taxes, or both.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5" w:name="page36"/>
    <w:bookmarkEnd w:id="35"/>
    <w:p>
      <w:pPr>
        <w:jc w:val="both"/>
        <w:spacing w:after="0" w:line="272" w:lineRule="auto"/>
        <w:rPr>
          <w:sz w:val="20"/>
          <w:szCs w:val="20"/>
          <w:color w:val="auto"/>
        </w:rPr>
      </w:pPr>
      <w:r>
        <w:rPr>
          <w:rFonts w:ascii="Arial" w:cs="Arial" w:eastAsia="Arial" w:hAnsi="Arial"/>
          <w:sz w:val="16"/>
          <w:szCs w:val="16"/>
          <w:color w:val="auto"/>
        </w:rPr>
        <w:t>On December 22, 2017, the Tax Cuts and Jobs Act of 2017 (the “Act”) was enacted by the U.S. federal government. The Company has accounted for the material impacts of the Act by re-measuring its deferred tax assets/(liabilities) at the 21% enacted tax rate as of December 31, 2017. Upon completion of the 2017 U.S. income tax return in 2018, the Company may identify additional re-measurement adjustments to its recorded deferred tax liabilities and the one-time transition tax. The Company will continue to assess its provision for income taxes as future guidance is issued, but does not currently anticipate significant revisions will be necessary. Any such revisions will be treated in accordance with the measurement period guidance outlined in Staff Accounting Bulletin No. 118.</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the Company’s deferred tax assets and liabilities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91"/>
        </w:trPr>
        <w:tc>
          <w:tcPr>
            <w:tcW w:w="7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rPr>
                <w:sz w:val="20"/>
                <w:szCs w:val="20"/>
                <w:color w:val="auto"/>
              </w:rPr>
            </w:pPr>
            <w:r>
              <w:rPr>
                <w:rFonts w:ascii="Arial" w:cs="Arial" w:eastAsia="Arial" w:hAnsi="Arial"/>
                <w:sz w:val="16"/>
                <w:szCs w:val="16"/>
                <w:color w:val="auto"/>
              </w:rPr>
              <w:t>Net operating loss carryovers (1)</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87,018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103,655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Claims reserve discount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326,293</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300,005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rPr>
                <w:sz w:val="20"/>
                <w:szCs w:val="20"/>
                <w:color w:val="auto"/>
              </w:rPr>
            </w:pPr>
            <w:r>
              <w:rPr>
                <w:rFonts w:ascii="Arial" w:cs="Arial" w:eastAsia="Arial" w:hAnsi="Arial"/>
                <w:sz w:val="16"/>
                <w:szCs w:val="16"/>
                <w:color w:val="auto"/>
              </w:rPr>
              <w:t>Unearned premium</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2,686,534</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2,431,301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ceding commission revenue</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999,418</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895,947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rPr>
                <w:sz w:val="20"/>
                <w:szCs w:val="20"/>
                <w:color w:val="auto"/>
              </w:rPr>
            </w:pPr>
            <w:r>
              <w:rPr>
                <w:rFonts w:ascii="Arial" w:cs="Arial" w:eastAsia="Arial" w:hAnsi="Arial"/>
                <w:sz w:val="16"/>
                <w:szCs w:val="16"/>
                <w:color w:val="auto"/>
              </w:rPr>
              <w:t>Net unrealized loss of securities - available for sale</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613,783</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266,730</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382,522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40"/>
              <w:spacing w:after="0"/>
              <w:rPr>
                <w:sz w:val="20"/>
                <w:szCs w:val="20"/>
                <w:color w:val="auto"/>
              </w:rPr>
            </w:pPr>
            <w:r>
              <w:rPr>
                <w:rFonts w:ascii="Arial" w:cs="Arial" w:eastAsia="Arial" w:hAnsi="Arial"/>
                <w:sz w:val="16"/>
                <w:szCs w:val="16"/>
                <w:color w:val="auto"/>
              </w:rPr>
              <w:t>Total deferred tax assets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4,979,776</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4,113,430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 in KICO (2)</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759,543</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759,543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rPr>
                <w:sz w:val="20"/>
                <w:szCs w:val="20"/>
                <w:color w:val="auto"/>
              </w:rPr>
            </w:pPr>
            <w:r>
              <w:rPr>
                <w:rFonts w:ascii="Arial" w:cs="Arial" w:eastAsia="Arial" w:hAnsi="Arial"/>
                <w:sz w:val="16"/>
                <w:szCs w:val="16"/>
                <w:color w:val="auto"/>
              </w:rPr>
              <w:t>Deferred acquisition costs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3,375,069</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3,117,920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Intangibles</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176,400</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212,100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239,305</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328,735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gains of securities - available for sale</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295,474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40"/>
              <w:spacing w:after="0"/>
              <w:rPr>
                <w:sz w:val="20"/>
                <w:szCs w:val="20"/>
                <w:color w:val="auto"/>
              </w:rPr>
            </w:pPr>
            <w:r>
              <w:rPr>
                <w:rFonts w:ascii="Arial" w:cs="Arial" w:eastAsia="Arial" w:hAnsi="Arial"/>
                <w:sz w:val="16"/>
                <w:szCs w:val="16"/>
                <w:color w:val="auto"/>
              </w:rPr>
              <w:t>Total deferred tax liabilities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4,550,317</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4,713,772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40"/>
              <w:spacing w:after="0"/>
              <w:rPr>
                <w:sz w:val="20"/>
                <w:szCs w:val="20"/>
                <w:color w:val="auto"/>
              </w:rPr>
            </w:pPr>
            <w:r>
              <w:rPr>
                <w:rFonts w:ascii="Arial" w:cs="Arial" w:eastAsia="Arial" w:hAnsi="Arial"/>
                <w:sz w:val="16"/>
                <w:szCs w:val="16"/>
                <w:color w:val="auto"/>
              </w:rPr>
              <w:t>Net deferred income tax asset (liability)</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429,459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(600,342)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6"/>
                <w:szCs w:val="16"/>
                <w:b w:val="1"/>
                <w:bCs w:val="1"/>
                <w:color w:val="auto"/>
              </w:rPr>
              <w:t>_____________________________</w:t>
            </w: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3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7320" w:type="dxa"/>
            <w:vAlign w:val="bottom"/>
          </w:tcPr>
          <w:p>
            <w:pPr>
              <w:spacing w:after="0"/>
              <w:rPr>
                <w:sz w:val="20"/>
                <w:szCs w:val="20"/>
                <w:color w:val="auto"/>
              </w:rPr>
            </w:pPr>
            <w:r>
              <w:rPr>
                <w:rFonts w:ascii="Arial" w:cs="Arial" w:eastAsia="Arial" w:hAnsi="Arial"/>
                <w:sz w:val="16"/>
                <w:szCs w:val="16"/>
                <w:color w:val="auto"/>
              </w:rPr>
              <w:t>(1) The deferred tax assets from net operating loss carryovers (“NOL”) are as follows: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341"/>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120" w:type="dxa"/>
            <w:vAlign w:val="bottom"/>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320" w:type="dxa"/>
            <w:vAlign w:val="bottom"/>
          </w:tcPr>
          <w:p>
            <w:pPr>
              <w:ind w:left="3280"/>
              <w:spacing w:after="0"/>
              <w:rPr>
                <w:sz w:val="20"/>
                <w:szCs w:val="20"/>
                <w:color w:val="auto"/>
              </w:rPr>
            </w:pPr>
            <w:r>
              <w:rPr>
                <w:rFonts w:ascii="Arial" w:cs="Arial" w:eastAsia="Arial" w:hAnsi="Arial"/>
                <w:sz w:val="14"/>
                <w:szCs w:val="14"/>
                <w:b w:val="1"/>
                <w:bCs w:val="1"/>
                <w:color w:val="auto"/>
              </w:rPr>
              <w:t>Type of NOL</w:t>
            </w:r>
          </w:p>
        </w:tc>
        <w:tc>
          <w:tcPr>
            <w:tcW w:w="340" w:type="dxa"/>
            <w:vAlign w:val="bottom"/>
          </w:tcPr>
          <w:p>
            <w:pPr>
              <w:spacing w:after="0"/>
              <w:rPr>
                <w:sz w:val="14"/>
                <w:szCs w:val="14"/>
                <w:color w:val="auto"/>
              </w:rPr>
            </w:pPr>
          </w:p>
        </w:tc>
        <w:tc>
          <w:tcPr>
            <w:tcW w:w="1040" w:type="dxa"/>
            <w:vAlign w:val="bottom"/>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12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7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State only (A)</w:t>
            </w:r>
          </w:p>
        </w:tc>
        <w:tc>
          <w:tcPr>
            <w:tcW w:w="3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990,231</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824,996</w:t>
            </w:r>
          </w:p>
        </w:tc>
        <w:tc>
          <w:tcPr>
            <w:tcW w:w="13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91"/>
              </w:rPr>
              <w:t>December 31, 2038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40"/>
              <w:spacing w:after="0"/>
              <w:rPr>
                <w:sz w:val="20"/>
                <w:szCs w:val="20"/>
                <w:color w:val="auto"/>
              </w:rPr>
            </w:pPr>
            <w:r>
              <w:rPr>
                <w:rFonts w:ascii="Arial" w:cs="Arial" w:eastAsia="Arial" w:hAnsi="Arial"/>
                <w:sz w:val="16"/>
                <w:szCs w:val="16"/>
                <w:color w:val="auto"/>
              </w:rPr>
              <w:t>Valuation allowance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(905,313)</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(725,541)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 only, net of valuation allowance</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84,918</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99,455</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tcPr>
          <w:p>
            <w:pPr>
              <w:ind w:left="40"/>
              <w:spacing w:after="0"/>
              <w:rPr>
                <w:sz w:val="20"/>
                <w:szCs w:val="20"/>
                <w:color w:val="auto"/>
              </w:rPr>
            </w:pPr>
            <w:r>
              <w:rPr>
                <w:rFonts w:ascii="Arial" w:cs="Arial" w:eastAsia="Arial" w:hAnsi="Arial"/>
                <w:sz w:val="16"/>
                <w:szCs w:val="16"/>
                <w:color w:val="auto"/>
              </w:rPr>
              <w:t>Amount subject to Annual Limitation, federal only (B)</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2,100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4,200</w:t>
            </w: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1"/>
              </w:rPr>
              <w:t>December 31,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tax asset from net operating loss carryovers</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87,018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103,655</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1"/>
        <w:spacing w:after="0" w:line="272" w:lineRule="auto"/>
        <w:tabs>
          <w:tab w:leader="none" w:pos="3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Kingstone generates operating losses for state purposes and has prior year NOLs available. The state NOL as of June 30, 2018 and December 31, 2017 was approximately $15,234,000 and $12,692,000, respectively. KICO, the Company’s insurance underwriting subsidiary, is not subject to state income taxes. KICO’s state tax obligations are paid through a gross premiums tax, which is included in the condensed consolidated statements of income and comprehensive income (loss) within other underwriting expenses. A valuation allowance has been recorded due to the uncertainty of generating enough state taxable income to utilize 100% of the available state NOLs over their remaining lives, which expire between 2027 and 2038.</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6" w:name="page37"/>
    <w:bookmarkEnd w:id="36"/>
    <w:p>
      <w:pPr>
        <w:jc w:val="both"/>
        <w:ind w:firstLine="1"/>
        <w:spacing w:after="0" w:line="280" w:lineRule="auto"/>
        <w:tabs>
          <w:tab w:leader="none" w:pos="27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an NOL of $10,000 that is subject to Internal Revenue Code Section 382, which places a limitation on the utilization of the federal NOL loss to approximately $10,000 per year (“Annual Limitation”) as a result of a greater than 50% ownership change of the Company in 1999. The loss subject to the Annual Limitation will expire on December 31, 2019.</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(2) Deferred tax liability – Investment in KICO</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7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Company had no material unrecognized tax benefit and no adjustments to liabilities or operations were required. There were no interest or penalties related to income taxes that have been accrued or recognized as of and for the six months ended June 30, 2018 and 2017. If any had been recognized these would have been reported in income tax expense.</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Generally, taxing authorities may examine the Company’s tax returns for the three years from the date of filing. The Company’s tax returns for the years ended December 31, 2014 through December 31, 2017 remain subject to examination. In March 2018, the Company received a notice that its federal income tax return for the year ended December 31, 2016 was selected for examination by the Internal Revenue Service. The final results of this examination are unknown, although management believes that the return, as filed, is fully compliant with applicable tax code.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Earnings Per Common Share</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Basic net earnings per common share is computed by dividing income available to common shareholders by the weighted-average number of common shares outstanding. Diluted earnings per common share reflect, in periods in which they have a dilutive effect, the impact of common shares issuable upon exercise of stock options. The computation of diluted earnings per common share excludes those options with an exercise price in excess of the average market price of the Company’s common shares during the periods presented. The computation of diluted earnings per common share excludes outstanding options in periods where the exercise of such options would be anti-dilutive.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The reconciliation of the weighted average number of common shares used in the calculation of basic and diluted earnings per common share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2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2720" w:type="dxa"/>
            <w:vAlign w:val="bottom"/>
            <w:gridSpan w:val="3"/>
          </w:tcPr>
          <w:p>
            <w:pPr>
              <w:ind w:left="840"/>
              <w:spacing w:after="0"/>
              <w:rPr>
                <w:sz w:val="20"/>
                <w:szCs w:val="20"/>
                <w:color w:val="auto"/>
              </w:rPr>
            </w:pPr>
            <w:r>
              <w:rPr>
                <w:rFonts w:ascii="Arial" w:cs="Arial" w:eastAsia="Arial" w:hAnsi="Arial"/>
                <w:sz w:val="14"/>
                <w:szCs w:val="14"/>
                <w:b w:val="1"/>
                <w:bCs w:val="1"/>
                <w:color w:val="auto"/>
              </w:rPr>
              <w:t>Six months ended</w:t>
            </w:r>
          </w:p>
        </w:tc>
      </w:tr>
      <w:tr>
        <w:trPr>
          <w:trHeight w:val="191"/>
        </w:trPr>
        <w:tc>
          <w:tcPr>
            <w:tcW w:w="5960" w:type="dxa"/>
            <w:vAlign w:val="bottom"/>
          </w:tcPr>
          <w:p>
            <w:pPr>
              <w:spacing w:after="0"/>
              <w:rPr>
                <w:sz w:val="16"/>
                <w:szCs w:val="16"/>
                <w:color w:val="auto"/>
              </w:rPr>
            </w:pPr>
          </w:p>
        </w:tc>
        <w:tc>
          <w:tcPr>
            <w:tcW w:w="17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08"/>
        </w:trPr>
        <w:tc>
          <w:tcPr>
            <w:tcW w:w="5960" w:type="dxa"/>
            <w:vAlign w:val="bottom"/>
          </w:tcPr>
          <w:p>
            <w:pPr>
              <w:spacing w:after="0"/>
              <w:rPr>
                <w:sz w:val="18"/>
                <w:szCs w:val="18"/>
                <w:color w:val="auto"/>
              </w:rPr>
            </w:pPr>
          </w:p>
        </w:tc>
        <w:tc>
          <w:tcPr>
            <w:tcW w:w="1740" w:type="dxa"/>
            <w:vAlign w:val="bottom"/>
            <w:tcBorders>
              <w:bottom w:val="single" w:sz="8" w:color="auto"/>
            </w:tcBorders>
          </w:tcPr>
          <w:p>
            <w:pPr>
              <w:jc w:val="right"/>
              <w:ind w:right="823"/>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182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8"/>
                <w:szCs w:val="18"/>
                <w:color w:val="auto"/>
              </w:rPr>
            </w:pPr>
          </w:p>
        </w:tc>
      </w:tr>
      <w:tr>
        <w:trPr>
          <w:trHeight w:val="228"/>
        </w:trPr>
        <w:tc>
          <w:tcPr>
            <w:tcW w:w="59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1740" w:type="dxa"/>
            <w:vAlign w:val="bottom"/>
            <w:shd w:val="clear" w:color="auto" w:fill="CCEEFF"/>
          </w:tcPr>
          <w:p>
            <w:pPr>
              <w:jc w:val="right"/>
              <w:ind w:right="443"/>
              <w:spacing w:after="0"/>
              <w:rPr>
                <w:sz w:val="20"/>
                <w:szCs w:val="20"/>
                <w:color w:val="auto"/>
              </w:rPr>
            </w:pPr>
            <w:r>
              <w:rPr>
                <w:rFonts w:ascii="Arial" w:cs="Arial" w:eastAsia="Arial" w:hAnsi="Arial"/>
                <w:sz w:val="16"/>
                <w:szCs w:val="16"/>
                <w:color w:val="auto"/>
              </w:rPr>
              <w:t>10,664,806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10,622,496</w:t>
            </w:r>
          </w:p>
        </w:tc>
        <w:tc>
          <w:tcPr>
            <w:tcW w:w="1820" w:type="dxa"/>
            <w:vAlign w:val="bottom"/>
            <w:gridSpan w:val="2"/>
            <w:shd w:val="clear" w:color="auto" w:fill="CCEEFF"/>
          </w:tcPr>
          <w:p>
            <w:pPr>
              <w:jc w:val="right"/>
              <w:ind w:right="450"/>
              <w:spacing w:after="0"/>
              <w:rPr>
                <w:sz w:val="20"/>
                <w:szCs w:val="20"/>
                <w:color w:val="auto"/>
              </w:rPr>
            </w:pPr>
            <w:r>
              <w:rPr>
                <w:rFonts w:ascii="Arial" w:cs="Arial" w:eastAsia="Arial" w:hAnsi="Arial"/>
                <w:sz w:val="16"/>
                <w:szCs w:val="16"/>
                <w:color w:val="auto"/>
              </w:rPr>
              <w:t>10,667,385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10,145,772</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dilutive securities, common share equivalents</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Stock options</w:t>
            </w:r>
          </w:p>
        </w:tc>
        <w:tc>
          <w:tcPr>
            <w:tcW w:w="1740" w:type="dxa"/>
            <w:vAlign w:val="bottom"/>
          </w:tcPr>
          <w:p>
            <w:pPr>
              <w:jc w:val="right"/>
              <w:ind w:right="443"/>
              <w:spacing w:after="0"/>
              <w:rPr>
                <w:sz w:val="20"/>
                <w:szCs w:val="20"/>
                <w:color w:val="auto"/>
              </w:rPr>
            </w:pPr>
            <w:r>
              <w:rPr>
                <w:rFonts w:ascii="Arial" w:cs="Arial" w:eastAsia="Arial" w:hAnsi="Arial"/>
                <w:sz w:val="16"/>
                <w:szCs w:val="16"/>
                <w:color w:val="auto"/>
              </w:rPr>
              <w:t>148,885</w:t>
            </w:r>
          </w:p>
        </w:tc>
        <w:tc>
          <w:tcPr>
            <w:tcW w:w="920" w:type="dxa"/>
            <w:vAlign w:val="bottom"/>
          </w:tcPr>
          <w:p>
            <w:pPr>
              <w:jc w:val="right"/>
              <w:spacing w:after="0"/>
              <w:rPr>
                <w:sz w:val="20"/>
                <w:szCs w:val="20"/>
                <w:color w:val="auto"/>
              </w:rPr>
            </w:pPr>
            <w:r>
              <w:rPr>
                <w:rFonts w:ascii="Arial" w:cs="Arial" w:eastAsia="Arial" w:hAnsi="Arial"/>
                <w:sz w:val="16"/>
                <w:szCs w:val="16"/>
                <w:color w:val="auto"/>
              </w:rPr>
              <w:t>200,081</w:t>
            </w:r>
          </w:p>
        </w:tc>
        <w:tc>
          <w:tcPr>
            <w:tcW w:w="1820" w:type="dxa"/>
            <w:vAlign w:val="bottom"/>
            <w:gridSpan w:val="2"/>
          </w:tcPr>
          <w:p>
            <w:pPr>
              <w:jc w:val="right"/>
              <w:ind w:right="450"/>
              <w:spacing w:after="0"/>
              <w:rPr>
                <w:sz w:val="20"/>
                <w:szCs w:val="20"/>
                <w:color w:val="auto"/>
              </w:rPr>
            </w:pPr>
            <w:r>
              <w:rPr>
                <w:rFonts w:ascii="Arial" w:cs="Arial" w:eastAsia="Arial" w:hAnsi="Arial"/>
                <w:sz w:val="16"/>
                <w:szCs w:val="16"/>
                <w:color w:val="auto"/>
              </w:rPr>
              <w:t>154,322</w:t>
            </w:r>
          </w:p>
        </w:tc>
        <w:tc>
          <w:tcPr>
            <w:tcW w:w="920" w:type="dxa"/>
            <w:vAlign w:val="bottom"/>
          </w:tcPr>
          <w:p>
            <w:pPr>
              <w:jc w:val="right"/>
              <w:spacing w:after="0"/>
              <w:rPr>
                <w:sz w:val="20"/>
                <w:szCs w:val="20"/>
                <w:color w:val="auto"/>
              </w:rPr>
            </w:pPr>
            <w:r>
              <w:rPr>
                <w:rFonts w:ascii="Arial" w:cs="Arial" w:eastAsia="Arial" w:hAnsi="Arial"/>
                <w:sz w:val="16"/>
                <w:szCs w:val="16"/>
                <w:color w:val="auto"/>
              </w:rPr>
              <w:t>191,441</w:t>
            </w:r>
          </w:p>
        </w:tc>
        <w:tc>
          <w:tcPr>
            <w:tcW w:w="60" w:type="dxa"/>
            <w:vAlign w:val="bottom"/>
          </w:tcPr>
          <w:p>
            <w:pPr>
              <w:spacing w:after="0"/>
              <w:rPr>
                <w:sz w:val="17"/>
                <w:szCs w:val="17"/>
                <w:color w:val="auto"/>
              </w:rPr>
            </w:pPr>
          </w:p>
        </w:tc>
      </w:tr>
      <w:tr>
        <w:trPr>
          <w:trHeight w:val="208"/>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stock awards</w:t>
            </w:r>
          </w:p>
        </w:tc>
        <w:tc>
          <w:tcPr>
            <w:tcW w:w="1740" w:type="dxa"/>
            <w:vAlign w:val="bottom"/>
            <w:shd w:val="clear" w:color="auto" w:fill="CCEEFF"/>
          </w:tcPr>
          <w:p>
            <w:pPr>
              <w:jc w:val="right"/>
              <w:ind w:right="443"/>
              <w:spacing w:after="0"/>
              <w:rPr>
                <w:sz w:val="20"/>
                <w:szCs w:val="20"/>
                <w:color w:val="auto"/>
              </w:rPr>
            </w:pPr>
            <w:r>
              <w:rPr>
                <w:rFonts w:ascii="Arial" w:cs="Arial" w:eastAsia="Arial" w:hAnsi="Arial"/>
                <w:sz w:val="16"/>
                <w:szCs w:val="16"/>
                <w:color w:val="auto"/>
              </w:rPr>
              <w:t>6,631</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w:t>
            </w:r>
          </w:p>
        </w:tc>
        <w:tc>
          <w:tcPr>
            <w:tcW w:w="1820" w:type="dxa"/>
            <w:vAlign w:val="bottom"/>
            <w:gridSpan w:val="2"/>
            <w:shd w:val="clear" w:color="auto" w:fill="CCEEFF"/>
          </w:tcPr>
          <w:p>
            <w:pPr>
              <w:jc w:val="right"/>
              <w:ind w:right="450"/>
              <w:spacing w:after="0"/>
              <w:rPr>
                <w:sz w:val="20"/>
                <w:szCs w:val="20"/>
                <w:color w:val="auto"/>
              </w:rPr>
            </w:pPr>
            <w:r>
              <w:rPr>
                <w:rFonts w:ascii="Arial" w:cs="Arial" w:eastAsia="Arial" w:hAnsi="Arial"/>
                <w:sz w:val="16"/>
                <w:szCs w:val="16"/>
                <w:color w:val="auto"/>
              </w:rPr>
              <w:t>6,313</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w:t>
            </w:r>
          </w:p>
        </w:tc>
        <w:tc>
          <w:tcPr>
            <w:tcW w:w="60" w:type="dxa"/>
            <w:vAlign w:val="bottom"/>
            <w:shd w:val="clear" w:color="auto" w:fill="CCEEFF"/>
          </w:tcPr>
          <w:p>
            <w:pPr>
              <w:spacing w:after="0"/>
              <w:rPr>
                <w:sz w:val="18"/>
                <w:szCs w:val="18"/>
                <w:color w:val="auto"/>
              </w:rPr>
            </w:pPr>
          </w:p>
        </w:tc>
      </w:tr>
      <w:tr>
        <w:trPr>
          <w:trHeight w:val="203"/>
        </w:trPr>
        <w:tc>
          <w:tcPr>
            <w:tcW w:w="5960" w:type="dxa"/>
            <w:vAlign w:val="bottom"/>
            <w:tcBorders>
              <w:top w:val="single" w:sz="8" w:color="CCEEFF"/>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number of shares outstanding,</w:t>
            </w: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ind w:left="200"/>
              <w:spacing w:after="0" w:line="183" w:lineRule="exact"/>
              <w:rPr>
                <w:sz w:val="20"/>
                <w:szCs w:val="20"/>
                <w:color w:val="auto"/>
              </w:rPr>
            </w:pPr>
            <w:r>
              <w:rPr>
                <w:rFonts w:ascii="Arial" w:cs="Arial" w:eastAsia="Arial" w:hAnsi="Arial"/>
                <w:sz w:val="16"/>
                <w:szCs w:val="16"/>
                <w:color w:val="auto"/>
              </w:rPr>
              <w:t>used for computing diluted earnings per share</w:t>
            </w:r>
          </w:p>
        </w:tc>
        <w:tc>
          <w:tcPr>
            <w:tcW w:w="1740" w:type="dxa"/>
            <w:vAlign w:val="bottom"/>
            <w:tcBorders>
              <w:bottom w:val="single" w:sz="8" w:color="auto"/>
            </w:tcBorders>
          </w:tcPr>
          <w:p>
            <w:pPr>
              <w:jc w:val="right"/>
              <w:ind w:right="443"/>
              <w:spacing w:after="0" w:line="183" w:lineRule="exact"/>
              <w:rPr>
                <w:sz w:val="20"/>
                <w:szCs w:val="20"/>
                <w:color w:val="auto"/>
              </w:rPr>
            </w:pPr>
            <w:r>
              <w:rPr>
                <w:rFonts w:ascii="Arial" w:cs="Arial" w:eastAsia="Arial" w:hAnsi="Arial"/>
                <w:sz w:val="16"/>
                <w:szCs w:val="16"/>
                <w:color w:val="auto"/>
              </w:rPr>
              <w:t>10,820,322</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10,822,577</w:t>
            </w:r>
          </w:p>
        </w:tc>
        <w:tc>
          <w:tcPr>
            <w:tcW w:w="1820" w:type="dxa"/>
            <w:vAlign w:val="bottom"/>
            <w:tcBorders>
              <w:bottom w:val="single" w:sz="8" w:color="auto"/>
            </w:tcBorders>
            <w:gridSpan w:val="2"/>
          </w:tcPr>
          <w:p>
            <w:pPr>
              <w:jc w:val="right"/>
              <w:ind w:right="450"/>
              <w:spacing w:after="0" w:line="183" w:lineRule="exact"/>
              <w:rPr>
                <w:sz w:val="20"/>
                <w:szCs w:val="20"/>
                <w:color w:val="auto"/>
              </w:rPr>
            </w:pPr>
            <w:r>
              <w:rPr>
                <w:rFonts w:ascii="Arial" w:cs="Arial" w:eastAsia="Arial" w:hAnsi="Arial"/>
                <w:sz w:val="16"/>
                <w:szCs w:val="16"/>
                <w:color w:val="auto"/>
              </w:rPr>
              <w:t>10,828,020</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10,337,213</w:t>
            </w:r>
          </w:p>
        </w:tc>
        <w:tc>
          <w:tcPr>
            <w:tcW w:w="60" w:type="dxa"/>
            <w:vAlign w:val="bottom"/>
            <w:tcBorders>
              <w:bottom w:val="single" w:sz="8" w:color="auto"/>
            </w:tcBorders>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Litigation</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The Company is not subject to any other pending legal proceedings that management believes are likely to have a material adverse effect on the condensed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Office Lease</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Company is a party to a non-cancellable operating lease, dated March 27, 2015, for its office facility for KICO located in Valley Stream, New York. In June 2016, the Company entered into a lease modification agreement. The original lease had a term of seven years and nine months. The lease modification increased the space occupied by KICO and extended the lease term to seven years and nine months to be measured from the additional premises commencement date. The additional premises commencement date was September 19, 2016, and additional rent was payable beginning March 19, 2017. The original lease commencement date was July 1, 2015 and rent commencement began January 1, 2016.</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the base rental costs, occupancy lease agreements generally provide for rent escalations resulting from increased assessments from real estate taxes and other charges. Rent expense under the lease is recognized on a straight-line basis over the lease term. At June 30, 2018, cumulative rent expense exceeded cumulative rent payments by $91,900. This difference is recorded as deferred rent and is included in accounts payable, accrued expenses and other liabilities in the condensed consolidated balance sheets.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As of June 30, 2018, aggregate future minimum rental commitments under the Company’s modified lease agreement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20"/>
                <w:szCs w:val="20"/>
                <w:color w:val="auto"/>
              </w:rPr>
            </w:pPr>
            <w:r>
              <w:rPr>
                <w:rFonts w:ascii="Arial" w:cs="Arial" w:eastAsia="Arial" w:hAnsi="Arial"/>
                <w:sz w:val="14"/>
                <w:szCs w:val="14"/>
                <w:b w:val="1"/>
                <w:bCs w:val="1"/>
                <w:color w:val="auto"/>
              </w:rPr>
              <w:t>For the Year</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2"/>
        </w:trPr>
        <w:tc>
          <w:tcPr>
            <w:tcW w:w="10060" w:type="dxa"/>
            <w:vAlign w:val="bottom"/>
          </w:tcPr>
          <w:p>
            <w:pPr>
              <w:ind w:left="40"/>
              <w:spacing w:after="0" w:line="152" w:lineRule="exact"/>
              <w:rPr>
                <w:sz w:val="20"/>
                <w:szCs w:val="20"/>
                <w:color w:val="auto"/>
              </w:rPr>
            </w:pPr>
            <w:r>
              <w:rPr>
                <w:rFonts w:ascii="Arial" w:cs="Arial" w:eastAsia="Arial" w:hAnsi="Arial"/>
                <w:sz w:val="14"/>
                <w:szCs w:val="14"/>
                <w:b w:val="1"/>
                <w:bCs w:val="1"/>
                <w:color w:val="auto"/>
              </w:rPr>
              <w:t>Ending</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1"/>
        </w:trPr>
        <w:tc>
          <w:tcPr>
            <w:tcW w:w="10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Total</w:t>
            </w:r>
          </w:p>
        </w:tc>
      </w:tr>
      <w:tr>
        <w:trPr>
          <w:trHeight w:val="203"/>
        </w:trPr>
        <w:tc>
          <w:tcPr>
            <w:tcW w:w="10060" w:type="dxa"/>
            <w:vAlign w:val="bottom"/>
            <w:shd w:val="clear" w:color="auto" w:fill="CCEEFF"/>
          </w:tcPr>
          <w:p>
            <w:pPr>
              <w:spacing w:after="0"/>
              <w:rPr>
                <w:sz w:val="20"/>
                <w:szCs w:val="20"/>
                <w:color w:val="auto"/>
              </w:rPr>
            </w:pPr>
            <w:r>
              <w:rPr>
                <w:rFonts w:ascii="Arial" w:cs="Arial" w:eastAsia="Arial" w:hAnsi="Arial"/>
                <w:sz w:val="16"/>
                <w:szCs w:val="16"/>
                <w:color w:val="auto"/>
              </w:rPr>
              <w:t>2018 (six months)</w:t>
            </w:r>
          </w:p>
        </w:tc>
        <w:tc>
          <w:tcPr>
            <w:tcW w:w="3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82,758</w:t>
            </w:r>
          </w:p>
        </w:tc>
      </w:tr>
      <w:tr>
        <w:trPr>
          <w:trHeight w:val="203"/>
        </w:trPr>
        <w:tc>
          <w:tcPr>
            <w:tcW w:w="10060" w:type="dxa"/>
            <w:vAlign w:val="bottom"/>
          </w:tcPr>
          <w:p>
            <w:pPr>
              <w:spacing w:after="0"/>
              <w:rPr>
                <w:sz w:val="20"/>
                <w:szCs w:val="20"/>
                <w:color w:val="auto"/>
              </w:rPr>
            </w:pPr>
            <w:r>
              <w:rPr>
                <w:rFonts w:ascii="Arial" w:cs="Arial" w:eastAsia="Arial" w:hAnsi="Arial"/>
                <w:sz w:val="16"/>
                <w:szCs w:val="16"/>
                <w:color w:val="auto"/>
              </w:rPr>
              <w:t>2019</w:t>
            </w:r>
          </w:p>
        </w:tc>
        <w:tc>
          <w:tcPr>
            <w:tcW w:w="38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169,861</w:t>
            </w:r>
          </w:p>
        </w:tc>
      </w:tr>
      <w:tr>
        <w:trPr>
          <w:trHeight w:val="203"/>
        </w:trPr>
        <w:tc>
          <w:tcPr>
            <w:tcW w:w="10060" w:type="dxa"/>
            <w:vAlign w:val="bottom"/>
            <w:shd w:val="clear" w:color="auto" w:fill="CCEEFF"/>
          </w:tcPr>
          <w:p>
            <w:pPr>
              <w:spacing w:after="0"/>
              <w:rPr>
                <w:sz w:val="20"/>
                <w:szCs w:val="20"/>
                <w:color w:val="auto"/>
              </w:rPr>
            </w:pPr>
            <w:r>
              <w:rPr>
                <w:rFonts w:ascii="Arial" w:cs="Arial" w:eastAsia="Arial" w:hAnsi="Arial"/>
                <w:sz w:val="16"/>
                <w:szCs w:val="16"/>
                <w:color w:val="auto"/>
              </w:rPr>
              <w:t>2020</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175,806</w:t>
            </w:r>
          </w:p>
        </w:tc>
      </w:tr>
      <w:tr>
        <w:trPr>
          <w:trHeight w:val="203"/>
        </w:trPr>
        <w:tc>
          <w:tcPr>
            <w:tcW w:w="10060" w:type="dxa"/>
            <w:vAlign w:val="bottom"/>
          </w:tcPr>
          <w:p>
            <w:pPr>
              <w:spacing w:after="0"/>
              <w:rPr>
                <w:sz w:val="20"/>
                <w:szCs w:val="20"/>
                <w:color w:val="auto"/>
              </w:rPr>
            </w:pPr>
            <w:r>
              <w:rPr>
                <w:rFonts w:ascii="Arial" w:cs="Arial" w:eastAsia="Arial" w:hAnsi="Arial"/>
                <w:sz w:val="16"/>
                <w:szCs w:val="16"/>
                <w:color w:val="auto"/>
              </w:rPr>
              <w:t>2021</w:t>
            </w:r>
          </w:p>
        </w:tc>
        <w:tc>
          <w:tcPr>
            <w:tcW w:w="38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181,959</w:t>
            </w:r>
          </w:p>
        </w:tc>
      </w:tr>
      <w:tr>
        <w:trPr>
          <w:trHeight w:val="203"/>
        </w:trPr>
        <w:tc>
          <w:tcPr>
            <w:tcW w:w="1006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188,328</w:t>
            </w:r>
          </w:p>
        </w:tc>
      </w:tr>
      <w:tr>
        <w:trPr>
          <w:trHeight w:val="208"/>
        </w:trPr>
        <w:tc>
          <w:tcPr>
            <w:tcW w:w="100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244,064</w:t>
            </w:r>
          </w:p>
        </w:tc>
      </w:tr>
      <w:tr>
        <w:trPr>
          <w:trHeight w:val="243"/>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1,042,776</w:t>
            </w:r>
          </w:p>
        </w:tc>
      </w:tr>
    </w:tbl>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Rent expense for the three months ended June 30, 2018 and 2017 amounted to $41,342 for each period. Rent expense for the six months ended June 30, 2018 and 2017 amounted to $82,684 for each period. Rent expense is included in the condensed consolidated statements of income and comprehensive income (loss) within other underwriting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Employment Agreement</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March 14, 2018, the Company and Dale A. Thatcher, a director of the Company, entered into an employment agreement (the “Thatcher Employment Agreement”) pursuant to which Mr. Thatcher serves as the Company’s Chief Operating Officer. Mr. Thatcher also serves as KICO’s President. The Thatcher Employment Agreement became effective as of March 15, 2018 and expires on December 31, 2018.</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Pursuant to the Thatcher Employment Agreement, Mr. Thatcher is entitled to receive a base salary of $500,000 per annum and a minimum bonus equal to 15% of his base salary. Concurrently with the execution of the Thatcher Employment Agreement, the Company granted to Mr. Thatcher 35,715 shares of restricted Common Stock under the 2014 Plan. The shares granted will vest in three equal installments on each of the three annual anniversaries following the grant date, subject to the terms of the restricted stock grant agreement between the Company and Mr. Thatcher.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Deferred Compensation Plan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this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first payroll subject to the Deferred Compensation Plan was in July 2018, and accordingly, no expenses for contributions were recorded for the three months and six months ended June 30, 2018 and 2017.</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Note 13 – Subsequent Events</w:t>
      </w:r>
    </w:p>
    <w:p>
      <w:pPr>
        <w:spacing w:after="0" w:line="1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has evaluated events that occurred subsequent to June 30, 2018 through the date these condensed consolidated financial statements were issued for matters that required disclosure or adjustment in these condensed consolidated financial statements. No items were noted.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Dividends Declared</w:t>
      </w:r>
    </w:p>
    <w:p>
      <w:pPr>
        <w:spacing w:after="0" w:line="2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August 8, 2018, the Company’s Board of Directors approved a quarterly dividend of $.10 per share payable in cash on September 14, 2018 to stockholders of record as of the close of business on August 31, 2018 (see Note 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Reinsurance</w:t>
      </w:r>
    </w:p>
    <w:p>
      <w:pPr>
        <w:spacing w:after="0" w:line="2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KICO entered into new annual excess of loss and catastrophe reinsurance treaties effective July 1, 2018. See Note 6, Property and Casualty Insurance Activity – Reinsurance.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40" w:name="page41"/>
    <w:bookmarkEnd w:id="40"/>
    <w:p>
      <w:pPr>
        <w:spacing w:after="0"/>
        <w:tabs>
          <w:tab w:leader="none" w:pos="1200" w:val="left"/>
        </w:tabs>
        <w:rPr>
          <w:sz w:val="20"/>
          <w:szCs w:val="20"/>
          <w:color w:val="auto"/>
        </w:rPr>
      </w:pPr>
      <w:r>
        <w:rPr>
          <w:rFonts w:ascii="Arial" w:cs="Arial" w:eastAsia="Arial" w:hAnsi="Arial"/>
          <w:sz w:val="16"/>
          <w:szCs w:val="16"/>
          <w:b w:val="1"/>
          <w:bCs w:val="1"/>
          <w:u w:val="single" w:color="auto"/>
          <w:color w:val="auto"/>
        </w:rPr>
        <w:t>ITEM 2</w:t>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62" w:lineRule="exact"/>
        <w:rPr>
          <w:sz w:val="20"/>
          <w:szCs w:val="20"/>
          <w:color w:val="auto"/>
        </w:rPr>
      </w:pPr>
    </w:p>
    <w:p>
      <w:pPr>
        <w:jc w:val="both"/>
        <w:ind w:firstLine="608"/>
        <w:spacing w:after="0" w:line="272" w:lineRule="auto"/>
        <w:rPr>
          <w:sz w:val="20"/>
          <w:szCs w:val="20"/>
          <w:color w:val="auto"/>
        </w:rPr>
      </w:pPr>
      <w:r>
        <w:rPr>
          <w:rFonts w:ascii="Arial" w:cs="Arial" w:eastAsia="Arial" w:hAnsi="Arial"/>
          <w:sz w:val="16"/>
          <w:szCs w:val="16"/>
          <w:color w:val="auto"/>
        </w:rPr>
        <w:t>We offer property and casualty insurance products to individuals and small businesses through our wholly owned subsidiary, Kingstone Insurance Company (“KICO”). KICO’s insureds are located primarily in downstate New York, consisting of New York City, Long Island and Westchester County, although we are actively writing business in New Jersey, Rhode Island, Pennsylvania and Massachusetts. We are licensed in the States of New York, New Jersey, Rhode Island, Massachusetts, Pennsylvania, Connecticut, Maine, New Hampshire and Texas. For the three months and six months ended June 30, 2018, respectively, 94.1% and 95.4% of KICO’s direct written premiums came from the New York policies.</w:t>
      </w:r>
    </w:p>
    <w:p>
      <w:pPr>
        <w:spacing w:after="0" w:line="110" w:lineRule="exact"/>
        <w:rPr>
          <w:sz w:val="20"/>
          <w:szCs w:val="20"/>
          <w:color w:val="auto"/>
        </w:rPr>
      </w:pPr>
    </w:p>
    <w:p>
      <w:pPr>
        <w:jc w:val="both"/>
        <w:ind w:firstLine="608"/>
        <w:spacing w:after="0" w:line="292" w:lineRule="auto"/>
        <w:rPr>
          <w:sz w:val="20"/>
          <w:szCs w:val="20"/>
          <w:color w:val="auto"/>
        </w:rPr>
      </w:pPr>
      <w:r>
        <w:rPr>
          <w:rFonts w:ascii="Arial" w:cs="Arial" w:eastAsia="Arial" w:hAnsi="Arial"/>
          <w:sz w:val="15"/>
          <w:szCs w:val="15"/>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 year term. Earned premiums represent premiums received from insureds, which are recognized as revenue over the period of time that insurance coverage is provided (i.e., ratably over the one 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96" w:lineRule="exact"/>
        <w:rPr>
          <w:sz w:val="20"/>
          <w:szCs w:val="20"/>
          <w:color w:val="auto"/>
        </w:rPr>
      </w:pPr>
    </w:p>
    <w:p>
      <w:pPr>
        <w:jc w:val="both"/>
        <w:ind w:firstLine="608"/>
        <w:spacing w:after="0" w:line="298" w:lineRule="auto"/>
        <w:rPr>
          <w:sz w:val="20"/>
          <w:szCs w:val="20"/>
          <w:color w:val="auto"/>
        </w:rPr>
      </w:pPr>
      <w:r>
        <w:rPr>
          <w:rFonts w:ascii="Arial" w:cs="Arial" w:eastAsia="Arial" w:hAnsi="Arial"/>
          <w:sz w:val="15"/>
          <w:szCs w:val="15"/>
          <w:color w:val="auto"/>
        </w:rPr>
        <w:t>Our expenses include the insurance underwriting expenses of KICO and other operating expenses. Insurance companies incur a significant amount of their total expenses from losses incurred by policyholders, which are commonly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93"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Other operating expenses include our corporate expenses as a holding company. These expenses include legal and auditing fees, executive employment costs, interest expense and other costs directly associated with being a public company.</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Lines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active product lines include the following:</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 xml:space="preserve">Personal lines: </w:t>
      </w:r>
      <w:r>
        <w:rPr>
          <w:rFonts w:ascii="Arial" w:cs="Arial" w:eastAsia="Arial" w:hAnsi="Arial"/>
          <w:sz w:val="15"/>
          <w:szCs w:val="15"/>
          <w:color w:val="auto"/>
        </w:rPr>
        <w:t>Our largest line of business is personal lines, consisting of homeowners, dwelling fire, cooperative/condominium, renters, and personal umbrella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policies.</w:t>
      </w:r>
    </w:p>
    <w:p>
      <w:pPr>
        <w:spacing w:after="0" w:line="152" w:lineRule="exact"/>
        <w:rPr>
          <w:sz w:val="20"/>
          <w:szCs w:val="20"/>
          <w:color w:val="auto"/>
        </w:rPr>
      </w:pPr>
    </w:p>
    <w:p>
      <w:pPr>
        <w:jc w:val="both"/>
        <w:ind w:firstLine="649"/>
        <w:spacing w:after="0" w:line="275" w:lineRule="auto"/>
        <w:rPr>
          <w:sz w:val="20"/>
          <w:szCs w:val="20"/>
          <w:color w:val="auto"/>
        </w:rPr>
      </w:pPr>
      <w:r>
        <w:rPr>
          <w:rFonts w:ascii="Arial" w:cs="Arial" w:eastAsia="Arial" w:hAnsi="Arial"/>
          <w:sz w:val="16"/>
          <w:szCs w:val="16"/>
          <w:b w:val="1"/>
          <w:bCs w:val="1"/>
          <w:i w:val="1"/>
          <w:iCs w:val="1"/>
          <w:color w:val="auto"/>
        </w:rPr>
        <w:t xml:space="preserve">Commercial liability: </w:t>
      </w:r>
      <w:r>
        <w:rPr>
          <w:rFonts w:ascii="Arial" w:cs="Arial" w:eastAsia="Arial" w:hAnsi="Arial"/>
          <w:sz w:val="16"/>
          <w:szCs w:val="16"/>
          <w:color w:val="auto"/>
        </w:rPr>
        <w:t>We offer businessowners policies, which consist primarily of small business retail, service, and office risks without a residential exposure.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also write artisan’s liability policies for small independent contractors with smaller sized workforces. In addition, we write special multi-peril policies for larger and more specialized businessowners risks, including those with limited residential exposures. Further, we offer commercial umbrella policies written above our supporting commercial lines policies.</w:t>
      </w:r>
    </w:p>
    <w:p>
      <w:pPr>
        <w:spacing w:after="0" w:line="107"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b w:val="1"/>
          <w:bCs w:val="1"/>
          <w:i w:val="1"/>
          <w:iCs w:val="1"/>
          <w:color w:val="auto"/>
        </w:rPr>
        <w:t xml:space="preserve">Livery physical damage: </w:t>
      </w:r>
      <w:r>
        <w:rPr>
          <w:rFonts w:ascii="Arial" w:cs="Arial" w:eastAsia="Arial" w:hAnsi="Arial"/>
          <w:sz w:val="16"/>
          <w:szCs w:val="16"/>
          <w:color w:val="auto"/>
        </w:rPr>
        <w:t>We write for-hire vehicle physical damage only policies for livery and car service vehicles and taxicabs. These policies insure only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physical damage portion of insurance for such vehicles, with no liability coverage included.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41" w:name="page42"/>
    <w:bookmarkEnd w:id="41"/>
    <w:p>
      <w:pPr>
        <w:ind w:left="600"/>
        <w:spacing w:after="0"/>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We write canine legal liability policies and also have a small participation in mandatory state joint underwriting associations.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Measures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utilize the following key measures in analyzing the results of our insurance underwriting business:</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b w:val="1"/>
          <w:bCs w:val="1"/>
          <w:i w:val="1"/>
          <w:iCs w:val="1"/>
          <w:color w:val="auto"/>
        </w:rPr>
        <w:t xml:space="preserve">Net loss ratio: </w:t>
      </w:r>
      <w:r>
        <w:rPr>
          <w:rFonts w:ascii="Arial" w:cs="Arial" w:eastAsia="Arial" w:hAnsi="Arial"/>
          <w:sz w:val="16"/>
          <w:szCs w:val="16"/>
          <w:color w:val="auto"/>
        </w:rPr>
        <w:t>The net loss ratio is a measure of the underwriting profitability of an insurance company’s business. Expressed as a percentage, this is the ratio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and loss adjustment expenses (“LAE”) incurred to net premiums earned.</w:t>
      </w:r>
    </w:p>
    <w:p>
      <w:pPr>
        <w:spacing w:after="0" w:line="91"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b w:val="1"/>
          <w:bCs w:val="1"/>
          <w:i w:val="1"/>
          <w:iCs w:val="1"/>
          <w:color w:val="auto"/>
        </w:rPr>
        <w:t xml:space="preserve">Net underwriting expense ratio: </w:t>
      </w:r>
      <w:r>
        <w:rPr>
          <w:rFonts w:ascii="Arial" w:cs="Arial" w:eastAsia="Arial" w:hAnsi="Arial"/>
          <w:sz w:val="16"/>
          <w:szCs w:val="16"/>
          <w:color w:val="auto"/>
        </w:rPr>
        <w:t>The net underwriting expense ratio is a measure of an insurance company’s operational efficiency in administering its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03"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b w:val="1"/>
          <w:bCs w:val="1"/>
          <w:i w:val="1"/>
          <w:iCs w:val="1"/>
          <w:color w:val="auto"/>
        </w:rPr>
        <w:t xml:space="preserve">Net combined ratio: </w:t>
      </w:r>
      <w:r>
        <w:rPr>
          <w:rFonts w:ascii="Arial" w:cs="Arial" w:eastAsia="Arial" w:hAnsi="Arial"/>
          <w:sz w:val="16"/>
          <w:szCs w:val="16"/>
          <w:color w:val="auto"/>
        </w:rPr>
        <w:t>The net combined ratio is a measure of an insurance company’s overall underwriting profit. This is the sum of the net loss and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underwriting expense ratios. If the net combined ratio is at or above 100 percent, an insurance company cannot be profitable without investment income, and may not be profitable if investment income is insufficient.</w:t>
      </w:r>
    </w:p>
    <w:p>
      <w:pPr>
        <w:spacing w:after="0" w:line="103"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b w:val="1"/>
          <w:bCs w:val="1"/>
          <w:i w:val="1"/>
          <w:iCs w:val="1"/>
          <w:color w:val="auto"/>
        </w:rPr>
        <w:t xml:space="preserve">Underwriting income: </w:t>
      </w:r>
      <w:r>
        <w:rPr>
          <w:rFonts w:ascii="Arial" w:cs="Arial" w:eastAsia="Arial" w:hAnsi="Arial"/>
          <w:sz w:val="16"/>
          <w:szCs w:val="16"/>
          <w:color w:val="auto"/>
        </w:rPr>
        <w:t>Underwriting income is net pre-tax income attributable to our insurance underwriting business before investment activity. Underwriting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is a measure of an insurance company’s overall operating profitability before items such as investment income, net gains from investments, depreciation and amortization, interest expense and income taxes.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62" w:lineRule="exact"/>
        <w:rPr>
          <w:sz w:val="20"/>
          <w:szCs w:val="20"/>
          <w:color w:val="auto"/>
        </w:rPr>
      </w:pPr>
    </w:p>
    <w:p>
      <w:pPr>
        <w:jc w:val="both"/>
        <w:ind w:firstLine="304"/>
        <w:spacing w:after="0" w:line="289" w:lineRule="auto"/>
        <w:rPr>
          <w:sz w:val="20"/>
          <w:szCs w:val="20"/>
          <w:color w:val="auto"/>
        </w:rPr>
      </w:pPr>
      <w:r>
        <w:rPr>
          <w:rFonts w:ascii="Arial" w:cs="Arial" w:eastAsia="Arial" w:hAnsi="Arial"/>
          <w:sz w:val="15"/>
          <w:szCs w:val="15"/>
          <w:color w:val="auto"/>
        </w:rPr>
        <w:t>Our condensed consolidated financial statements include the accounts of Kingstone Companies, Inc. and all majority-owned and controlled subsidiaries. The preparation of financial statements in conformity with accounting principles generally accepted in the United States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the current economic environment, and other factors, in forming its estimates and judgments for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the comparability of our results of operations to those of similar companies.</w:t>
      </w:r>
    </w:p>
    <w:p>
      <w:pPr>
        <w:spacing w:after="0" w:line="99" w:lineRule="exact"/>
        <w:rPr>
          <w:sz w:val="20"/>
          <w:szCs w:val="20"/>
          <w:color w:val="auto"/>
        </w:rPr>
      </w:pPr>
    </w:p>
    <w:p>
      <w:pPr>
        <w:jc w:val="both"/>
        <w:ind w:firstLine="304"/>
        <w:spacing w:after="0" w:line="275"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yet been reported prior to the reporting date, amounts recoverable from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June 30, 2018 Compared to Six Months Ended June 30, 2017</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changes in the results of our operations (in thousands)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w w:val="97"/>
              </w:rPr>
              <w:t>Six months ended June 30,</w:t>
            </w:r>
          </w:p>
        </w:tc>
        <w:tc>
          <w:tcPr>
            <w:tcW w:w="1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8"/>
              <w:spacing w:after="0" w:line="15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8"/>
              <w:spacing w:after="0" w:line="15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8"/>
              <w:spacing w:after="0" w:line="152" w:lineRule="exact"/>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jc w:val="right"/>
              <w:ind w:right="358"/>
              <w:spacing w:after="0" w:line="152"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Direct written premiums</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68,390</w:t>
            </w:r>
          </w:p>
        </w:tc>
        <w:tc>
          <w:tcPr>
            <w:tcW w:w="3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56,584</w:t>
            </w:r>
          </w:p>
        </w:tc>
        <w:tc>
          <w:tcPr>
            <w:tcW w:w="3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11,806</w:t>
            </w:r>
          </w:p>
        </w:tc>
        <w:tc>
          <w:tcPr>
            <w:tcW w:w="1360" w:type="dxa"/>
            <w:vAlign w:val="bottom"/>
          </w:tcPr>
          <w:p>
            <w:pPr>
              <w:jc w:val="right"/>
              <w:spacing w:after="0"/>
              <w:rPr>
                <w:sz w:val="20"/>
                <w:szCs w:val="20"/>
                <w:color w:val="auto"/>
              </w:rPr>
            </w:pPr>
            <w:r>
              <w:rPr>
                <w:rFonts w:ascii="Arial" w:cs="Arial" w:eastAsia="Arial" w:hAnsi="Arial"/>
                <w:sz w:val="16"/>
                <w:szCs w:val="16"/>
                <w:color w:val="auto"/>
              </w:rPr>
              <w:t>20.9%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Assumed written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68,391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56,590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11,801</w:t>
            </w:r>
          </w:p>
        </w:tc>
        <w:tc>
          <w:tcPr>
            <w:tcW w:w="1360" w:type="dxa"/>
            <w:vAlign w:val="bottom"/>
          </w:tcPr>
          <w:p>
            <w:pPr>
              <w:jc w:val="right"/>
              <w:spacing w:after="0"/>
              <w:rPr>
                <w:sz w:val="20"/>
                <w:szCs w:val="20"/>
                <w:color w:val="auto"/>
              </w:rPr>
            </w:pPr>
            <w:r>
              <w:rPr>
                <w:rFonts w:ascii="Arial" w:cs="Arial" w:eastAsia="Arial" w:hAnsi="Arial"/>
                <w:sz w:val="16"/>
                <w:szCs w:val="16"/>
                <w:color w:val="auto"/>
              </w:rPr>
              <w:t>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Ceded written premiums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500"/>
              <w:spacing w:after="0"/>
              <w:rPr>
                <w:sz w:val="20"/>
                <w:szCs w:val="20"/>
                <w:color w:val="auto"/>
              </w:rPr>
            </w:pPr>
            <w:r>
              <w:rPr>
                <w:rFonts w:ascii="Arial" w:cs="Arial" w:eastAsia="Arial" w:hAnsi="Arial"/>
                <w:sz w:val="16"/>
                <w:szCs w:val="16"/>
                <w:color w:val="auto"/>
              </w:rPr>
              <w:t>Ceded to quota share treaties</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9,610</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14,308</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(4,698)</w:t>
            </w:r>
          </w:p>
        </w:tc>
        <w:tc>
          <w:tcPr>
            <w:tcW w:w="1360" w:type="dxa"/>
            <w:vAlign w:val="bottom"/>
          </w:tcPr>
          <w:p>
            <w:pPr>
              <w:jc w:val="right"/>
              <w:spacing w:after="0"/>
              <w:rPr>
                <w:sz w:val="20"/>
                <w:szCs w:val="20"/>
                <w:color w:val="auto"/>
              </w:rPr>
            </w:pPr>
            <w:r>
              <w:rPr>
                <w:rFonts w:ascii="Arial" w:cs="Arial" w:eastAsia="Arial" w:hAnsi="Arial"/>
                <w:sz w:val="16"/>
                <w:szCs w:val="16"/>
                <w:color w:val="auto"/>
              </w:rPr>
              <w:t>(32.8)%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Ceded to excess of loss treaties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596</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636</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500"/>
              <w:spacing w:after="0"/>
              <w:rPr>
                <w:sz w:val="20"/>
                <w:szCs w:val="20"/>
                <w:color w:val="auto"/>
              </w:rPr>
            </w:pPr>
            <w:r>
              <w:rPr>
                <w:rFonts w:ascii="Arial" w:cs="Arial" w:eastAsia="Arial" w:hAnsi="Arial"/>
                <w:sz w:val="16"/>
                <w:szCs w:val="16"/>
                <w:color w:val="auto"/>
              </w:rPr>
              <w:t>Ceded to catastrophe treaties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6,520</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5,184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1,336</w:t>
            </w:r>
          </w:p>
        </w:tc>
        <w:tc>
          <w:tcPr>
            <w:tcW w:w="1360" w:type="dxa"/>
            <w:vAlign w:val="bottom"/>
          </w:tcPr>
          <w:p>
            <w:pPr>
              <w:jc w:val="right"/>
              <w:spacing w:after="0"/>
              <w:rPr>
                <w:sz w:val="20"/>
                <w:szCs w:val="20"/>
                <w:color w:val="auto"/>
              </w:rPr>
            </w:pPr>
            <w:r>
              <w:rPr>
                <w:rFonts w:ascii="Arial" w:cs="Arial" w:eastAsia="Arial" w:hAnsi="Arial"/>
                <w:sz w:val="16"/>
                <w:szCs w:val="16"/>
                <w:color w:val="auto"/>
              </w:rPr>
              <w:t>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ceded written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16,726</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20,128</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written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51,665</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36,462</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15,203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unearned premiums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Direct and assumed</w:t>
            </w:r>
          </w:p>
        </w:tc>
        <w:tc>
          <w:tcPr>
            <w:tcW w:w="38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(5,492)</w:t>
            </w:r>
          </w:p>
        </w:tc>
        <w:tc>
          <w:tcPr>
            <w:tcW w:w="34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(4,040)</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(1,452)</w:t>
            </w:r>
          </w:p>
        </w:tc>
        <w:tc>
          <w:tcPr>
            <w:tcW w:w="1360" w:type="dxa"/>
            <w:vAlign w:val="bottom"/>
          </w:tcPr>
          <w:p>
            <w:pPr>
              <w:jc w:val="right"/>
              <w:spacing w:after="0"/>
              <w:rPr>
                <w:sz w:val="20"/>
                <w:szCs w:val="20"/>
                <w:color w:val="auto"/>
              </w:rPr>
            </w:pPr>
            <w:r>
              <w:rPr>
                <w:rFonts w:ascii="Arial" w:cs="Arial" w:eastAsia="Arial" w:hAnsi="Arial"/>
                <w:sz w:val="16"/>
                <w:szCs w:val="16"/>
                <w:color w:val="auto"/>
              </w:rPr>
              <w:t>35.9%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Ceded to quota share treaties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769</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902</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200"/>
              <w:spacing w:after="0"/>
              <w:rPr>
                <w:sz w:val="20"/>
                <w:szCs w:val="20"/>
                <w:color w:val="auto"/>
              </w:rPr>
            </w:pPr>
            <w:r>
              <w:rPr>
                <w:rFonts w:ascii="Arial" w:cs="Arial" w:eastAsia="Arial" w:hAnsi="Arial"/>
                <w:sz w:val="16"/>
                <w:szCs w:val="16"/>
                <w:color w:val="auto"/>
              </w:rPr>
              <w:t>Change in net unearned premiums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(4,723)</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(3,138)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w:t>
            </w:r>
          </w:p>
        </w:tc>
        <w:tc>
          <w:tcPr>
            <w:tcW w:w="1360" w:type="dxa"/>
            <w:vAlign w:val="bottom"/>
          </w:tcPr>
          <w:p>
            <w:pPr>
              <w:jc w:val="right"/>
              <w:spacing w:after="0"/>
              <w:rPr>
                <w:sz w:val="20"/>
                <w:szCs w:val="20"/>
                <w:color w:val="auto"/>
              </w:rPr>
            </w:pPr>
            <w:r>
              <w:rPr>
                <w:rFonts w:ascii="Arial" w:cs="Arial" w:eastAsia="Arial" w:hAnsi="Arial"/>
                <w:sz w:val="16"/>
                <w:szCs w:val="16"/>
                <w:color w:val="auto"/>
              </w:rPr>
              <w:t>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Premiums earned</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Direct and assumed</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62,898</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52,549</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10,349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Ceded to reinsurance treaties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(15,956)</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(19,226)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3,270</w:t>
            </w:r>
          </w:p>
        </w:tc>
        <w:tc>
          <w:tcPr>
            <w:tcW w:w="1360" w:type="dxa"/>
            <w:vAlign w:val="bottom"/>
          </w:tcPr>
          <w:p>
            <w:pPr>
              <w:jc w:val="right"/>
              <w:spacing w:after="0"/>
              <w:rPr>
                <w:sz w:val="20"/>
                <w:szCs w:val="20"/>
                <w:color w:val="auto"/>
              </w:rPr>
            </w:pPr>
            <w:r>
              <w:rPr>
                <w:rFonts w:ascii="Arial" w:cs="Arial" w:eastAsia="Arial" w:hAnsi="Arial"/>
                <w:sz w:val="16"/>
                <w:szCs w:val="16"/>
                <w:color w:val="auto"/>
              </w:rPr>
              <w:t>(17.0)%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premiums earned</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46,942</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33,323</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13,619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Ceding commission revenue</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Excluding the effect of catastrophes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3,845</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6,490</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Effect of catastrophes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(459)</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36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ceding commission revenue</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3,386</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6,490</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Net investment income</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2,941</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1,884</w:t>
            </w:r>
          </w:p>
        </w:tc>
        <w:tc>
          <w:tcPr>
            <w:tcW w:w="300" w:type="dxa"/>
            <w:vAlign w:val="bottom"/>
          </w:tcPr>
          <w:p>
            <w:pPr>
              <w:spacing w:after="0"/>
              <w:rPr>
                <w:sz w:val="17"/>
                <w:szCs w:val="17"/>
                <w:color w:val="auto"/>
              </w:rPr>
            </w:pP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1,057</w:t>
            </w:r>
          </w:p>
        </w:tc>
        <w:tc>
          <w:tcPr>
            <w:tcW w:w="1360" w:type="dxa"/>
            <w:vAlign w:val="bottom"/>
          </w:tcPr>
          <w:p>
            <w:pPr>
              <w:jc w:val="right"/>
              <w:spacing w:after="0"/>
              <w:rPr>
                <w:sz w:val="20"/>
                <w:szCs w:val="20"/>
                <w:color w:val="auto"/>
              </w:rPr>
            </w:pPr>
            <w:r>
              <w:rPr>
                <w:rFonts w:ascii="Arial" w:cs="Arial" w:eastAsia="Arial" w:hAnsi="Arial"/>
                <w:sz w:val="16"/>
                <w:szCs w:val="16"/>
                <w:color w:val="auto"/>
              </w:rPr>
              <w:t>56.1%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(losses) gains on investments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(630)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200"/>
              <w:spacing w:after="0"/>
              <w:rPr>
                <w:sz w:val="20"/>
                <w:szCs w:val="20"/>
                <w:color w:val="auto"/>
              </w:rPr>
            </w:pPr>
            <w:r>
              <w:rPr>
                <w:rFonts w:ascii="Arial" w:cs="Arial" w:eastAsia="Arial" w:hAnsi="Arial"/>
                <w:sz w:val="16"/>
                <w:szCs w:val="16"/>
                <w:color w:val="auto"/>
              </w:rPr>
              <w:t>Other income</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609</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598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11</w:t>
            </w: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53,248</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42,371</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10,877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and loss adjustment expenses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Direct and assumed:</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25,898</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23,174</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2,724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Losses from catastrophes (1)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10,561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10,561</w:t>
            </w:r>
          </w:p>
        </w:tc>
        <w:tc>
          <w:tcPr>
            <w:tcW w:w="136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direct and assumed loss and loss adjustment expenses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36,459</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23,174</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13,285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Ceded loss and loss adjustment expenses: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3,186</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7,426</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(4,240)</w:t>
            </w:r>
          </w:p>
        </w:tc>
        <w:tc>
          <w:tcPr>
            <w:tcW w:w="1360" w:type="dxa"/>
            <w:vAlign w:val="bottom"/>
          </w:tcPr>
          <w:p>
            <w:pPr>
              <w:jc w:val="right"/>
              <w:spacing w:after="0"/>
              <w:rPr>
                <w:sz w:val="20"/>
                <w:szCs w:val="20"/>
                <w:color w:val="auto"/>
              </w:rPr>
            </w:pPr>
            <w:r>
              <w:rPr>
                <w:rFonts w:ascii="Arial" w:cs="Arial" w:eastAsia="Arial" w:hAnsi="Arial"/>
                <w:sz w:val="16"/>
                <w:szCs w:val="16"/>
                <w:color w:val="auto"/>
              </w:rPr>
              <w:t>(57.1)%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Losses from catastrophes (1)</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4,831</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4,831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Total ceded loss and loss adjustment expenses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8,017</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7,426</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591</w:t>
            </w:r>
          </w:p>
        </w:tc>
        <w:tc>
          <w:tcPr>
            <w:tcW w:w="1360" w:type="dxa"/>
            <w:vAlign w:val="bottom"/>
          </w:tcPr>
          <w:p>
            <w:pPr>
              <w:jc w:val="right"/>
              <w:spacing w:after="0"/>
              <w:rPr>
                <w:sz w:val="20"/>
                <w:szCs w:val="20"/>
                <w:color w:val="auto"/>
              </w:rPr>
            </w:pPr>
            <w:r>
              <w:rPr>
                <w:rFonts w:ascii="Arial" w:cs="Arial" w:eastAsia="Arial" w:hAnsi="Arial"/>
                <w:sz w:val="16"/>
                <w:szCs w:val="16"/>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Net loss and loss adjustment expenses: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22,712</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15,748</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6,964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Losses from catastrophes (1)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5,730</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5,730</w:t>
            </w:r>
          </w:p>
        </w:tc>
        <w:tc>
          <w:tcPr>
            <w:tcW w:w="136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loss and loss adjustment expenses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28,442</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15,748</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12,694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Commission expense</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11,817</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9,991</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1,826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Other underwriting expenses</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10,107</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8,412</w:t>
            </w:r>
          </w:p>
        </w:tc>
        <w:tc>
          <w:tcPr>
            <w:tcW w:w="300" w:type="dxa"/>
            <w:vAlign w:val="bottom"/>
          </w:tcPr>
          <w:p>
            <w:pPr>
              <w:spacing w:after="0"/>
              <w:rPr>
                <w:sz w:val="17"/>
                <w:szCs w:val="17"/>
                <w:color w:val="auto"/>
              </w:rPr>
            </w:pP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1,695</w:t>
            </w:r>
          </w:p>
        </w:tc>
        <w:tc>
          <w:tcPr>
            <w:tcW w:w="1360" w:type="dxa"/>
            <w:vAlign w:val="bottom"/>
          </w:tcPr>
          <w:p>
            <w:pPr>
              <w:jc w:val="right"/>
              <w:spacing w:after="0"/>
              <w:rPr>
                <w:sz w:val="20"/>
                <w:szCs w:val="20"/>
                <w:color w:val="auto"/>
              </w:rPr>
            </w:pPr>
            <w:r>
              <w:rPr>
                <w:rFonts w:ascii="Arial" w:cs="Arial" w:eastAsia="Arial" w:hAnsi="Arial"/>
                <w:sz w:val="16"/>
                <w:szCs w:val="16"/>
                <w:color w:val="auto"/>
              </w:rPr>
              <w:t>20.1%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operating expenses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1,091</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1,662</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834</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645</w:t>
            </w:r>
          </w:p>
        </w:tc>
        <w:tc>
          <w:tcPr>
            <w:tcW w:w="300" w:type="dxa"/>
            <w:vAlign w:val="bottom"/>
          </w:tcPr>
          <w:p>
            <w:pPr>
              <w:spacing w:after="0"/>
              <w:rPr>
                <w:sz w:val="17"/>
                <w:szCs w:val="17"/>
                <w:color w:val="auto"/>
              </w:rPr>
            </w:pP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189</w:t>
            </w:r>
          </w:p>
        </w:tc>
        <w:tc>
          <w:tcPr>
            <w:tcW w:w="1360" w:type="dxa"/>
            <w:vAlign w:val="bottom"/>
          </w:tcPr>
          <w:p>
            <w:pPr>
              <w:jc w:val="right"/>
              <w:spacing w:after="0"/>
              <w:rPr>
                <w:sz w:val="20"/>
                <w:szCs w:val="20"/>
                <w:color w:val="auto"/>
              </w:rPr>
            </w:pPr>
            <w:r>
              <w:rPr>
                <w:rFonts w:ascii="Arial" w:cs="Arial" w:eastAsia="Arial" w:hAnsi="Arial"/>
                <w:sz w:val="16"/>
                <w:szCs w:val="16"/>
                <w:color w:val="auto"/>
              </w:rPr>
              <w:t>29.3%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909</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909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Total expenses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53,200</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36,458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16,742</w:t>
            </w:r>
          </w:p>
        </w:tc>
        <w:tc>
          <w:tcPr>
            <w:tcW w:w="1360" w:type="dxa"/>
            <w:vAlign w:val="bottom"/>
          </w:tcPr>
          <w:p>
            <w:pPr>
              <w:jc w:val="right"/>
              <w:spacing w:after="0"/>
              <w:rPr>
                <w:sz w:val="20"/>
                <w:szCs w:val="20"/>
                <w:color w:val="auto"/>
              </w:rPr>
            </w:pPr>
            <w:r>
              <w:rPr>
                <w:rFonts w:ascii="Arial" w:cs="Arial" w:eastAsia="Arial" w:hAnsi="Arial"/>
                <w:sz w:val="16"/>
                <w:szCs w:val="16"/>
                <w:color w:val="auto"/>
              </w:rPr>
              <w:t>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Income from operations before taxes</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48</w:t>
            </w:r>
          </w:p>
        </w:tc>
        <w:tc>
          <w:tcPr>
            <w:tcW w:w="340" w:type="dxa"/>
            <w:vAlign w:val="bottom"/>
          </w:tcPr>
          <w:p>
            <w:pPr>
              <w:spacing w:after="0"/>
              <w:rPr>
                <w:sz w:val="17"/>
                <w:szCs w:val="17"/>
                <w:color w:val="auto"/>
              </w:rPr>
            </w:pPr>
          </w:p>
        </w:tc>
        <w:tc>
          <w:tcPr>
            <w:tcW w:w="1020" w:type="dxa"/>
            <w:vAlign w:val="bottom"/>
          </w:tcPr>
          <w:p>
            <w:pPr>
              <w:jc w:val="right"/>
              <w:ind w:right="78"/>
              <w:spacing w:after="0"/>
              <w:rPr>
                <w:sz w:val="20"/>
                <w:szCs w:val="20"/>
                <w:color w:val="auto"/>
              </w:rPr>
            </w:pPr>
            <w:r>
              <w:rPr>
                <w:rFonts w:ascii="Arial" w:cs="Arial" w:eastAsia="Arial" w:hAnsi="Arial"/>
                <w:sz w:val="16"/>
                <w:szCs w:val="16"/>
                <w:color w:val="auto"/>
              </w:rPr>
              <w:t>5,913</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(5,865)</w:t>
            </w:r>
          </w:p>
        </w:tc>
        <w:tc>
          <w:tcPr>
            <w:tcW w:w="1360" w:type="dxa"/>
            <w:vAlign w:val="bottom"/>
          </w:tcPr>
          <w:p>
            <w:pPr>
              <w:jc w:val="right"/>
              <w:spacing w:after="0"/>
              <w:rPr>
                <w:sz w:val="20"/>
                <w:szCs w:val="20"/>
                <w:color w:val="auto"/>
              </w:rPr>
            </w:pPr>
            <w:r>
              <w:rPr>
                <w:rFonts w:ascii="Arial" w:cs="Arial" w:eastAsia="Arial" w:hAnsi="Arial"/>
                <w:sz w:val="16"/>
                <w:szCs w:val="16"/>
                <w:color w:val="auto"/>
              </w:rPr>
              <w:t>(99.2)%</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1,932</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39</w:t>
            </w:r>
          </w:p>
        </w:tc>
        <w:tc>
          <w:tcPr>
            <w:tcW w:w="3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3,981</w:t>
            </w:r>
          </w:p>
        </w:tc>
        <w:tc>
          <w:tcPr>
            <w:tcW w:w="3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(3,942)</w:t>
            </w:r>
          </w:p>
        </w:tc>
        <w:tc>
          <w:tcPr>
            <w:tcW w:w="1360" w:type="dxa"/>
            <w:vAlign w:val="bottom"/>
          </w:tcPr>
          <w:p>
            <w:pPr>
              <w:jc w:val="right"/>
              <w:spacing w:after="0"/>
              <w:rPr>
                <w:sz w:val="20"/>
                <w:szCs w:val="20"/>
                <w:color w:val="auto"/>
              </w:rPr>
            </w:pPr>
            <w:r>
              <w:rPr>
                <w:rFonts w:ascii="Arial" w:cs="Arial" w:eastAsia="Arial" w:hAnsi="Arial"/>
                <w:sz w:val="16"/>
                <w:szCs w:val="16"/>
                <w:color w:val="auto"/>
              </w:rPr>
              <w:t>(99.0)%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600" w:right="60" w:hanging="295"/>
        <w:spacing w:after="0" w:line="280"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six months ended June 30, 2018 includes catastrophe losses defined as losses, which are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80"/>
          </w:cols>
          <w:pgMar w:left="240" w:top="532" w:right="179" w:bottom="797"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2"/>
          </w:tcPr>
          <w:p>
            <w:pPr>
              <w:jc w:val="right"/>
              <w:ind w:right="504"/>
              <w:spacing w:after="0"/>
              <w:rPr>
                <w:sz w:val="20"/>
                <w:szCs w:val="20"/>
                <w:color w:val="auto"/>
              </w:rPr>
            </w:pPr>
            <w:r>
              <w:rPr>
                <w:rFonts w:ascii="Arial" w:cs="Arial" w:eastAsia="Arial" w:hAnsi="Arial"/>
                <w:sz w:val="14"/>
                <w:szCs w:val="14"/>
                <w:b w:val="1"/>
                <w:bCs w:val="1"/>
                <w:color w:val="auto"/>
              </w:rPr>
              <w:t>Six months ended June 30,</w:t>
            </w:r>
          </w:p>
        </w:tc>
        <w:tc>
          <w:tcPr>
            <w:tcW w:w="1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5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jc w:val="center"/>
              <w:ind w:right="104"/>
              <w:spacing w:after="0" w:line="139" w:lineRule="exact"/>
              <w:rPr>
                <w:sz w:val="20"/>
                <w:szCs w:val="20"/>
                <w:color w:val="auto"/>
              </w:rPr>
            </w:pPr>
            <w:r>
              <w:rPr>
                <w:rFonts w:ascii="Arial" w:cs="Arial" w:eastAsia="Arial" w:hAnsi="Arial"/>
                <w:sz w:val="14"/>
                <w:szCs w:val="14"/>
                <w:b w:val="1"/>
                <w:bCs w:val="1"/>
                <w:color w:val="auto"/>
                <w:w w:val="87"/>
              </w:rPr>
              <w:t>Percentage</w:t>
            </w: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2"/>
        </w:trPr>
        <w:tc>
          <w:tcPr>
            <w:tcW w:w="5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jc w:val="center"/>
              <w:ind w:right="84"/>
              <w:spacing w:after="0" w:line="152" w:lineRule="exact"/>
              <w:rPr>
                <w:sz w:val="20"/>
                <w:szCs w:val="20"/>
                <w:color w:val="auto"/>
              </w:rPr>
            </w:pPr>
            <w:r>
              <w:rPr>
                <w:rFonts w:ascii="Arial" w:cs="Arial" w:eastAsia="Arial" w:hAnsi="Arial"/>
                <w:sz w:val="14"/>
                <w:szCs w:val="14"/>
                <w:b w:val="1"/>
                <w:bCs w:val="1"/>
                <w:color w:val="auto"/>
                <w:w w:val="91"/>
              </w:rPr>
              <w:t>Point</w:t>
            </w:r>
          </w:p>
        </w:tc>
        <w:tc>
          <w:tcPr>
            <w:tcW w:w="1380" w:type="dxa"/>
            <w:vAlign w:val="bottom"/>
            <w:gridSpan w:val="2"/>
          </w:tcPr>
          <w:p>
            <w:pPr>
              <w:ind w:left="480"/>
              <w:spacing w:after="0" w:line="152" w:lineRule="exact"/>
              <w:rPr>
                <w:sz w:val="20"/>
                <w:szCs w:val="20"/>
                <w:color w:val="auto"/>
              </w:rPr>
            </w:pPr>
            <w:r>
              <w:rPr>
                <w:rFonts w:ascii="Arial" w:cs="Arial" w:eastAsia="Arial" w:hAnsi="Arial"/>
                <w:sz w:val="14"/>
                <w:szCs w:val="14"/>
                <w:b w:val="1"/>
                <w:bCs w:val="1"/>
                <w:color w:val="auto"/>
              </w:rPr>
              <w:t>Percent</w:t>
            </w:r>
          </w:p>
        </w:tc>
      </w:tr>
      <w:tr>
        <w:trPr>
          <w:trHeight w:val="171"/>
        </w:trPr>
        <w:tc>
          <w:tcPr>
            <w:tcW w:w="6840" w:type="dxa"/>
            <w:vAlign w:val="bottom"/>
            <w:gridSpan w:val="2"/>
          </w:tcPr>
          <w:p>
            <w:pPr>
              <w:ind w:left="6500"/>
              <w:spacing w:after="0"/>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4"/>
                <w:szCs w:val="14"/>
                <w:color w:val="auto"/>
              </w:rPr>
            </w:pPr>
          </w:p>
        </w:tc>
        <w:tc>
          <w:tcPr>
            <w:tcW w:w="1260" w:type="dxa"/>
            <w:vAlign w:val="bottom"/>
          </w:tcPr>
          <w:p>
            <w:pPr>
              <w:jc w:val="right"/>
              <w:ind w:right="643"/>
              <w:spacing w:after="0"/>
              <w:rPr>
                <w:sz w:val="20"/>
                <w:szCs w:val="20"/>
                <w:color w:val="auto"/>
              </w:rPr>
            </w:pPr>
            <w:r>
              <w:rPr>
                <w:rFonts w:ascii="Arial" w:cs="Arial" w:eastAsia="Arial" w:hAnsi="Arial"/>
                <w:sz w:val="14"/>
                <w:szCs w:val="14"/>
                <w:b w:val="1"/>
                <w:bCs w:val="1"/>
                <w:color w:val="auto"/>
              </w:rPr>
              <w:t>2017</w:t>
            </w:r>
          </w:p>
        </w:tc>
        <w:tc>
          <w:tcPr>
            <w:tcW w:w="120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Change</w:t>
            </w:r>
          </w:p>
        </w:tc>
        <w:tc>
          <w:tcPr>
            <w:tcW w:w="1380" w:type="dxa"/>
            <w:vAlign w:val="bottom"/>
            <w:gridSpan w:val="2"/>
          </w:tcPr>
          <w:p>
            <w:pPr>
              <w:ind w:left="460"/>
              <w:spacing w:after="0"/>
              <w:rPr>
                <w:sz w:val="20"/>
                <w:szCs w:val="20"/>
                <w:color w:val="auto"/>
              </w:rPr>
            </w:pPr>
            <w:r>
              <w:rPr>
                <w:rFonts w:ascii="Arial" w:cs="Arial" w:eastAsia="Arial" w:hAnsi="Arial"/>
                <w:sz w:val="14"/>
                <w:szCs w:val="14"/>
                <w:b w:val="1"/>
                <w:bCs w:val="1"/>
                <w:color w:val="auto"/>
              </w:rPr>
              <w:t>Change</w:t>
            </w:r>
          </w:p>
        </w:tc>
      </w:tr>
      <w:tr>
        <w:trPr>
          <w:trHeight w:val="228"/>
        </w:trPr>
        <w:tc>
          <w:tcPr>
            <w:tcW w:w="59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Key ratios:</w:t>
            </w: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6840" w:type="dxa"/>
            <w:vAlign w:val="bottom"/>
            <w:gridSpan w:val="2"/>
          </w:tcPr>
          <w:p>
            <w:pPr>
              <w:ind w:left="200"/>
              <w:spacing w:after="0"/>
              <w:rPr>
                <w:sz w:val="20"/>
                <w:szCs w:val="20"/>
                <w:color w:val="auto"/>
              </w:rPr>
            </w:pPr>
            <w:r>
              <w:rPr>
                <w:rFonts w:ascii="Arial" w:cs="Arial" w:eastAsia="Arial" w:hAnsi="Arial"/>
                <w:sz w:val="16"/>
                <w:szCs w:val="16"/>
                <w:color w:val="auto"/>
              </w:rPr>
              <w:t>Net loss ratio</w:t>
            </w:r>
          </w:p>
        </w:tc>
        <w:tc>
          <w:tcPr>
            <w:tcW w:w="760" w:type="dxa"/>
            <w:vAlign w:val="bottom"/>
          </w:tcPr>
          <w:p>
            <w:pPr>
              <w:jc w:val="right"/>
              <w:ind w:right="198"/>
              <w:spacing w:after="0"/>
              <w:rPr>
                <w:sz w:val="20"/>
                <w:szCs w:val="20"/>
                <w:color w:val="auto"/>
              </w:rPr>
            </w:pPr>
            <w:r>
              <w:rPr>
                <w:rFonts w:ascii="Arial" w:cs="Arial" w:eastAsia="Arial" w:hAnsi="Arial"/>
                <w:sz w:val="16"/>
                <w:szCs w:val="16"/>
                <w:color w:val="auto"/>
              </w:rPr>
              <w:t>60.6%</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47.3%</w:t>
            </w:r>
          </w:p>
        </w:tc>
        <w:tc>
          <w:tcPr>
            <w:tcW w:w="1200" w:type="dxa"/>
            <w:vAlign w:val="bottom"/>
          </w:tcPr>
          <w:p>
            <w:pPr>
              <w:jc w:val="right"/>
              <w:ind w:right="64"/>
              <w:spacing w:after="0"/>
              <w:rPr>
                <w:sz w:val="20"/>
                <w:szCs w:val="20"/>
                <w:color w:val="auto"/>
              </w:rPr>
            </w:pPr>
            <w:r>
              <w:rPr>
                <w:rFonts w:ascii="Arial" w:cs="Arial" w:eastAsia="Arial" w:hAnsi="Arial"/>
                <w:sz w:val="16"/>
                <w:szCs w:val="16"/>
                <w:color w:val="auto"/>
              </w:rPr>
              <w:t>13.3</w:t>
            </w:r>
          </w:p>
        </w:tc>
        <w:tc>
          <w:tcPr>
            <w:tcW w:w="1360" w:type="dxa"/>
            <w:vAlign w:val="bottom"/>
          </w:tcPr>
          <w:p>
            <w:pPr>
              <w:jc w:val="right"/>
              <w:spacing w:after="0"/>
              <w:rPr>
                <w:sz w:val="20"/>
                <w:szCs w:val="20"/>
                <w:color w:val="auto"/>
              </w:rPr>
            </w:pPr>
            <w:r>
              <w:rPr>
                <w:rFonts w:ascii="Arial" w:cs="Arial" w:eastAsia="Arial" w:hAnsi="Arial"/>
                <w:sz w:val="16"/>
                <w:szCs w:val="16"/>
                <w:color w:val="auto"/>
              </w:rPr>
              <w:t>28.1%</w:t>
            </w:r>
          </w:p>
        </w:tc>
        <w:tc>
          <w:tcPr>
            <w:tcW w:w="20" w:type="dxa"/>
            <w:vAlign w:val="bottom"/>
          </w:tcPr>
          <w:p>
            <w:pPr>
              <w:spacing w:after="0"/>
              <w:rPr>
                <w:sz w:val="17"/>
                <w:szCs w:val="17"/>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underwriting expense ratio</w:t>
            </w:r>
          </w:p>
        </w:tc>
        <w:tc>
          <w:tcPr>
            <w:tcW w:w="8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38.2%</w:t>
            </w:r>
          </w:p>
        </w:tc>
        <w:tc>
          <w:tcPr>
            <w:tcW w:w="1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34.1%</w:t>
            </w:r>
          </w:p>
        </w:tc>
        <w:tc>
          <w:tcPr>
            <w:tcW w:w="1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4.1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8"/>
                <w:szCs w:val="18"/>
                <w:color w:val="auto"/>
              </w:rPr>
            </w:pPr>
          </w:p>
        </w:tc>
      </w:tr>
      <w:tr>
        <w:trPr>
          <w:trHeight w:val="203"/>
        </w:trPr>
        <w:tc>
          <w:tcPr>
            <w:tcW w:w="6840" w:type="dxa"/>
            <w:vAlign w:val="bottom"/>
            <w:gridSpan w:val="2"/>
          </w:tcPr>
          <w:p>
            <w:pPr>
              <w:ind w:left="200"/>
              <w:spacing w:after="0"/>
              <w:rPr>
                <w:sz w:val="20"/>
                <w:szCs w:val="20"/>
                <w:color w:val="auto"/>
              </w:rPr>
            </w:pPr>
            <w:r>
              <w:rPr>
                <w:rFonts w:ascii="Arial" w:cs="Arial" w:eastAsia="Arial" w:hAnsi="Arial"/>
                <w:sz w:val="16"/>
                <w:szCs w:val="16"/>
                <w:color w:val="auto"/>
              </w:rPr>
              <w:t>Net combined ratio</w:t>
            </w:r>
          </w:p>
        </w:tc>
        <w:tc>
          <w:tcPr>
            <w:tcW w:w="760" w:type="dxa"/>
            <w:vAlign w:val="bottom"/>
          </w:tcPr>
          <w:p>
            <w:pPr>
              <w:jc w:val="right"/>
              <w:ind w:right="198"/>
              <w:spacing w:after="0"/>
              <w:rPr>
                <w:sz w:val="20"/>
                <w:szCs w:val="20"/>
                <w:color w:val="auto"/>
              </w:rPr>
            </w:pPr>
            <w:r>
              <w:rPr>
                <w:rFonts w:ascii="Arial" w:cs="Arial" w:eastAsia="Arial" w:hAnsi="Arial"/>
                <w:sz w:val="16"/>
                <w:szCs w:val="16"/>
                <w:color w:val="auto"/>
              </w:rPr>
              <w:t>98.8%</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81.4%</w:t>
            </w:r>
          </w:p>
        </w:tc>
        <w:tc>
          <w:tcPr>
            <w:tcW w:w="1200" w:type="dxa"/>
            <w:vAlign w:val="bottom"/>
          </w:tcPr>
          <w:p>
            <w:pPr>
              <w:jc w:val="right"/>
              <w:ind w:right="64"/>
              <w:spacing w:after="0"/>
              <w:rPr>
                <w:sz w:val="20"/>
                <w:szCs w:val="20"/>
                <w:color w:val="auto"/>
              </w:rPr>
            </w:pPr>
            <w:r>
              <w:rPr>
                <w:rFonts w:ascii="Arial" w:cs="Arial" w:eastAsia="Arial" w:hAnsi="Arial"/>
                <w:sz w:val="16"/>
                <w:szCs w:val="16"/>
                <w:color w:val="auto"/>
              </w:rPr>
              <w:t>17.4</w:t>
            </w:r>
          </w:p>
        </w:tc>
        <w:tc>
          <w:tcPr>
            <w:tcW w:w="1360" w:type="dxa"/>
            <w:vAlign w:val="bottom"/>
          </w:tcPr>
          <w:p>
            <w:pPr>
              <w:jc w:val="right"/>
              <w:spacing w:after="0"/>
              <w:rPr>
                <w:sz w:val="20"/>
                <w:szCs w:val="20"/>
                <w:color w:val="auto"/>
              </w:rPr>
            </w:pPr>
            <w:r>
              <w:rPr>
                <w:rFonts w:ascii="Arial" w:cs="Arial" w:eastAsia="Arial" w:hAnsi="Arial"/>
                <w:sz w:val="16"/>
                <w:szCs w:val="16"/>
                <w:color w:val="auto"/>
              </w:rPr>
              <w:t>21.4%</w:t>
            </w:r>
          </w:p>
        </w:tc>
        <w:tc>
          <w:tcPr>
            <w:tcW w:w="2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Direct Written Premiums</w:t>
      </w:r>
    </w:p>
    <w:p>
      <w:pPr>
        <w:spacing w:after="0" w:line="158"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6"/>
          <w:szCs w:val="16"/>
          <w:color w:val="auto"/>
        </w:rPr>
        <w:t>Direct written premiums during the six months ended June 30, 2018 (“2018”) were $68,390,000 compared to $56,584,000 during the six months ended June 30, 2017 (“2017”). The increase of $11,806,000, or 20.9%, was primarily due to an increase in policies in-force during 2018 as compared to 2017 driven by continued growth in new business. We wrote more new policies as a result of continued demand for our products in the markets that we serve. We believe that a portion of our growth in new policies is attributable to our upgraded A.M. Best rating of A- that we received in April 2017. During 2017, we started writing homeowners policies in New Jersey and Rhode Island. In 2018, we started writing homeowners policies in Massachusetts. We refer to our New York business as our “Core” business and the business outside of New York as our “Expansion” business. Direct written premiums from our Expansion business were $3,064,000 in 2018, compared to $229,000 in 2017. Policies in-force increased by 20.3% as of June 30, 2018 compared to June 30, 2017.</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Written Premiums and Net Premiums Earned</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The following table describes the quota share reinsurance ceding rates in effect during 2018 and 2017. For purposes of the discussion herein, the change in the quota share ceding rates on July 1, 2017 will be referred to as “the Cut-off”. This table should be referred to in conjunction with the discussions for net written premiums, net premiums earned, ceding commission revenue and net loss and loss adjustment expenses that follow.</w:t>
      </w:r>
    </w:p>
    <w:p>
      <w:pPr>
        <w:spacing w:after="0" w:line="99"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Six months ended</w:t>
      </w:r>
    </w:p>
    <w:p>
      <w:pPr>
        <w:ind w:left="9700"/>
        <w:spacing w:after="0" w:line="233"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63"/>
        </w:trPr>
        <w:tc>
          <w:tcPr>
            <w:tcW w:w="8460" w:type="dxa"/>
            <w:vAlign w:val="bottom"/>
          </w:tcPr>
          <w:p>
            <w:pPr>
              <w:spacing w:after="0"/>
              <w:rPr>
                <w:sz w:val="14"/>
                <w:szCs w:val="14"/>
                <w:color w:val="auto"/>
              </w:rPr>
            </w:pPr>
          </w:p>
        </w:tc>
        <w:tc>
          <w:tcPr>
            <w:tcW w:w="138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89"/>
              </w:rPr>
              <w:t>2018</w:t>
            </w:r>
          </w:p>
        </w:tc>
        <w:tc>
          <w:tcPr>
            <w:tcW w:w="1580" w:type="dxa"/>
            <w:vAlign w:val="bottom"/>
            <w:tcBorders>
              <w:top w:val="single" w:sz="8" w:color="auto"/>
            </w:tcBorders>
            <w:gridSpan w:val="2"/>
          </w:tcPr>
          <w:p>
            <w:pPr>
              <w:jc w:val="center"/>
              <w:ind w:left="144"/>
              <w:spacing w:after="0" w:line="157" w:lineRule="exact"/>
              <w:rPr>
                <w:sz w:val="20"/>
                <w:szCs w:val="20"/>
                <w:color w:val="auto"/>
              </w:rPr>
            </w:pPr>
            <w:r>
              <w:rPr>
                <w:rFonts w:ascii="Arial" w:cs="Arial" w:eastAsia="Arial" w:hAnsi="Arial"/>
                <w:sz w:val="14"/>
                <w:szCs w:val="14"/>
                <w:b w:val="1"/>
                <w:bCs w:val="1"/>
                <w:color w:val="auto"/>
                <w:w w:val="89"/>
              </w:rPr>
              <w:t>2017</w:t>
            </w:r>
          </w:p>
        </w:tc>
      </w:tr>
      <w:tr>
        <w:trPr>
          <w:trHeight w:val="139"/>
        </w:trPr>
        <w:tc>
          <w:tcPr>
            <w:tcW w:w="8460" w:type="dxa"/>
            <w:vAlign w:val="bottom"/>
          </w:tcPr>
          <w:p>
            <w:pPr>
              <w:spacing w:after="0"/>
              <w:rPr>
                <w:sz w:val="12"/>
                <w:szCs w:val="12"/>
                <w:color w:val="auto"/>
              </w:rPr>
            </w:pPr>
          </w:p>
        </w:tc>
        <w:tc>
          <w:tcPr>
            <w:tcW w:w="13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("2017/2019</w:t>
            </w:r>
          </w:p>
        </w:tc>
        <w:tc>
          <w:tcPr>
            <w:tcW w:w="2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("2016/2017</w:t>
            </w:r>
          </w:p>
        </w:tc>
      </w:tr>
      <w:tr>
        <w:trPr>
          <w:trHeight w:val="182"/>
        </w:trPr>
        <w:tc>
          <w:tcPr>
            <w:tcW w:w="8460" w:type="dxa"/>
            <w:vAlign w:val="bottom"/>
          </w:tcPr>
          <w:p>
            <w:pPr>
              <w:spacing w:after="0"/>
              <w:rPr>
                <w:sz w:val="15"/>
                <w:szCs w:val="15"/>
                <w:color w:val="auto"/>
              </w:rPr>
            </w:pPr>
          </w:p>
        </w:tc>
        <w:tc>
          <w:tcPr>
            <w:tcW w:w="1380" w:type="dxa"/>
            <w:vAlign w:val="bottom"/>
          </w:tcPr>
          <w:p>
            <w:pPr>
              <w:ind w:left="440"/>
              <w:spacing w:after="0"/>
              <w:rPr>
                <w:sz w:val="20"/>
                <w:szCs w:val="20"/>
                <w:color w:val="auto"/>
              </w:rPr>
            </w:pPr>
            <w:r>
              <w:rPr>
                <w:rFonts w:ascii="Arial" w:cs="Arial" w:eastAsia="Arial" w:hAnsi="Arial"/>
                <w:sz w:val="14"/>
                <w:szCs w:val="14"/>
                <w:b w:val="1"/>
                <w:bCs w:val="1"/>
                <w:color w:val="auto"/>
              </w:rPr>
              <w:t>Treaty")</w:t>
            </w:r>
          </w:p>
        </w:tc>
        <w:tc>
          <w:tcPr>
            <w:tcW w:w="220" w:type="dxa"/>
            <w:vAlign w:val="bottom"/>
          </w:tcPr>
          <w:p>
            <w:pPr>
              <w:spacing w:after="0"/>
              <w:rPr>
                <w:sz w:val="15"/>
                <w:szCs w:val="15"/>
                <w:color w:val="auto"/>
              </w:rPr>
            </w:pP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Treaty")</w:t>
            </w:r>
          </w:p>
        </w:tc>
      </w:tr>
      <w:tr>
        <w:trPr>
          <w:trHeight w:val="186"/>
        </w:trPr>
        <w:tc>
          <w:tcPr>
            <w:tcW w:w="8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Quota share reinsurance rates</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9"/>
        </w:trPr>
        <w:tc>
          <w:tcPr>
            <w:tcW w:w="8460" w:type="dxa"/>
            <w:vAlign w:val="bottom"/>
          </w:tcPr>
          <w:p>
            <w:pPr>
              <w:ind w:left="340"/>
              <w:spacing w:after="0"/>
              <w:rPr>
                <w:sz w:val="20"/>
                <w:szCs w:val="20"/>
                <w:color w:val="auto"/>
              </w:rPr>
            </w:pPr>
            <w:r>
              <w:rPr>
                <w:rFonts w:ascii="Arial" w:cs="Arial" w:eastAsia="Arial" w:hAnsi="Arial"/>
                <w:sz w:val="16"/>
                <w:szCs w:val="16"/>
                <w:color w:val="auto"/>
              </w:rPr>
              <w:t>Personal lines</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580" w:type="dxa"/>
            <w:vAlign w:val="bottom"/>
            <w:gridSpan w:val="2"/>
          </w:tcPr>
          <w:p>
            <w:pPr>
              <w:jc w:val="center"/>
              <w:ind w:left="164"/>
              <w:spacing w:after="0"/>
              <w:rPr>
                <w:sz w:val="20"/>
                <w:szCs w:val="20"/>
                <w:color w:val="auto"/>
              </w:rPr>
            </w:pPr>
            <w:r>
              <w:rPr>
                <w:rFonts w:ascii="Arial" w:cs="Arial" w:eastAsia="Arial" w:hAnsi="Arial"/>
                <w:sz w:val="16"/>
                <w:szCs w:val="16"/>
                <w:color w:val="auto"/>
                <w:w w:val="93"/>
              </w:rPr>
              <w:t>40%</w:t>
            </w:r>
          </w:p>
        </w:tc>
      </w:tr>
    </w:tbl>
    <w:p>
      <w:pPr>
        <w:spacing w:after="0" w:line="18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See “Reinsurance” below for changes to our personal lines quota share treaty effective July 1, 2017.</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44" w:name="page45"/>
    <w:bookmarkEnd w:id="44"/>
    <w:p>
      <w:pPr>
        <w:jc w:val="both"/>
        <w:ind w:firstLine="608"/>
        <w:spacing w:after="0" w:line="272" w:lineRule="auto"/>
        <w:rPr>
          <w:sz w:val="20"/>
          <w:szCs w:val="20"/>
          <w:color w:val="auto"/>
        </w:rPr>
      </w:pPr>
      <w:r>
        <w:rPr>
          <w:rFonts w:ascii="Arial" w:cs="Arial" w:eastAsia="Arial" w:hAnsi="Arial"/>
          <w:sz w:val="16"/>
          <w:szCs w:val="16"/>
          <w:color w:val="auto"/>
        </w:rPr>
        <w:t>Net written premiums increased $15,203,000, or 41.7%, to $51,665,000 in 2018 from $36,462,000 in 2017.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 The increase in net written premiums is due to growth and the reduction of our personal lines quota share reinsurance rate to 20% on July 1, 2017.</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Excess of loss reinsurance treaties</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An increase in written premiums will, to a lesser extent, increase the premiums ceded under our excess of loss treaties. In 2018, our ceded excess of loss reinsurance premiums decreased by $40,000 over the comparable ceded premiums for 2017. The decrease was due to more favorable reinsurance rates in 2018, partially offset by an increase in premiums subject to excess of loss reinsurance.</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Catastrophe reinsurance treaties</w:t>
      </w:r>
    </w:p>
    <w:p>
      <w:pPr>
        <w:spacing w:after="0" w:line="158" w:lineRule="exact"/>
        <w:rPr>
          <w:sz w:val="20"/>
          <w:szCs w:val="20"/>
          <w:color w:val="auto"/>
        </w:rPr>
      </w:pPr>
    </w:p>
    <w:p>
      <w:pPr>
        <w:jc w:val="both"/>
        <w:ind w:firstLine="608"/>
        <w:spacing w:after="0" w:line="270" w:lineRule="auto"/>
        <w:rPr>
          <w:sz w:val="20"/>
          <w:szCs w:val="20"/>
          <w:color w:val="auto"/>
        </w:rPr>
      </w:pPr>
      <w:r>
        <w:rPr>
          <w:rFonts w:ascii="Arial" w:cs="Arial" w:eastAsia="Arial" w:hAnsi="Arial"/>
          <w:sz w:val="16"/>
          <w:szCs w:val="16"/>
          <w:color w:val="auto"/>
        </w:rPr>
        <w:t>Most of the premiums written under our personal lines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2018, our premiums ceded under catastrophe treaties increased by $1,336,000 over the comparable ceded premiums for 2017. The increase was due to an increase in our catastrophe coverage and an increase in premiums subject to catastrophe reinsurance, partially offset by more favorable reinsurance rates in 2018. Our ceded catastrophe premiums are paid based on the total direct written premiums subject to the catastrophe reinsurance treaty.</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Net premiums earned</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premiums earned increased $13,619,000, or 40.9 %, to $46,942,000 in 2018 from $33,323,000 in 2017. The increase was due to the increase in written premiums discussed above and our retaining more earned premiums effective July 1, 2017, as a result of the reduction of the quota share percentage in our personal lines quota share treaty.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Ceding Commission Revenue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The following table details the quota share provisional ceding commission rates in effect during 2018 and 2017. This table should be referred to in conjunction with the discussion for ceding commission revenue that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Six months ended</w:t>
            </w:r>
          </w:p>
        </w:tc>
      </w:tr>
      <w:tr>
        <w:trPr>
          <w:trHeight w:val="171"/>
        </w:trPr>
        <w:tc>
          <w:tcPr>
            <w:tcW w:w="4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010"/>
              <w:spacing w:after="0"/>
              <w:rPr>
                <w:sz w:val="20"/>
                <w:szCs w:val="20"/>
                <w:color w:val="auto"/>
              </w:rPr>
            </w:pPr>
            <w:r>
              <w:rPr>
                <w:rFonts w:ascii="Arial" w:cs="Arial" w:eastAsia="Arial" w:hAnsi="Arial"/>
                <w:sz w:val="14"/>
                <w:szCs w:val="14"/>
                <w:b w:val="1"/>
                <w:bCs w:val="1"/>
                <w:color w:val="auto"/>
                <w:w w:val="85"/>
              </w:rPr>
              <w:t>June 30,</w:t>
            </w:r>
          </w:p>
        </w:tc>
      </w:tr>
      <w:tr>
        <w:trPr>
          <w:trHeight w:val="208"/>
        </w:trPr>
        <w:tc>
          <w:tcPr>
            <w:tcW w:w="48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80" w:type="dxa"/>
            <w:vAlign w:val="bottom"/>
          </w:tcPr>
          <w:p>
            <w:pPr>
              <w:jc w:val="center"/>
              <w:ind w:left="210"/>
              <w:spacing w:after="0"/>
              <w:rPr>
                <w:sz w:val="20"/>
                <w:szCs w:val="20"/>
                <w:color w:val="auto"/>
              </w:rPr>
            </w:pPr>
            <w:r>
              <w:rPr>
                <w:rFonts w:ascii="Arial" w:cs="Arial" w:eastAsia="Arial" w:hAnsi="Arial"/>
                <w:sz w:val="14"/>
                <w:szCs w:val="14"/>
                <w:b w:val="1"/>
                <w:bCs w:val="1"/>
                <w:color w:val="auto"/>
                <w:w w:val="89"/>
              </w:rPr>
              <w:t>2018</w:t>
            </w:r>
          </w:p>
        </w:tc>
        <w:tc>
          <w:tcPr>
            <w:tcW w:w="1640" w:type="dxa"/>
            <w:vAlign w:val="bottom"/>
            <w:gridSpan w:val="3"/>
          </w:tcPr>
          <w:p>
            <w:pPr>
              <w:jc w:val="center"/>
              <w:ind w:left="442"/>
              <w:spacing w:after="0"/>
              <w:rPr>
                <w:sz w:val="20"/>
                <w:szCs w:val="20"/>
                <w:color w:val="auto"/>
              </w:rPr>
            </w:pPr>
            <w:r>
              <w:rPr>
                <w:rFonts w:ascii="Arial" w:cs="Arial" w:eastAsia="Arial" w:hAnsi="Arial"/>
                <w:sz w:val="16"/>
                <w:szCs w:val="16"/>
                <w:b w:val="1"/>
                <w:bCs w:val="1"/>
                <w:color w:val="auto"/>
                <w:w w:val="89"/>
              </w:rPr>
              <w:t>2017</w:t>
            </w:r>
          </w:p>
        </w:tc>
      </w:tr>
      <w:tr>
        <w:trPr>
          <w:trHeight w:val="139"/>
        </w:trPr>
        <w:tc>
          <w:tcPr>
            <w:tcW w:w="48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80" w:type="dxa"/>
            <w:vAlign w:val="bottom"/>
            <w:tcBorders>
              <w:top w:val="single" w:sz="8" w:color="auto"/>
            </w:tcBorders>
          </w:tcPr>
          <w:p>
            <w:pPr>
              <w:jc w:val="center"/>
              <w:ind w:left="210"/>
              <w:spacing w:after="0" w:line="139" w:lineRule="exact"/>
              <w:rPr>
                <w:sz w:val="20"/>
                <w:szCs w:val="20"/>
                <w:color w:val="auto"/>
              </w:rPr>
            </w:pPr>
            <w:r>
              <w:rPr>
                <w:rFonts w:ascii="Arial" w:cs="Arial" w:eastAsia="Arial" w:hAnsi="Arial"/>
                <w:sz w:val="14"/>
                <w:szCs w:val="14"/>
                <w:b w:val="1"/>
                <w:bCs w:val="1"/>
                <w:color w:val="auto"/>
                <w:w w:val="92"/>
              </w:rPr>
              <w:t>("2017/2019</w:t>
            </w:r>
          </w:p>
        </w:tc>
        <w:tc>
          <w:tcPr>
            <w:tcW w:w="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("2016/2017</w:t>
            </w:r>
          </w:p>
        </w:tc>
      </w:tr>
      <w:tr>
        <w:trPr>
          <w:trHeight w:val="182"/>
        </w:trPr>
        <w:tc>
          <w:tcPr>
            <w:tcW w:w="48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080" w:type="dxa"/>
            <w:vAlign w:val="bottom"/>
          </w:tcPr>
          <w:p>
            <w:pPr>
              <w:ind w:left="420"/>
              <w:spacing w:after="0"/>
              <w:rPr>
                <w:sz w:val="20"/>
                <w:szCs w:val="20"/>
                <w:color w:val="auto"/>
              </w:rPr>
            </w:pPr>
            <w:r>
              <w:rPr>
                <w:rFonts w:ascii="Arial" w:cs="Arial" w:eastAsia="Arial" w:hAnsi="Arial"/>
                <w:sz w:val="14"/>
                <w:szCs w:val="14"/>
                <w:b w:val="1"/>
                <w:bCs w:val="1"/>
                <w:color w:val="auto"/>
              </w:rPr>
              <w:t>Treaty")</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Treaty")</w:t>
            </w:r>
          </w:p>
        </w:tc>
      </w:tr>
      <w:tr>
        <w:trPr>
          <w:trHeight w:val="186"/>
        </w:trPr>
        <w:tc>
          <w:tcPr>
            <w:tcW w:w="48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Provisional ceding commission rate on quota share treaty</w:t>
            </w:r>
          </w:p>
        </w:tc>
        <w:tc>
          <w:tcPr>
            <w:tcW w:w="3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9"/>
        </w:trPr>
        <w:tc>
          <w:tcPr>
            <w:tcW w:w="4820" w:type="dxa"/>
            <w:vAlign w:val="bottom"/>
          </w:tcPr>
          <w:p>
            <w:pPr>
              <w:ind w:left="240"/>
              <w:spacing w:after="0"/>
              <w:rPr>
                <w:sz w:val="20"/>
                <w:szCs w:val="20"/>
                <w:color w:val="auto"/>
              </w:rPr>
            </w:pPr>
            <w:r>
              <w:rPr>
                <w:rFonts w:ascii="Arial" w:cs="Arial" w:eastAsia="Arial" w:hAnsi="Arial"/>
                <w:sz w:val="16"/>
                <w:szCs w:val="16"/>
                <w:color w:val="auto"/>
              </w:rPr>
              <w:t>Personal lines</w:t>
            </w:r>
          </w:p>
        </w:tc>
        <w:tc>
          <w:tcPr>
            <w:tcW w:w="4960" w:type="dxa"/>
            <w:vAlign w:val="bottom"/>
            <w:gridSpan w:val="2"/>
          </w:tcPr>
          <w:p>
            <w:pPr>
              <w:jc w:val="center"/>
              <w:ind w:left="4058"/>
              <w:spacing w:after="0"/>
              <w:rPr>
                <w:sz w:val="20"/>
                <w:szCs w:val="20"/>
                <w:color w:val="auto"/>
              </w:rPr>
            </w:pPr>
            <w:r>
              <w:rPr>
                <w:rFonts w:ascii="Arial" w:cs="Arial" w:eastAsia="Arial" w:hAnsi="Arial"/>
                <w:sz w:val="16"/>
                <w:szCs w:val="16"/>
                <w:color w:val="auto"/>
                <w:w w:val="93"/>
              </w:rPr>
              <w:t>53%</w:t>
            </w:r>
          </w:p>
        </w:tc>
        <w:tc>
          <w:tcPr>
            <w:tcW w:w="1640" w:type="dxa"/>
            <w:vAlign w:val="bottom"/>
            <w:gridSpan w:val="3"/>
          </w:tcPr>
          <w:p>
            <w:pPr>
              <w:jc w:val="center"/>
              <w:ind w:left="422"/>
              <w:spacing w:after="0"/>
              <w:rPr>
                <w:sz w:val="20"/>
                <w:szCs w:val="20"/>
                <w:color w:val="auto"/>
              </w:rPr>
            </w:pPr>
            <w:r>
              <w:rPr>
                <w:rFonts w:ascii="Arial" w:cs="Arial" w:eastAsia="Arial" w:hAnsi="Arial"/>
                <w:sz w:val="16"/>
                <w:szCs w:val="16"/>
                <w:color w:val="auto"/>
                <w:w w:val="93"/>
              </w:rPr>
              <w:t>52%</w:t>
            </w:r>
          </w:p>
        </w:tc>
      </w:tr>
      <w:tr>
        <w:trPr>
          <w:trHeight w:val="537"/>
        </w:trPr>
        <w:tc>
          <w:tcPr>
            <w:tcW w:w="48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2818"/>
              <w:spacing w:after="0"/>
              <w:rPr>
                <w:sz w:val="20"/>
                <w:szCs w:val="20"/>
                <w:color w:val="auto"/>
              </w:rPr>
            </w:pPr>
            <w:r>
              <w:rPr>
                <w:rFonts w:ascii="Arial" w:cs="Arial" w:eastAsia="Arial" w:hAnsi="Arial"/>
                <w:sz w:val="16"/>
                <w:szCs w:val="16"/>
                <w:color w:val="auto"/>
              </w:rPr>
              <w:t>43</w:t>
            </w: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6" w:right="239" w:bottom="1440" w:gutter="0" w:footer="0" w:header="0"/>
        </w:sectPr>
      </w:pPr>
    </w:p>
    <w:bookmarkStart w:id="45" w:name="page46"/>
    <w:bookmarkEnd w:id="45"/>
    <w:p>
      <w:pPr>
        <w:ind w:left="600"/>
        <w:spacing w:after="0"/>
        <w:rPr>
          <w:sz w:val="20"/>
          <w:szCs w:val="20"/>
          <w:color w:val="auto"/>
        </w:rPr>
      </w:pPr>
      <w:r>
        <w:rPr>
          <w:rFonts w:ascii="Arial" w:cs="Arial" w:eastAsia="Arial" w:hAnsi="Arial"/>
          <w:sz w:val="16"/>
          <w:szCs w:val="16"/>
          <w:color w:val="auto"/>
        </w:rPr>
        <w:t>The following table summarizes the changes in the components of ceding commission revenue (in thousands)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0"/>
              <w:spacing w:after="0" w:line="15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2"/>
              <w:spacing w:after="0" w:line="15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0"/>
              <w:spacing w:after="0" w:line="152" w:lineRule="exact"/>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jc w:val="right"/>
              <w:ind w:right="360"/>
              <w:spacing w:after="0" w:line="152"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5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Provisional ceding commissions earned</w:t>
            </w:r>
          </w:p>
        </w:tc>
        <w:tc>
          <w:tcPr>
            <w:tcW w:w="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4,213</w:t>
            </w:r>
          </w:p>
        </w:tc>
        <w:tc>
          <w:tcPr>
            <w:tcW w:w="3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6,768</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Contingent ceding commissions earned</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160"/>
              <w:spacing w:after="0"/>
              <w:rPr>
                <w:sz w:val="20"/>
                <w:szCs w:val="20"/>
                <w:color w:val="auto"/>
              </w:rPr>
            </w:pPr>
            <w:r>
              <w:rPr>
                <w:rFonts w:ascii="Arial" w:cs="Arial" w:eastAsia="Arial" w:hAnsi="Arial"/>
                <w:sz w:val="16"/>
                <w:szCs w:val="16"/>
                <w:color w:val="auto"/>
              </w:rPr>
              <w:t>Contingent ceding commissions earned excluding</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the effect of catastrophes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(368)</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(278)</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160"/>
              <w:spacing w:after="0"/>
              <w:rPr>
                <w:sz w:val="20"/>
                <w:szCs w:val="20"/>
                <w:color w:val="auto"/>
              </w:rPr>
            </w:pPr>
            <w:r>
              <w:rPr>
                <w:rFonts w:ascii="Arial" w:cs="Arial" w:eastAsia="Arial" w:hAnsi="Arial"/>
                <w:sz w:val="16"/>
                <w:szCs w:val="16"/>
                <w:color w:val="auto"/>
              </w:rPr>
              <w:t>Effect of catastrophes on ceding commissions earned</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(459)</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Contingent ceding commissions earned</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(827)</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(278)</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ceding commission revenue</w:t>
            </w:r>
          </w:p>
        </w:tc>
        <w:tc>
          <w:tcPr>
            <w:tcW w:w="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3,386</w:t>
            </w:r>
          </w:p>
        </w:tc>
        <w:tc>
          <w:tcPr>
            <w:tcW w:w="3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6,490</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right="60" w:firstLine="608"/>
        <w:spacing w:after="0" w:line="337" w:lineRule="auto"/>
        <w:rPr>
          <w:sz w:val="20"/>
          <w:szCs w:val="20"/>
          <w:color w:val="auto"/>
        </w:rPr>
      </w:pPr>
      <w:r>
        <w:rPr>
          <w:rFonts w:ascii="Arial" w:cs="Arial" w:eastAsia="Arial" w:hAnsi="Arial"/>
          <w:sz w:val="14"/>
          <w:szCs w:val="14"/>
          <w:color w:val="auto"/>
        </w:rPr>
        <w:t>Ceding commission revenue was $3,386,000 in 2018 compared to $6,490,000 in 2017. The decrease of $3,104,000, or 47.8%, was due to a decrease in provisional ceding commissions earned as well as a decrease in contingent ceding commissions earned. The reduction in provisional ceding commissions occurred due to us making the decision to retain more of our profitable business (see below for discussion of provisional ceding commissions earned and contingent ceding commissions earned).</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Provisional Ceding Commissions Earned</w:t>
      </w:r>
    </w:p>
    <w:p>
      <w:pPr>
        <w:spacing w:after="0" w:line="158" w:lineRule="exact"/>
        <w:rPr>
          <w:sz w:val="20"/>
          <w:szCs w:val="20"/>
          <w:color w:val="auto"/>
        </w:rPr>
      </w:pPr>
    </w:p>
    <w:p>
      <w:pPr>
        <w:jc w:val="both"/>
        <w:ind w:right="60" w:firstLine="608"/>
        <w:spacing w:after="0" w:line="319" w:lineRule="auto"/>
        <w:rPr>
          <w:sz w:val="20"/>
          <w:szCs w:val="20"/>
          <w:color w:val="auto"/>
        </w:rPr>
      </w:pPr>
      <w:r>
        <w:rPr>
          <w:rFonts w:ascii="Arial" w:cs="Arial" w:eastAsia="Arial" w:hAnsi="Arial"/>
          <w:sz w:val="14"/>
          <w:szCs w:val="14"/>
          <w:color w:val="auto"/>
        </w:rPr>
        <w:t>We receive a provisional ceding commission based on ceded written premiums. In 2018 our provisional ceding rate was 53% effective July 1, 2017 under the 2017/2019 Treaty. In 2017 our provisional ceding rate was 52% effective July 1, 2016 ender the 2016/2017 Treaty. The $2,555,000 decrease in provisional ceding commissions earned is primarily due to the decrease in the quota share ceding rate effective July 1, 2017 to 20%, from the 40% rate in effect from January 1, 2016 through June 30, 2017; thus there were less ceded premiums in 2018 available to earn ceding commissions than there were in 2017. The decrease was partially offset by an increase in personal lines direct written premiums subject to the quota share and by the one percentage point increase in our provisional ceding commission rate as discussed above.</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Contingent Ceding Commissions Earned</w:t>
      </w:r>
    </w:p>
    <w:p>
      <w:pPr>
        <w:spacing w:after="0" w:line="158" w:lineRule="exact"/>
        <w:rPr>
          <w:sz w:val="20"/>
          <w:szCs w:val="20"/>
          <w:color w:val="auto"/>
        </w:rPr>
      </w:pPr>
    </w:p>
    <w:p>
      <w:pPr>
        <w:jc w:val="both"/>
        <w:ind w:right="60" w:firstLine="608"/>
        <w:spacing w:after="0" w:line="298" w:lineRule="auto"/>
        <w:rPr>
          <w:sz w:val="20"/>
          <w:szCs w:val="20"/>
          <w:color w:val="auto"/>
        </w:rPr>
      </w:pPr>
      <w:r>
        <w:rPr>
          <w:rFonts w:ascii="Arial" w:cs="Arial" w:eastAsia="Arial" w:hAnsi="Arial"/>
          <w:sz w:val="15"/>
          <w:szCs w:val="15"/>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93" w:lineRule="exact"/>
        <w:rPr>
          <w:sz w:val="20"/>
          <w:szCs w:val="20"/>
          <w:color w:val="auto"/>
        </w:rPr>
      </w:pPr>
    </w:p>
    <w:p>
      <w:pPr>
        <w:jc w:val="both"/>
        <w:ind w:right="60" w:firstLine="608"/>
        <w:spacing w:after="0" w:line="268" w:lineRule="auto"/>
        <w:rPr>
          <w:sz w:val="20"/>
          <w:szCs w:val="20"/>
          <w:color w:val="auto"/>
        </w:rPr>
      </w:pPr>
      <w:r>
        <w:rPr>
          <w:rFonts w:ascii="Arial" w:cs="Arial" w:eastAsia="Arial" w:hAnsi="Arial"/>
          <w:sz w:val="16"/>
          <w:szCs w:val="16"/>
          <w:color w:val="auto"/>
        </w:rPr>
        <w:t>The 2017/2019 Treaty and 2016/2017 Treaty structures limit the amount of contingent ceding commissions that we can receive by setting a higher provisional commission rate. As a result of the higher upfront provisional ceding commissions that we receive, there is only a limited opportunity to earn contingent ceding commissions under these treaties. Under our current “net” treaty structure, catastrophe losses in excess of the $5,000,000 retention will fall outside of the quota share treaty and such losses will not have an impact on contingent ceding commissions. In 2018, catastrophe losses of $1,433,000 were ceded under our personal lines quota share treaty. These catastrophe losses resulted in the Loss Ratios for the period July 1, 2017 through June 30, 2018 (attributable to the 2017/2019 Treaty) to be higher than the contractual Loss Ratio at which provisional ceding commissions were being earned. As a result, we incurred a negative adjustment or reduction to the contingent ceding commissions of $459,000 relative to what would have been earned had the catastrophe losses not occurred. See “Reinsurance” below for changes to our personal lines quota share treaty effective July 1, 2017.</w:t>
      </w:r>
    </w:p>
    <w:p>
      <w:pPr>
        <w:spacing w:after="0" w:line="38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80"/>
          </w:cols>
          <w:pgMar w:left="240" w:top="536" w:right="17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auto"/>
        </w:rPr>
        <w:t>Net Investment Income</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investment income was $2,941,000 in 2018 compared to $1,884,000 in 2017. The increase of $1,057,000, or 56.1%, was due to an increase in average invested assets in 2018. The average yield on invested assets was 3.74% as of June 30, 2018 compared to 3.80% as of June 30, 2017. The pre-tax equivalent yield on invested assets was 3.41% and 4.00% as of June 30, 2018 and 2017, respectively.</w:t>
      </w:r>
    </w:p>
    <w:p>
      <w:pPr>
        <w:spacing w:after="0" w:line="103"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Cash and invested assets were $186,310,000 as of June 30, 2018, compared to $143,450,000 as of June 30, 2017. The $42,860,000 increase in cash and invested assets resulted primarily from the net proceeds of approximately $29,122,000 that we received in December 2017 from our debt offering and increased operating cash flows for the period after June 30, 2017.</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Gains and Losses on Investments</w:t>
      </w:r>
    </w:p>
    <w:p>
      <w:pPr>
        <w:spacing w:after="0" w:line="158" w:lineRule="exact"/>
        <w:rPr>
          <w:sz w:val="20"/>
          <w:szCs w:val="20"/>
          <w:color w:val="auto"/>
        </w:rPr>
      </w:pPr>
    </w:p>
    <w:p>
      <w:pPr>
        <w:jc w:val="both"/>
        <w:ind w:firstLine="608"/>
        <w:spacing w:after="0" w:line="272" w:lineRule="auto"/>
        <w:rPr>
          <w:sz w:val="20"/>
          <w:szCs w:val="20"/>
          <w:color w:val="auto"/>
        </w:rPr>
      </w:pPr>
      <w:r>
        <w:rPr>
          <w:rFonts w:ascii="Arial" w:cs="Arial" w:eastAsia="Arial" w:hAnsi="Arial"/>
          <w:sz w:val="16"/>
          <w:szCs w:val="16"/>
          <w:color w:val="auto"/>
        </w:rPr>
        <w:t>Net losses on investments were $630,000 in 2018 compared to a net gain of $76,000 in 2017. The increased loss of $706,000, was primarily attributable to an accounting standard change (ASU 2016-01, see Note 2) with respect to the changes in fair value of equity securities and other investments. Historically, the change in unrealized gains (losses) for these investments would flow through other comprehensive income (loss). As a result of the new accounting standard, the change in unrealized gains (losses) is now recorded in the statements of income and comprehensive income (loss). Net unrealized losses on our equity securities and other investments in 2018 were $310,000. Realized losses on investments was $320,000 in 2018 compared to realized gains of $76,000 in 2017.</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Other income was $609,000 in 2018 compared to $598,000 in 2017. The increase of $11,000, or 1.8%, was primarily due to an increase in installment and other fees earned in our insurance underwriting business.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Loss and LAE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Net loss and LAE was $28,442,000 in 2018 compared to $15,748,000 in 2017. The net loss ratio was 60.6% in 2018 compared to 47.3% in 2017, an increase of 13.3 percentage points.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47" w:name="page48"/>
    <w:bookmarkEnd w:id="47"/>
    <w:p>
      <w:pPr>
        <w:ind w:left="600"/>
        <w:spacing w:after="0"/>
        <w:rPr>
          <w:sz w:val="20"/>
          <w:szCs w:val="20"/>
          <w:color w:val="auto"/>
        </w:rPr>
      </w:pPr>
      <w:r>
        <w:rPr>
          <w:rFonts w:ascii="Arial" w:cs="Arial" w:eastAsia="Arial" w:hAnsi="Arial"/>
          <w:sz w:val="16"/>
          <w:szCs w:val="16"/>
          <w:color w:val="auto"/>
        </w:rPr>
        <w:t>The following graph summarizes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1866900</wp:posOffset>
            </wp:positionH>
            <wp:positionV relativeFrom="paragraph">
              <wp:posOffset>146050</wp:posOffset>
            </wp:positionV>
            <wp:extent cx="3909060" cy="3627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0906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608"/>
        <w:spacing w:after="0" w:line="267" w:lineRule="auto"/>
        <w:rPr>
          <w:sz w:val="20"/>
          <w:szCs w:val="20"/>
          <w:color w:val="auto"/>
        </w:rPr>
      </w:pPr>
      <w:r>
        <w:rPr>
          <w:rFonts w:ascii="Arial" w:cs="Arial" w:eastAsia="Arial" w:hAnsi="Arial"/>
          <w:sz w:val="16"/>
          <w:szCs w:val="16"/>
          <w:color w:val="auto"/>
        </w:rPr>
        <w:t>During 2018, the net loss ratio increased compared to 2017 due primarily to the impact of catastrophe losses related to severe winter weather. We define catastrophe losses as losses from an event for which a catastrophe bulletin and related serial number has been issued by the Property Claims Services (PCS) unit of the Insurance Services Office (ISO). We assign claims as catastrophe-related if the PCS industry loss estimate is $25 million or greater for the applicable state in which our policies are written. In 2018 there have been six catastrophic events reported with most of the impact related to several major winter storms. We recorded a 12.2 point impact from catastrophes in 2018, driving most of the 13.3 point increase in the overall loss ratio from 2017, in which there was no impact from catastrophes. In addition to the impact of catastrophes, we have recorded 0.5 points of unfavorable prior year loss development in 2018 compared to 0.6 points of favorable prior year development in 2017, or an increase of 1.1 points in the impact of prior year development year to date. Prior year loss development in 2018 was related to some unfavorable settlements on liability claims from older years and from higher than expected loss development from fire and winter claims occurring in late 2017. The underlying loss ratio excluding the impact of catastrophes and prior year development was 47.9% in 2018, unchanged from 2017. See table below under “Additional Financial Information” summarizing net loss ratios by line of business.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auto"/>
        </w:rPr>
        <w:t>Commission Expense</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Commission expense was $6,017,000 in Q2-2018 or 18.6% of direct earned premiums. Commission expense was $5,101,000 in Q2-2017 or 19.1% of direct earned premiums. The increase of $916,000 is due to the increase in direct earned premiums in Q2-2018 as compared to Q2-2017, partially offset by a decrease in contingent commission expense, which was due to variances in year to date loss ratios.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Underwriting Expenses</w:t>
      </w:r>
    </w:p>
    <w:p>
      <w:pPr>
        <w:spacing w:after="0" w:line="158"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Other underwriting expenses were $5,076,000 in Q2-2018 compared to $4,200,000 in Q2-2017. The increase of $876,000, or 20.9%, was primarily due to expenses related to growth in direct written premiums. We are also incurring expenses related to our Expansion Expenses. Expansion Expenses were $400,000 in Q2-2018 compared to $277,000 in Q2-2017. The increase of $123,000 includes the costs of salaries and employment costs, professional fees, IT and data services specifically attributable to the expansion into new states.</w:t>
      </w:r>
    </w:p>
    <w:p>
      <w:pPr>
        <w:spacing w:after="0" w:line="107" w:lineRule="exact"/>
        <w:rPr>
          <w:sz w:val="20"/>
          <w:szCs w:val="20"/>
          <w:color w:val="auto"/>
        </w:rPr>
      </w:pPr>
    </w:p>
    <w:p>
      <w:pPr>
        <w:jc w:val="both"/>
        <w:ind w:firstLine="608"/>
        <w:spacing w:after="0" w:line="290" w:lineRule="auto"/>
        <w:rPr>
          <w:sz w:val="20"/>
          <w:szCs w:val="20"/>
          <w:color w:val="auto"/>
        </w:rPr>
      </w:pPr>
      <w:r>
        <w:rPr>
          <w:rFonts w:ascii="Arial" w:cs="Arial" w:eastAsia="Arial" w:hAnsi="Arial"/>
          <w:sz w:val="15"/>
          <w:szCs w:val="15"/>
          <w:color w:val="auto"/>
        </w:rPr>
        <w:t>Core salaries and employment costs were $4,103,000 in 2018 compared to $3,505,000 in 2017. The increase of $598,000, or 17.1%, was less than the 20.9% increase in total direct written premiums, which has not yet materially affected by our Expansion business. The increase in employment costs was due to hiring of additional staff to service our current level of business and anticipated growth in volume, hiring our new Chief Operating Officer in March 2018 as well as annual increases in salaries. Growth related to our Expansion business creates a lag in net premiums earned compared to direct written premiums for that business. This lag in net premiums earned along with the reduction to quota share rates distorts net underwriting expense ratio comparisons between periods. Therefore, we believe that reviewing the ratio of Core other underwriting expenses to Core net premiums earned offers a more consistent comparison between periods and is a more accurate indicator of our overall other underwriting expense efficiency. The following table breaks out the Core and Expansion components of our underwriting expense ratio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center"/>
              <w:ind w:right="221"/>
              <w:spacing w:after="0"/>
              <w:rPr>
                <w:sz w:val="20"/>
                <w:szCs w:val="20"/>
                <w:color w:val="auto"/>
              </w:rPr>
            </w:pPr>
            <w:r>
              <w:rPr>
                <w:rFonts w:ascii="Arial" w:cs="Arial" w:eastAsia="Arial" w:hAnsi="Arial"/>
                <w:sz w:val="14"/>
                <w:szCs w:val="14"/>
                <w:b w:val="1"/>
                <w:bCs w:val="1"/>
                <w:color w:val="auto"/>
                <w:w w:val="93"/>
              </w:rPr>
              <w:t>$ or</w:t>
            </w:r>
          </w:p>
        </w:tc>
      </w:tr>
      <w:tr>
        <w:trPr>
          <w:trHeight w:val="191"/>
        </w:trPr>
        <w:tc>
          <w:tcPr>
            <w:tcW w:w="7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221"/>
              <w:spacing w:after="0"/>
              <w:rPr>
                <w:sz w:val="20"/>
                <w:szCs w:val="20"/>
                <w:color w:val="auto"/>
              </w:rPr>
            </w:pPr>
            <w:r>
              <w:rPr>
                <w:rFonts w:ascii="Arial" w:cs="Arial" w:eastAsia="Arial" w:hAnsi="Arial"/>
                <w:sz w:val="14"/>
                <w:szCs w:val="14"/>
                <w:b w:val="1"/>
                <w:bCs w:val="1"/>
                <w:color w:val="auto"/>
                <w:w w:val="91"/>
              </w:rPr>
              <w:t>Point</w:t>
            </w:r>
          </w:p>
        </w:tc>
      </w:tr>
      <w:tr>
        <w:trPr>
          <w:trHeight w:val="208"/>
        </w:trPr>
        <w:tc>
          <w:tcPr>
            <w:tcW w:w="7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w w:val="83"/>
              </w:rPr>
              <w:t>2017</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5"/>
              </w:rPr>
              <w:t>Change</w:t>
            </w:r>
          </w:p>
        </w:tc>
      </w:tr>
      <w:tr>
        <w:trPr>
          <w:trHeight w:val="228"/>
        </w:trPr>
        <w:tc>
          <w:tcPr>
            <w:tcW w:w="7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premiums earned</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3"/>
        </w:trPr>
        <w:tc>
          <w:tcPr>
            <w:tcW w:w="7320" w:type="dxa"/>
            <w:vAlign w:val="bottom"/>
          </w:tcPr>
          <w:p>
            <w:pPr>
              <w:ind w:left="200"/>
              <w:spacing w:after="0"/>
              <w:rPr>
                <w:sz w:val="20"/>
                <w:szCs w:val="20"/>
                <w:color w:val="auto"/>
              </w:rPr>
            </w:pPr>
            <w:r>
              <w:rPr>
                <w:rFonts w:ascii="Arial" w:cs="Arial" w:eastAsia="Arial" w:hAnsi="Arial"/>
                <w:sz w:val="16"/>
                <w:szCs w:val="16"/>
                <w:color w:val="auto"/>
              </w:rPr>
              <w:t>Core</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45,945</w:t>
            </w:r>
          </w:p>
        </w:tc>
        <w:tc>
          <w:tcPr>
            <w:tcW w:w="480" w:type="dxa"/>
            <w:vAlign w:val="bottom"/>
          </w:tcPr>
          <w:p>
            <w:pPr>
              <w:jc w:val="right"/>
              <w:ind w:right="258"/>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33,317</w:t>
            </w:r>
          </w:p>
        </w:tc>
        <w:tc>
          <w:tcPr>
            <w:tcW w:w="60" w:type="dxa"/>
            <w:vAlign w:val="bottom"/>
          </w:tcPr>
          <w:p>
            <w:pPr>
              <w:spacing w:after="0"/>
              <w:rPr>
                <w:sz w:val="17"/>
                <w:szCs w:val="17"/>
                <w:color w:val="auto"/>
              </w:rPr>
            </w:pPr>
          </w:p>
        </w:tc>
        <w:tc>
          <w:tcPr>
            <w:tcW w:w="2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12,628</w:t>
            </w:r>
          </w:p>
        </w:tc>
      </w:tr>
      <w:tr>
        <w:trPr>
          <w:trHeight w:val="208"/>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Expansion</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997</w:t>
            </w:r>
          </w:p>
        </w:tc>
        <w:tc>
          <w:tcPr>
            <w:tcW w:w="4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991</w:t>
            </w:r>
          </w:p>
        </w:tc>
      </w:tr>
      <w:tr>
        <w:trPr>
          <w:trHeight w:val="203"/>
        </w:trPr>
        <w:tc>
          <w:tcPr>
            <w:tcW w:w="7320" w:type="dxa"/>
            <w:vAlign w:val="bottom"/>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46,942</w:t>
            </w:r>
          </w:p>
        </w:tc>
        <w:tc>
          <w:tcPr>
            <w:tcW w:w="4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33,323</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13,619</w:t>
            </w:r>
          </w:p>
        </w:tc>
      </w:tr>
      <w:tr>
        <w:trPr>
          <w:trHeight w:val="20"/>
        </w:trPr>
        <w:tc>
          <w:tcPr>
            <w:tcW w:w="7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3"/>
        </w:trPr>
        <w:tc>
          <w:tcPr>
            <w:tcW w:w="7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3"/>
        </w:trPr>
        <w:tc>
          <w:tcPr>
            <w:tcW w:w="7320" w:type="dxa"/>
            <w:vAlign w:val="bottom"/>
          </w:tcPr>
          <w:p>
            <w:pPr>
              <w:ind w:left="40"/>
              <w:spacing w:after="0"/>
              <w:rPr>
                <w:sz w:val="20"/>
                <w:szCs w:val="20"/>
                <w:color w:val="auto"/>
              </w:rPr>
            </w:pPr>
            <w:r>
              <w:rPr>
                <w:rFonts w:ascii="Arial" w:cs="Arial" w:eastAsia="Arial" w:hAnsi="Arial"/>
                <w:sz w:val="16"/>
                <w:szCs w:val="16"/>
                <w:color w:val="auto"/>
              </w:rPr>
              <w:t>Other underwriting expenses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Core</w:t>
            </w:r>
          </w:p>
        </w:tc>
        <w:tc>
          <w:tcPr>
            <w:tcW w:w="3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9,317</w:t>
            </w:r>
          </w:p>
        </w:tc>
        <w:tc>
          <w:tcPr>
            <w:tcW w:w="48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7,905</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1,412</w:t>
            </w:r>
          </w:p>
        </w:tc>
      </w:tr>
      <w:tr>
        <w:trPr>
          <w:trHeight w:val="208"/>
        </w:trPr>
        <w:tc>
          <w:tcPr>
            <w:tcW w:w="7320" w:type="dxa"/>
            <w:vAlign w:val="bottom"/>
          </w:tcPr>
          <w:p>
            <w:pPr>
              <w:ind w:left="200"/>
              <w:spacing w:after="0"/>
              <w:rPr>
                <w:sz w:val="20"/>
                <w:szCs w:val="20"/>
                <w:color w:val="auto"/>
              </w:rPr>
            </w:pPr>
            <w:r>
              <w:rPr>
                <w:rFonts w:ascii="Arial" w:cs="Arial" w:eastAsia="Arial" w:hAnsi="Arial"/>
                <w:sz w:val="16"/>
                <w:szCs w:val="16"/>
                <w:color w:val="auto"/>
              </w:rPr>
              <w:t>Expansion</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790</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507</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283</w:t>
            </w:r>
          </w:p>
        </w:tc>
      </w:tr>
      <w:tr>
        <w:trPr>
          <w:trHeight w:val="243"/>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10,107</w:t>
            </w:r>
          </w:p>
        </w:tc>
        <w:tc>
          <w:tcPr>
            <w:tcW w:w="48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8,412</w:t>
            </w:r>
          </w:p>
        </w:tc>
        <w:tc>
          <w:tcPr>
            <w:tcW w:w="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1,695</w:t>
            </w:r>
          </w:p>
        </w:tc>
      </w:tr>
      <w:tr>
        <w:trPr>
          <w:trHeight w:val="193"/>
        </w:trPr>
        <w:tc>
          <w:tcPr>
            <w:tcW w:w="7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underwriting expenses as a percentage</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7320" w:type="dxa"/>
            <w:vAlign w:val="bottom"/>
          </w:tcPr>
          <w:p>
            <w:pPr>
              <w:ind w:left="40"/>
              <w:spacing w:after="0"/>
              <w:rPr>
                <w:sz w:val="20"/>
                <w:szCs w:val="20"/>
                <w:color w:val="auto"/>
              </w:rPr>
            </w:pPr>
            <w:r>
              <w:rPr>
                <w:rFonts w:ascii="Arial" w:cs="Arial" w:eastAsia="Arial" w:hAnsi="Arial"/>
                <w:sz w:val="16"/>
                <w:szCs w:val="16"/>
                <w:color w:val="auto"/>
              </w:rPr>
              <w:t>of net premiums earned</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Core</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23.7%</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3"/>
        </w:trPr>
        <w:tc>
          <w:tcPr>
            <w:tcW w:w="7320" w:type="dxa"/>
            <w:vAlign w:val="bottom"/>
          </w:tcPr>
          <w:p>
            <w:pPr>
              <w:ind w:left="200"/>
              <w:spacing w:after="0"/>
              <w:rPr>
                <w:sz w:val="20"/>
                <w:szCs w:val="20"/>
                <w:color w:val="auto"/>
              </w:rPr>
            </w:pPr>
            <w:r>
              <w:rPr>
                <w:rFonts w:ascii="Arial" w:cs="Arial" w:eastAsia="Arial" w:hAnsi="Arial"/>
                <w:sz w:val="16"/>
                <w:szCs w:val="16"/>
                <w:color w:val="auto"/>
              </w:rPr>
              <w:t>Expansion</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79.2%</w:t>
            </w:r>
          </w:p>
        </w:tc>
        <w:tc>
          <w:tcPr>
            <w:tcW w:w="4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8450.0%</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-8370.8%</w:t>
            </w:r>
          </w:p>
        </w:tc>
      </w:tr>
      <w:tr>
        <w:trPr>
          <w:trHeight w:val="203"/>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25.3%</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bl>
    <w:p>
      <w:pPr>
        <w:spacing w:after="0" w:line="13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ratio of Core other underwriting expenses to Core net premiums earned was 20.3% in 2018 compared to 23.7% in 2017, a decrease of 3.4 percentage points.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49" w:name="page50"/>
    <w:bookmarkEnd w:id="49"/>
    <w:p>
      <w:pPr>
        <w:jc w:val="both"/>
        <w:ind w:firstLine="608"/>
        <w:spacing w:after="0" w:line="296" w:lineRule="auto"/>
        <w:rPr>
          <w:sz w:val="20"/>
          <w:szCs w:val="20"/>
          <w:color w:val="auto"/>
        </w:rPr>
      </w:pPr>
      <w:r>
        <w:rPr>
          <w:rFonts w:ascii="Arial" w:cs="Arial" w:eastAsia="Arial" w:hAnsi="Arial"/>
          <w:sz w:val="16"/>
          <w:szCs w:val="16"/>
          <w:color w:val="auto"/>
        </w:rPr>
        <w:t>Our net underwriting expense ratio in 2018 was 38.2% compared to 34.1% in 2017. The following table shows the individual components of our net underwriting expense ratio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3"/>
          </w:tcPr>
          <w:p>
            <w:pPr>
              <w:jc w:val="center"/>
              <w:ind w:left="643"/>
              <w:spacing w:after="0"/>
              <w:rPr>
                <w:sz w:val="20"/>
                <w:szCs w:val="20"/>
                <w:color w:val="auto"/>
              </w:rPr>
            </w:pPr>
            <w:r>
              <w:rPr>
                <w:rFonts w:ascii="Arial" w:cs="Arial" w:eastAsia="Arial" w:hAnsi="Arial"/>
                <w:sz w:val="14"/>
                <w:szCs w:val="14"/>
                <w:b w:val="1"/>
                <w:bCs w:val="1"/>
                <w:color w:val="auto"/>
                <w:w w:val="87"/>
              </w:rPr>
              <w:t>Six months ended</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1"/>
        </w:trPr>
        <w:tc>
          <w:tcPr>
            <w:tcW w:w="7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643"/>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60"/>
              <w:spacing w:after="0"/>
              <w:rPr>
                <w:sz w:val="20"/>
                <w:szCs w:val="20"/>
                <w:color w:val="auto"/>
              </w:rPr>
            </w:pPr>
            <w:r>
              <w:rPr>
                <w:rFonts w:ascii="Arial" w:cs="Arial" w:eastAsia="Arial" w:hAnsi="Arial"/>
                <w:sz w:val="14"/>
                <w:szCs w:val="14"/>
                <w:b w:val="1"/>
                <w:bCs w:val="1"/>
                <w:color w:val="auto"/>
              </w:rPr>
              <w:t>Percentage</w:t>
            </w:r>
          </w:p>
        </w:tc>
      </w:tr>
      <w:tr>
        <w:trPr>
          <w:trHeight w:val="208"/>
        </w:trPr>
        <w:tc>
          <w:tcPr>
            <w:tcW w:w="7320" w:type="dxa"/>
            <w:vAlign w:val="bottom"/>
          </w:tcPr>
          <w:p>
            <w:pPr>
              <w:spacing w:after="0"/>
              <w:rPr>
                <w:sz w:val="18"/>
                <w:szCs w:val="18"/>
                <w:color w:val="auto"/>
              </w:rPr>
            </w:pPr>
          </w:p>
        </w:tc>
        <w:tc>
          <w:tcPr>
            <w:tcW w:w="1380" w:type="dxa"/>
            <w:vAlign w:val="bottom"/>
            <w:tcBorders>
              <w:bottom w:val="single" w:sz="8" w:color="auto"/>
            </w:tcBorders>
            <w:gridSpan w:val="2"/>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9"/>
              </w:rPr>
              <w:t>Point Change</w:t>
            </w:r>
          </w:p>
        </w:tc>
      </w:tr>
      <w:tr>
        <w:trPr>
          <w:trHeight w:val="228"/>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Ceding commission revenue - provisional</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(9.0)%</w:t>
            </w:r>
          </w:p>
        </w:tc>
        <w:tc>
          <w:tcPr>
            <w:tcW w:w="4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(20.3)%</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11.3</w:t>
            </w:r>
          </w:p>
        </w:tc>
      </w:tr>
      <w:tr>
        <w:trPr>
          <w:trHeight w:val="203"/>
        </w:trPr>
        <w:tc>
          <w:tcPr>
            <w:tcW w:w="7320" w:type="dxa"/>
            <w:vAlign w:val="bottom"/>
          </w:tcPr>
          <w:p>
            <w:pPr>
              <w:spacing w:after="0"/>
              <w:rPr>
                <w:sz w:val="20"/>
                <w:szCs w:val="20"/>
                <w:color w:val="auto"/>
              </w:rPr>
            </w:pPr>
            <w:r>
              <w:rPr>
                <w:rFonts w:ascii="Arial" w:cs="Arial" w:eastAsia="Arial" w:hAnsi="Arial"/>
                <w:sz w:val="16"/>
                <w:szCs w:val="16"/>
                <w:color w:val="auto"/>
              </w:rPr>
              <w:t>Ceding commission revenue - contingent</w:t>
            </w:r>
          </w:p>
        </w:tc>
        <w:tc>
          <w:tcPr>
            <w:tcW w:w="1380" w:type="dxa"/>
            <w:vAlign w:val="bottom"/>
            <w:gridSpan w:val="2"/>
          </w:tcPr>
          <w:p>
            <w:pPr>
              <w:jc w:val="right"/>
              <w:ind w:right="6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0.8</w:t>
            </w:r>
          </w:p>
        </w:tc>
        <w:tc>
          <w:tcPr>
            <w:tcW w:w="180" w:type="dxa"/>
            <w:vAlign w:val="bottom"/>
          </w:tcPr>
          <w:p>
            <w:pPr>
              <w:spacing w:after="0"/>
              <w:rPr>
                <w:sz w:val="17"/>
                <w:szCs w:val="17"/>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1.0</w:t>
            </w: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6"/>
                <w:szCs w:val="16"/>
                <w:color w:val="auto"/>
              </w:rPr>
              <w:t>Other income</w:t>
            </w:r>
          </w:p>
        </w:tc>
        <w:tc>
          <w:tcPr>
            <w:tcW w:w="1380" w:type="dxa"/>
            <w:vAlign w:val="bottom"/>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0.5</w:t>
            </w:r>
          </w:p>
        </w:tc>
      </w:tr>
      <w:tr>
        <w:trPr>
          <w:trHeight w:val="227"/>
        </w:trPr>
        <w:tc>
          <w:tcPr>
            <w:tcW w:w="7320" w:type="dxa"/>
            <w:vAlign w:val="bottom"/>
          </w:tcPr>
          <w:p>
            <w:pPr>
              <w:spacing w:after="0"/>
              <w:rPr>
                <w:sz w:val="20"/>
                <w:szCs w:val="20"/>
                <w:color w:val="auto"/>
              </w:rPr>
            </w:pPr>
            <w:r>
              <w:rPr>
                <w:rFonts w:ascii="Arial" w:cs="Arial" w:eastAsia="Arial" w:hAnsi="Arial"/>
                <w:sz w:val="16"/>
                <w:szCs w:val="16"/>
                <w:color w:val="auto"/>
              </w:rPr>
              <w:t>Acquisition costs and other underwriting expenses: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9"/>
        </w:trPr>
        <w:tc>
          <w:tcPr>
            <w:tcW w:w="7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Commission expense</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30.0</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8"/>
        </w:trPr>
        <w:tc>
          <w:tcPr>
            <w:tcW w:w="7320" w:type="dxa"/>
            <w:vAlign w:val="bottom"/>
          </w:tcPr>
          <w:p>
            <w:pPr>
              <w:spacing w:after="0"/>
              <w:rPr>
                <w:sz w:val="18"/>
                <w:szCs w:val="18"/>
                <w:color w:val="auto"/>
              </w:rPr>
            </w:pPr>
          </w:p>
        </w:tc>
        <w:tc>
          <w:tcPr>
            <w:tcW w:w="1380" w:type="dxa"/>
            <w:vAlign w:val="bottom"/>
            <w:gridSpan w:val="2"/>
          </w:tcPr>
          <w:p>
            <w:pPr>
              <w:jc w:val="right"/>
              <w:ind w:right="63"/>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8.8</w:t>
            </w:r>
          </w:p>
        </w:tc>
        <w:tc>
          <w:tcPr>
            <w:tcW w:w="18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8.0</w:t>
            </w:r>
          </w:p>
        </w:tc>
      </w:tr>
      <w:tr>
        <w:trPr>
          <w:trHeight w:val="203"/>
        </w:trPr>
        <w:tc>
          <w:tcPr>
            <w:tcW w:w="7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underwriting expenses</w:t>
            </w:r>
          </w:p>
        </w:tc>
        <w:tc>
          <w:tcPr>
            <w:tcW w:w="14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3"/>
        </w:trPr>
        <w:tc>
          <w:tcPr>
            <w:tcW w:w="7320" w:type="dxa"/>
            <w:vAlign w:val="bottom"/>
          </w:tcPr>
          <w:p>
            <w:pPr>
              <w:ind w:left="300"/>
              <w:spacing w:after="0"/>
              <w:rPr>
                <w:sz w:val="20"/>
                <w:szCs w:val="20"/>
                <w:color w:val="auto"/>
              </w:rPr>
            </w:pPr>
            <w:r>
              <w:rPr>
                <w:rFonts w:ascii="Arial" w:cs="Arial" w:eastAsia="Arial" w:hAnsi="Arial"/>
                <w:sz w:val="16"/>
                <w:szCs w:val="16"/>
                <w:color w:val="auto"/>
              </w:rPr>
              <w:t>Core</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Employment costs</w:t>
            </w:r>
          </w:p>
        </w:tc>
        <w:tc>
          <w:tcPr>
            <w:tcW w:w="138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10.5</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3"/>
        </w:trPr>
        <w:tc>
          <w:tcPr>
            <w:tcW w:w="7320" w:type="dxa"/>
            <w:vAlign w:val="bottom"/>
          </w:tcPr>
          <w:p>
            <w:pPr>
              <w:ind w:left="460"/>
              <w:spacing w:after="0"/>
              <w:rPr>
                <w:sz w:val="20"/>
                <w:szCs w:val="20"/>
                <w:color w:val="auto"/>
              </w:rPr>
            </w:pPr>
            <w:r>
              <w:rPr>
                <w:rFonts w:ascii="Arial" w:cs="Arial" w:eastAsia="Arial" w:hAnsi="Arial"/>
                <w:sz w:val="16"/>
                <w:szCs w:val="16"/>
                <w:color w:val="auto"/>
              </w:rPr>
              <w:t>Other Core Expenses</w:t>
            </w:r>
          </w:p>
        </w:tc>
        <w:tc>
          <w:tcPr>
            <w:tcW w:w="1380" w:type="dxa"/>
            <w:vAlign w:val="bottom"/>
            <w:gridSpan w:val="2"/>
          </w:tcPr>
          <w:p>
            <w:pPr>
              <w:jc w:val="right"/>
              <w:ind w:right="63"/>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13.3</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03"/>
        </w:trPr>
        <w:tc>
          <w:tcPr>
            <w:tcW w:w="7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Core Expenses</w:t>
            </w:r>
          </w:p>
        </w:tc>
        <w:tc>
          <w:tcPr>
            <w:tcW w:w="138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23.8</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8"/>
        </w:trPr>
        <w:tc>
          <w:tcPr>
            <w:tcW w:w="7320" w:type="dxa"/>
            <w:vAlign w:val="bottom"/>
          </w:tcPr>
          <w:p>
            <w:pPr>
              <w:ind w:left="300"/>
              <w:spacing w:after="0"/>
              <w:rPr>
                <w:sz w:val="20"/>
                <w:szCs w:val="20"/>
                <w:color w:val="auto"/>
              </w:rPr>
            </w:pPr>
            <w:r>
              <w:rPr>
                <w:rFonts w:ascii="Arial" w:cs="Arial" w:eastAsia="Arial" w:hAnsi="Arial"/>
                <w:sz w:val="16"/>
                <w:szCs w:val="16"/>
                <w:color w:val="auto"/>
              </w:rPr>
              <w:t>Expansion Expenses</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0.2</w:t>
            </w:r>
          </w:p>
        </w:tc>
      </w:tr>
      <w:tr>
        <w:trPr>
          <w:trHeight w:val="208"/>
        </w:trPr>
        <w:tc>
          <w:tcPr>
            <w:tcW w:w="7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other underwriting expenses</w:t>
            </w:r>
          </w:p>
        </w:tc>
        <w:tc>
          <w:tcPr>
            <w:tcW w:w="138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3"/>
        </w:trPr>
        <w:tc>
          <w:tcPr>
            <w:tcW w:w="73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r>
      <w:tr>
        <w:trPr>
          <w:trHeight w:val="24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underwriting expense ratio</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r>
    </w:tbl>
    <w:p>
      <w:pPr>
        <w:spacing w:after="0" w:line="194"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The decrease in our other underwriting expense ratio excluding the impact of ceding commission revenue and commission expense was driven by a decline of 4.1 points from the impact of employment costs and other expenses attributable to our growing Core business, partially offset by the impact from increased costs related to Expansion business.</w:t>
      </w:r>
    </w:p>
    <w:p>
      <w:pPr>
        <w:spacing w:after="0" w:line="167"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The overall increase of 4.1 percentage points in the net underwriting expense ratio was driven almost entirely by the change in our quota share ceding rates and its impact on provisional ceding commission revenue as a result of the additional retention resulting from the Cut-off to our quota share treaties on July 1, 2017. The components of our net underwriting expense ratio related to commissions and other underwriting expenses improved in nearly all categories, but this was more than offset by reductions in the reinsurance ceding commission revenue components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Operating Expenses</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Other operating expenses, related to the expenses of our holding company, were $1,091,000 in 2018 compared to $1,662,000 in 2017. The decrease in 2018 of $571,000, or 34.4%, was primarily due to decreases in executive bonus compensation, partially offset by an increase in salary and equity compensation due to the hiring of our new Chief Operating Officer in March 2018.</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p>
    <w:p>
      <w:pPr>
        <w:spacing w:after="0" w:line="158" w:lineRule="exact"/>
        <w:rPr>
          <w:sz w:val="20"/>
          <w:szCs w:val="20"/>
          <w:color w:val="auto"/>
        </w:rPr>
      </w:pPr>
    </w:p>
    <w:p>
      <w:pPr>
        <w:jc w:val="both"/>
        <w:ind w:firstLine="608"/>
        <w:spacing w:after="0" w:line="307" w:lineRule="auto"/>
        <w:rPr>
          <w:sz w:val="20"/>
          <w:szCs w:val="20"/>
          <w:color w:val="auto"/>
        </w:rPr>
      </w:pPr>
      <w:r>
        <w:rPr>
          <w:rFonts w:ascii="Arial" w:cs="Arial" w:eastAsia="Arial" w:hAnsi="Arial"/>
          <w:sz w:val="15"/>
          <w:szCs w:val="15"/>
          <w:color w:val="auto"/>
        </w:rPr>
        <w:t>Depreciation and amortization was $834,000 in 2018 compared to $645,000 in 2017. The increase of $189,000, or 29.3%, in depreciation and amortization was primarily due to depreciation of our new system platform for processing business being written in Expansion states. The increase was also impacted by newly purchased assets used to upgrade our systems infrastructure and improvements to the Kingston, New York home office building from which we operate.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auto"/>
        </w:rPr>
        <w:t>Interest Expense</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Interest expense in 2018 was $909,000 and -0- in 2017. We incurred interest expense in connection with our $30.0 million issuance of long-term debt in December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2017.</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Income Tax Expense</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Income tax expense in 2018 was $9,000, which resulted in an effective tax rate of 18.8%. Income tax expense in 2017 was $1,932,000, which resulted in an effective tax rate of 32.7%. The change in our effective tax rate includes the change in the federal tax rate from 35% to 21%. Income before taxes was $48,000 in 2018 compared to income before taxes of $5,913,000 in 2017.</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Income</w:t>
      </w:r>
    </w:p>
    <w:p>
      <w:pPr>
        <w:spacing w:after="0" w:line="158"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Net income was $39,000 in 2018 compared to net income of $3,981,000 in 2017. The decrease in net income of $3,942,000, or (99.0%), was due to the circumstances described above, which caused the increase in our net loss ratio, decrease in ceding commission revenue, net losses on investments, increases in other underwriting expenses, depreciation and amortization and interest expense, partially offset by the increase in our net premiums earned, net investment income and decrease in other operating expenses.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t>Three Months Ended June 30, 2018 Compared to Three Months Ended June 30, 2017</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changes in the results of our operations (in thousands)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418"/>
              <w:spacing w:after="0"/>
              <w:rPr>
                <w:sz w:val="20"/>
                <w:szCs w:val="20"/>
                <w:color w:val="auto"/>
              </w:rPr>
            </w:pPr>
            <w:r>
              <w:rPr>
                <w:rFonts w:ascii="Arial" w:cs="Arial" w:eastAsia="Arial" w:hAnsi="Arial"/>
                <w:sz w:val="14"/>
                <w:szCs w:val="14"/>
                <w:b w:val="1"/>
                <w:bCs w:val="1"/>
                <w:color w:val="auto"/>
                <w:w w:val="94"/>
              </w:rPr>
              <w:t>Three months ended June 30,</w:t>
            </w:r>
          </w:p>
        </w:tc>
        <w:tc>
          <w:tcPr>
            <w:tcW w:w="1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8"/>
              <w:spacing w:after="0" w:line="15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8"/>
              <w:spacing w:after="0" w:line="15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8"/>
              <w:spacing w:after="0" w:line="152" w:lineRule="exact"/>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jc w:val="right"/>
              <w:ind w:right="358"/>
              <w:spacing w:after="0" w:line="152"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r>
              <w:rPr>
                <w:rFonts w:ascii="Arial" w:cs="Arial" w:eastAsia="Arial" w:hAnsi="Arial"/>
                <w:sz w:val="16"/>
                <w:szCs w:val="16"/>
                <w:color w:val="auto"/>
              </w:rPr>
              <w:t>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Direct written premiums</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36,864</w:t>
            </w:r>
          </w:p>
        </w:tc>
        <w:tc>
          <w:tcPr>
            <w:tcW w:w="32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8"/>
              <w:spacing w:after="0"/>
              <w:rPr>
                <w:sz w:val="20"/>
                <w:szCs w:val="20"/>
                <w:color w:val="auto"/>
              </w:rPr>
            </w:pPr>
            <w:r>
              <w:rPr>
                <w:rFonts w:ascii="Arial" w:cs="Arial" w:eastAsia="Arial" w:hAnsi="Arial"/>
                <w:sz w:val="16"/>
                <w:szCs w:val="16"/>
                <w:color w:val="auto"/>
              </w:rPr>
              <w:t>30,458</w:t>
            </w:r>
          </w:p>
        </w:tc>
        <w:tc>
          <w:tcPr>
            <w:tcW w:w="3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6,406</w:t>
            </w:r>
          </w:p>
        </w:tc>
        <w:tc>
          <w:tcPr>
            <w:tcW w:w="1360" w:type="dxa"/>
            <w:vAlign w:val="bottom"/>
          </w:tcPr>
          <w:p>
            <w:pPr>
              <w:jc w:val="right"/>
              <w:spacing w:after="0"/>
              <w:rPr>
                <w:sz w:val="20"/>
                <w:szCs w:val="20"/>
                <w:color w:val="auto"/>
              </w:rPr>
            </w:pPr>
            <w:r>
              <w:rPr>
                <w:rFonts w:ascii="Arial" w:cs="Arial" w:eastAsia="Arial" w:hAnsi="Arial"/>
                <w:sz w:val="16"/>
                <w:szCs w:val="16"/>
                <w:color w:val="auto"/>
              </w:rPr>
              <w:t>21.0%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Assumed written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36,864</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30,460</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6,404</w:t>
            </w:r>
          </w:p>
        </w:tc>
        <w:tc>
          <w:tcPr>
            <w:tcW w:w="1360" w:type="dxa"/>
            <w:vAlign w:val="bottom"/>
          </w:tcPr>
          <w:p>
            <w:pPr>
              <w:jc w:val="right"/>
              <w:spacing w:after="0"/>
              <w:rPr>
                <w:sz w:val="20"/>
                <w:szCs w:val="20"/>
                <w:color w:val="auto"/>
              </w:rPr>
            </w:pPr>
            <w:r>
              <w:rPr>
                <w:rFonts w:ascii="Arial" w:cs="Arial" w:eastAsia="Arial" w:hAnsi="Arial"/>
                <w:sz w:val="16"/>
                <w:szCs w:val="16"/>
                <w:color w:val="auto"/>
              </w:rPr>
              <w:t>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Ceded written premiums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Ceded to quota share treaties</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5,204</w:t>
            </w:r>
          </w:p>
        </w:tc>
        <w:tc>
          <w:tcPr>
            <w:tcW w:w="320" w:type="dxa"/>
            <w:vAlign w:val="bottom"/>
          </w:tcPr>
          <w:p>
            <w:pPr>
              <w:spacing w:after="0"/>
              <w:rPr>
                <w:sz w:val="17"/>
                <w:szCs w:val="17"/>
                <w:color w:val="auto"/>
              </w:rPr>
            </w:pPr>
          </w:p>
        </w:tc>
        <w:tc>
          <w:tcPr>
            <w:tcW w:w="1040" w:type="dxa"/>
            <w:vAlign w:val="bottom"/>
          </w:tcPr>
          <w:p>
            <w:pPr>
              <w:jc w:val="right"/>
              <w:ind w:right="78"/>
              <w:spacing w:after="0"/>
              <w:rPr>
                <w:sz w:val="20"/>
                <w:szCs w:val="20"/>
                <w:color w:val="auto"/>
              </w:rPr>
            </w:pPr>
            <w:r>
              <w:rPr>
                <w:rFonts w:ascii="Arial" w:cs="Arial" w:eastAsia="Arial" w:hAnsi="Arial"/>
                <w:sz w:val="16"/>
                <w:szCs w:val="16"/>
                <w:color w:val="auto"/>
              </w:rPr>
              <w:t>7,766</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(2,562)</w:t>
            </w:r>
          </w:p>
        </w:tc>
        <w:tc>
          <w:tcPr>
            <w:tcW w:w="1360" w:type="dxa"/>
            <w:vAlign w:val="bottom"/>
          </w:tcPr>
          <w:p>
            <w:pPr>
              <w:jc w:val="right"/>
              <w:spacing w:after="0"/>
              <w:rPr>
                <w:sz w:val="20"/>
                <w:szCs w:val="20"/>
                <w:color w:val="auto"/>
              </w:rPr>
            </w:pPr>
            <w:r>
              <w:rPr>
                <w:rFonts w:ascii="Arial" w:cs="Arial" w:eastAsia="Arial" w:hAnsi="Arial"/>
                <w:sz w:val="16"/>
                <w:szCs w:val="16"/>
                <w:color w:val="auto"/>
              </w:rPr>
              <w:t>(33.0)%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Ceded to excess of loss treaties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307</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325</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Ceded to catastrophe treaties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3,388</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2,642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746</w:t>
            </w:r>
          </w:p>
        </w:tc>
        <w:tc>
          <w:tcPr>
            <w:tcW w:w="1360" w:type="dxa"/>
            <w:vAlign w:val="bottom"/>
          </w:tcPr>
          <w:p>
            <w:pPr>
              <w:jc w:val="right"/>
              <w:spacing w:after="0"/>
              <w:rPr>
                <w:sz w:val="20"/>
                <w:szCs w:val="20"/>
                <w:color w:val="auto"/>
              </w:rPr>
            </w:pPr>
            <w:r>
              <w:rPr>
                <w:rFonts w:ascii="Arial" w:cs="Arial" w:eastAsia="Arial" w:hAnsi="Arial"/>
                <w:sz w:val="16"/>
                <w:szCs w:val="16"/>
                <w:color w:val="auto"/>
              </w:rPr>
              <w:t>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ceded written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8,899</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10,733</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written premiums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27,965</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19,727</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8,238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unearned premiums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Direct and assumed</w:t>
            </w:r>
          </w:p>
        </w:tc>
        <w:tc>
          <w:tcPr>
            <w:tcW w:w="380" w:type="dxa"/>
            <w:vAlign w:val="bottom"/>
          </w:tcPr>
          <w:p>
            <w:pPr>
              <w:spacing w:after="0"/>
              <w:rPr>
                <w:sz w:val="17"/>
                <w:szCs w:val="17"/>
                <w:color w:val="auto"/>
              </w:rPr>
            </w:pPr>
          </w:p>
        </w:tc>
        <w:tc>
          <w:tcPr>
            <w:tcW w:w="1020" w:type="dxa"/>
            <w:vAlign w:val="bottom"/>
          </w:tcPr>
          <w:p>
            <w:pPr>
              <w:jc w:val="right"/>
              <w:ind w:right="38"/>
              <w:spacing w:after="0"/>
              <w:rPr>
                <w:sz w:val="20"/>
                <w:szCs w:val="20"/>
                <w:color w:val="auto"/>
              </w:rPr>
            </w:pPr>
            <w:r>
              <w:rPr>
                <w:rFonts w:ascii="Arial" w:cs="Arial" w:eastAsia="Arial" w:hAnsi="Arial"/>
                <w:sz w:val="16"/>
                <w:szCs w:val="16"/>
                <w:color w:val="auto"/>
              </w:rPr>
              <w:t>(4,485)</w:t>
            </w:r>
          </w:p>
        </w:tc>
        <w:tc>
          <w:tcPr>
            <w:tcW w:w="320" w:type="dxa"/>
            <w:vAlign w:val="bottom"/>
          </w:tcPr>
          <w:p>
            <w:pPr>
              <w:spacing w:after="0"/>
              <w:rPr>
                <w:sz w:val="17"/>
                <w:szCs w:val="17"/>
                <w:color w:val="auto"/>
              </w:rPr>
            </w:pPr>
          </w:p>
        </w:tc>
        <w:tc>
          <w:tcPr>
            <w:tcW w:w="1040" w:type="dxa"/>
            <w:vAlign w:val="bottom"/>
          </w:tcPr>
          <w:p>
            <w:pPr>
              <w:jc w:val="right"/>
              <w:ind w:right="38"/>
              <w:spacing w:after="0"/>
              <w:rPr>
                <w:sz w:val="20"/>
                <w:szCs w:val="20"/>
                <w:color w:val="auto"/>
              </w:rPr>
            </w:pPr>
            <w:r>
              <w:rPr>
                <w:rFonts w:ascii="Arial" w:cs="Arial" w:eastAsia="Arial" w:hAnsi="Arial"/>
                <w:sz w:val="16"/>
                <w:szCs w:val="16"/>
                <w:color w:val="auto"/>
              </w:rPr>
              <w:t>(3,713)</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(772)</w:t>
            </w:r>
          </w:p>
        </w:tc>
        <w:tc>
          <w:tcPr>
            <w:tcW w:w="1360" w:type="dxa"/>
            <w:vAlign w:val="bottom"/>
          </w:tcPr>
          <w:p>
            <w:pPr>
              <w:jc w:val="right"/>
              <w:spacing w:after="0"/>
              <w:rPr>
                <w:sz w:val="20"/>
                <w:szCs w:val="20"/>
                <w:color w:val="auto"/>
              </w:rPr>
            </w:pPr>
            <w:r>
              <w:rPr>
                <w:rFonts w:ascii="Arial" w:cs="Arial" w:eastAsia="Arial" w:hAnsi="Arial"/>
                <w:sz w:val="16"/>
                <w:szCs w:val="16"/>
                <w:color w:val="auto"/>
              </w:rPr>
              <w:t>20.8%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Ceded to quota share treaties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625</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939</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200"/>
              <w:spacing w:after="0"/>
              <w:rPr>
                <w:sz w:val="20"/>
                <w:szCs w:val="20"/>
                <w:color w:val="auto"/>
              </w:rPr>
            </w:pPr>
            <w:r>
              <w:rPr>
                <w:rFonts w:ascii="Arial" w:cs="Arial" w:eastAsia="Arial" w:hAnsi="Arial"/>
                <w:sz w:val="16"/>
                <w:szCs w:val="16"/>
                <w:color w:val="auto"/>
              </w:rPr>
              <w:t>Change in net unearned premiums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(3,860)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(2,774)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w:t>
            </w:r>
          </w:p>
        </w:tc>
        <w:tc>
          <w:tcPr>
            <w:tcW w:w="1360" w:type="dxa"/>
            <w:vAlign w:val="bottom"/>
          </w:tcPr>
          <w:p>
            <w:pPr>
              <w:jc w:val="right"/>
              <w:spacing w:after="0"/>
              <w:rPr>
                <w:sz w:val="20"/>
                <w:szCs w:val="20"/>
                <w:color w:val="auto"/>
              </w:rPr>
            </w:pPr>
            <w:r>
              <w:rPr>
                <w:rFonts w:ascii="Arial" w:cs="Arial" w:eastAsia="Arial" w:hAnsi="Arial"/>
                <w:sz w:val="16"/>
                <w:szCs w:val="16"/>
                <w:color w:val="auto"/>
              </w:rPr>
              <w:t>39.1%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Premiums earned</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Direct and assumed</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32,379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26,748</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5,631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Ceded to reinsurance treaties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(8,274)</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(9,794)</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1,520</w:t>
            </w:r>
          </w:p>
        </w:tc>
        <w:tc>
          <w:tcPr>
            <w:tcW w:w="1360" w:type="dxa"/>
            <w:vAlign w:val="bottom"/>
          </w:tcPr>
          <w:p>
            <w:pPr>
              <w:jc w:val="right"/>
              <w:spacing w:after="0"/>
              <w:rPr>
                <w:sz w:val="20"/>
                <w:szCs w:val="20"/>
                <w:color w:val="auto"/>
              </w:rPr>
            </w:pPr>
            <w:r>
              <w:rPr>
                <w:rFonts w:ascii="Arial" w:cs="Arial" w:eastAsia="Arial" w:hAnsi="Arial"/>
                <w:sz w:val="16"/>
                <w:szCs w:val="16"/>
                <w:color w:val="auto"/>
              </w:rPr>
              <w:t>(15.5)%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premiums earned</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24,105</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16,954</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7,151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Ceding commission revenue</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Excluding the effect of catastrophes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1,816</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3,306</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Effect of catastrophes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(125)</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36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ceding commission revenue</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1,691</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3,306</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Net investment income</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1,557</w:t>
            </w:r>
          </w:p>
        </w:tc>
        <w:tc>
          <w:tcPr>
            <w:tcW w:w="320" w:type="dxa"/>
            <w:vAlign w:val="bottom"/>
          </w:tcPr>
          <w:p>
            <w:pPr>
              <w:spacing w:after="0"/>
              <w:rPr>
                <w:sz w:val="17"/>
                <w:szCs w:val="17"/>
                <w:color w:val="auto"/>
              </w:rPr>
            </w:pPr>
          </w:p>
        </w:tc>
        <w:tc>
          <w:tcPr>
            <w:tcW w:w="1040" w:type="dxa"/>
            <w:vAlign w:val="bottom"/>
          </w:tcPr>
          <w:p>
            <w:pPr>
              <w:jc w:val="right"/>
              <w:ind w:right="78"/>
              <w:spacing w:after="0"/>
              <w:rPr>
                <w:sz w:val="20"/>
                <w:szCs w:val="20"/>
                <w:color w:val="auto"/>
              </w:rPr>
            </w:pPr>
            <w:r>
              <w:rPr>
                <w:rFonts w:ascii="Arial" w:cs="Arial" w:eastAsia="Arial" w:hAnsi="Arial"/>
                <w:sz w:val="16"/>
                <w:szCs w:val="16"/>
                <w:color w:val="auto"/>
              </w:rPr>
              <w:t>1,026</w:t>
            </w:r>
          </w:p>
        </w:tc>
        <w:tc>
          <w:tcPr>
            <w:tcW w:w="300" w:type="dxa"/>
            <w:vAlign w:val="bottom"/>
          </w:tcPr>
          <w:p>
            <w:pPr>
              <w:spacing w:after="0"/>
              <w:rPr>
                <w:sz w:val="17"/>
                <w:szCs w:val="17"/>
                <w:color w:val="auto"/>
              </w:rPr>
            </w:pP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531</w:t>
            </w:r>
          </w:p>
        </w:tc>
        <w:tc>
          <w:tcPr>
            <w:tcW w:w="1360" w:type="dxa"/>
            <w:vAlign w:val="bottom"/>
          </w:tcPr>
          <w:p>
            <w:pPr>
              <w:jc w:val="right"/>
              <w:spacing w:after="0"/>
              <w:rPr>
                <w:sz w:val="20"/>
                <w:szCs w:val="20"/>
                <w:color w:val="auto"/>
              </w:rPr>
            </w:pPr>
            <w:r>
              <w:rPr>
                <w:rFonts w:ascii="Arial" w:cs="Arial" w:eastAsia="Arial" w:hAnsi="Arial"/>
                <w:sz w:val="16"/>
                <w:szCs w:val="16"/>
                <w:color w:val="auto"/>
              </w:rPr>
              <w:t>51.8%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(losses) gains on investments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(107)</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130</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200"/>
              <w:spacing w:after="0"/>
              <w:rPr>
                <w:sz w:val="20"/>
                <w:szCs w:val="20"/>
                <w:color w:val="auto"/>
              </w:rPr>
            </w:pPr>
            <w:r>
              <w:rPr>
                <w:rFonts w:ascii="Arial" w:cs="Arial" w:eastAsia="Arial" w:hAnsi="Arial"/>
                <w:sz w:val="16"/>
                <w:szCs w:val="16"/>
                <w:color w:val="auto"/>
              </w:rPr>
              <w:t>Other income</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300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308</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360" w:type="dxa"/>
            <w:vAlign w:val="bottom"/>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27,546</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21,724</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5,822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Expense</w:t>
            </w:r>
            <w:r>
              <w:rPr>
                <w:rFonts w:ascii="Arial" w:cs="Arial" w:eastAsia="Arial" w:hAnsi="Arial"/>
                <w:sz w:val="16"/>
                <w:szCs w:val="16"/>
                <w:color w:val="auto"/>
              </w:rPr>
              <w:t>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and loss adjustment expenses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Direct and assumed:</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13,357</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10,647</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2,710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Losses from catastrophes (1)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224</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224</w:t>
            </w:r>
          </w:p>
        </w:tc>
        <w:tc>
          <w:tcPr>
            <w:tcW w:w="136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direct and assumed loss and loss adjustment expenses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13,581</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10,647</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2,934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Ceded loss and loss adjustment expenses: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2,365</w:t>
            </w:r>
          </w:p>
        </w:tc>
        <w:tc>
          <w:tcPr>
            <w:tcW w:w="320" w:type="dxa"/>
            <w:vAlign w:val="bottom"/>
          </w:tcPr>
          <w:p>
            <w:pPr>
              <w:spacing w:after="0"/>
              <w:rPr>
                <w:sz w:val="17"/>
                <w:szCs w:val="17"/>
                <w:color w:val="auto"/>
              </w:rPr>
            </w:pPr>
          </w:p>
        </w:tc>
        <w:tc>
          <w:tcPr>
            <w:tcW w:w="1040" w:type="dxa"/>
            <w:vAlign w:val="bottom"/>
          </w:tcPr>
          <w:p>
            <w:pPr>
              <w:jc w:val="right"/>
              <w:ind w:right="78"/>
              <w:spacing w:after="0"/>
              <w:rPr>
                <w:sz w:val="20"/>
                <w:szCs w:val="20"/>
                <w:color w:val="auto"/>
              </w:rPr>
            </w:pPr>
            <w:r>
              <w:rPr>
                <w:rFonts w:ascii="Arial" w:cs="Arial" w:eastAsia="Arial" w:hAnsi="Arial"/>
                <w:sz w:val="16"/>
                <w:szCs w:val="16"/>
                <w:color w:val="auto"/>
              </w:rPr>
              <w:t>3,192</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(827)</w:t>
            </w:r>
          </w:p>
        </w:tc>
        <w:tc>
          <w:tcPr>
            <w:tcW w:w="1360" w:type="dxa"/>
            <w:vAlign w:val="bottom"/>
          </w:tcPr>
          <w:p>
            <w:pPr>
              <w:jc w:val="right"/>
              <w:spacing w:after="0"/>
              <w:rPr>
                <w:sz w:val="20"/>
                <w:szCs w:val="20"/>
                <w:color w:val="auto"/>
              </w:rPr>
            </w:pPr>
            <w:r>
              <w:rPr>
                <w:rFonts w:ascii="Arial" w:cs="Arial" w:eastAsia="Arial" w:hAnsi="Arial"/>
                <w:sz w:val="16"/>
                <w:szCs w:val="16"/>
                <w:color w:val="auto"/>
              </w:rPr>
              <w:t>(25.9)%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Losses from catastrophes (1)</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Total ceded loss and loss adjustment expenses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2,405</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3,192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360" w:type="dxa"/>
            <w:vAlign w:val="bottom"/>
          </w:tcPr>
          <w:p>
            <w:pPr>
              <w:jc w:val="right"/>
              <w:spacing w:after="0"/>
              <w:rPr>
                <w:sz w:val="20"/>
                <w:szCs w:val="20"/>
                <w:color w:val="auto"/>
              </w:rPr>
            </w:pPr>
            <w:r>
              <w:rPr>
                <w:rFonts w:ascii="Arial" w:cs="Arial" w:eastAsia="Arial" w:hAnsi="Arial"/>
                <w:sz w:val="16"/>
                <w:szCs w:val="16"/>
                <w:color w:val="auto"/>
              </w:rPr>
              <w:t>(24.7)%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Net loss and loss adjustment expenses: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and loss adjustment expenses excluding the effect of catastrophes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10,992</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7,455</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3,537</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Losses from catastrophes (1)</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184</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184</w:t>
            </w:r>
          </w:p>
        </w:tc>
        <w:tc>
          <w:tcPr>
            <w:tcW w:w="1360" w:type="dxa"/>
            <w:vAlign w:val="bottom"/>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loss and loss adjustment expenses</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11,176</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7,455</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3,721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Commission expense</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6,017</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5,102</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915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Other underwriting expenses</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5,076</w:t>
            </w:r>
          </w:p>
        </w:tc>
        <w:tc>
          <w:tcPr>
            <w:tcW w:w="320" w:type="dxa"/>
            <w:vAlign w:val="bottom"/>
          </w:tcPr>
          <w:p>
            <w:pPr>
              <w:spacing w:after="0"/>
              <w:rPr>
                <w:sz w:val="17"/>
                <w:szCs w:val="17"/>
                <w:color w:val="auto"/>
              </w:rPr>
            </w:pPr>
          </w:p>
        </w:tc>
        <w:tc>
          <w:tcPr>
            <w:tcW w:w="1040" w:type="dxa"/>
            <w:vAlign w:val="bottom"/>
          </w:tcPr>
          <w:p>
            <w:pPr>
              <w:jc w:val="right"/>
              <w:ind w:right="78"/>
              <w:spacing w:after="0"/>
              <w:rPr>
                <w:sz w:val="20"/>
                <w:szCs w:val="20"/>
                <w:color w:val="auto"/>
              </w:rPr>
            </w:pPr>
            <w:r>
              <w:rPr>
                <w:rFonts w:ascii="Arial" w:cs="Arial" w:eastAsia="Arial" w:hAnsi="Arial"/>
                <w:sz w:val="16"/>
                <w:szCs w:val="16"/>
                <w:color w:val="auto"/>
              </w:rPr>
              <w:t>4,200</w:t>
            </w:r>
          </w:p>
        </w:tc>
        <w:tc>
          <w:tcPr>
            <w:tcW w:w="300" w:type="dxa"/>
            <w:vAlign w:val="bottom"/>
          </w:tcPr>
          <w:p>
            <w:pPr>
              <w:spacing w:after="0"/>
              <w:rPr>
                <w:sz w:val="17"/>
                <w:szCs w:val="17"/>
                <w:color w:val="auto"/>
              </w:rPr>
            </w:pP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876</w:t>
            </w:r>
          </w:p>
        </w:tc>
        <w:tc>
          <w:tcPr>
            <w:tcW w:w="1360" w:type="dxa"/>
            <w:vAlign w:val="bottom"/>
          </w:tcPr>
          <w:p>
            <w:pPr>
              <w:jc w:val="right"/>
              <w:spacing w:after="0"/>
              <w:rPr>
                <w:sz w:val="20"/>
                <w:szCs w:val="20"/>
                <w:color w:val="auto"/>
              </w:rPr>
            </w:pPr>
            <w:r>
              <w:rPr>
                <w:rFonts w:ascii="Arial" w:cs="Arial" w:eastAsia="Arial" w:hAnsi="Arial"/>
                <w:sz w:val="16"/>
                <w:szCs w:val="16"/>
                <w:color w:val="auto"/>
              </w:rPr>
              <w:t>20.9%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operating expenses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843</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906</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424</w:t>
            </w:r>
          </w:p>
        </w:tc>
        <w:tc>
          <w:tcPr>
            <w:tcW w:w="320" w:type="dxa"/>
            <w:vAlign w:val="bottom"/>
          </w:tcPr>
          <w:p>
            <w:pPr>
              <w:spacing w:after="0"/>
              <w:rPr>
                <w:sz w:val="17"/>
                <w:szCs w:val="17"/>
                <w:color w:val="auto"/>
              </w:rPr>
            </w:pPr>
          </w:p>
        </w:tc>
        <w:tc>
          <w:tcPr>
            <w:tcW w:w="1040" w:type="dxa"/>
            <w:vAlign w:val="bottom"/>
          </w:tcPr>
          <w:p>
            <w:pPr>
              <w:jc w:val="right"/>
              <w:ind w:right="78"/>
              <w:spacing w:after="0"/>
              <w:rPr>
                <w:sz w:val="20"/>
                <w:szCs w:val="20"/>
                <w:color w:val="auto"/>
              </w:rPr>
            </w:pPr>
            <w:r>
              <w:rPr>
                <w:rFonts w:ascii="Arial" w:cs="Arial" w:eastAsia="Arial" w:hAnsi="Arial"/>
                <w:sz w:val="16"/>
                <w:szCs w:val="16"/>
                <w:color w:val="auto"/>
              </w:rPr>
              <w:t>326</w:t>
            </w:r>
          </w:p>
        </w:tc>
        <w:tc>
          <w:tcPr>
            <w:tcW w:w="300" w:type="dxa"/>
            <w:vAlign w:val="bottom"/>
          </w:tcPr>
          <w:p>
            <w:pPr>
              <w:spacing w:after="0"/>
              <w:rPr>
                <w:sz w:val="17"/>
                <w:szCs w:val="17"/>
                <w:color w:val="auto"/>
              </w:rPr>
            </w:pP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98</w:t>
            </w:r>
          </w:p>
        </w:tc>
        <w:tc>
          <w:tcPr>
            <w:tcW w:w="1360" w:type="dxa"/>
            <w:vAlign w:val="bottom"/>
          </w:tcPr>
          <w:p>
            <w:pPr>
              <w:jc w:val="right"/>
              <w:spacing w:after="0"/>
              <w:rPr>
                <w:sz w:val="20"/>
                <w:szCs w:val="20"/>
                <w:color w:val="auto"/>
              </w:rPr>
            </w:pPr>
            <w:r>
              <w:rPr>
                <w:rFonts w:ascii="Arial" w:cs="Arial" w:eastAsia="Arial" w:hAnsi="Arial"/>
                <w:sz w:val="16"/>
                <w:szCs w:val="16"/>
                <w:color w:val="auto"/>
              </w:rPr>
              <w:t>30.1%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452</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452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Total expenses</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23,989</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17,989</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6,000</w:t>
            </w:r>
          </w:p>
        </w:tc>
        <w:tc>
          <w:tcPr>
            <w:tcW w:w="1360" w:type="dxa"/>
            <w:vAlign w:val="bottom"/>
          </w:tcPr>
          <w:p>
            <w:pPr>
              <w:jc w:val="right"/>
              <w:spacing w:after="0"/>
              <w:rPr>
                <w:sz w:val="20"/>
                <w:szCs w:val="20"/>
                <w:color w:val="auto"/>
              </w:rPr>
            </w:pPr>
            <w:r>
              <w:rPr>
                <w:rFonts w:ascii="Arial" w:cs="Arial" w:eastAsia="Arial" w:hAnsi="Arial"/>
                <w:sz w:val="16"/>
                <w:szCs w:val="16"/>
                <w:color w:val="auto"/>
              </w:rPr>
              <w:t>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Income from operations before taxes</w:t>
            </w:r>
          </w:p>
        </w:tc>
        <w:tc>
          <w:tcPr>
            <w:tcW w:w="380" w:type="dxa"/>
            <w:vAlign w:val="bottom"/>
          </w:tcPr>
          <w:p>
            <w:pPr>
              <w:spacing w:after="0"/>
              <w:rPr>
                <w:sz w:val="17"/>
                <w:szCs w:val="17"/>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3,557</w:t>
            </w:r>
          </w:p>
        </w:tc>
        <w:tc>
          <w:tcPr>
            <w:tcW w:w="320" w:type="dxa"/>
            <w:vAlign w:val="bottom"/>
          </w:tcPr>
          <w:p>
            <w:pPr>
              <w:spacing w:after="0"/>
              <w:rPr>
                <w:sz w:val="17"/>
                <w:szCs w:val="17"/>
                <w:color w:val="auto"/>
              </w:rPr>
            </w:pPr>
          </w:p>
        </w:tc>
        <w:tc>
          <w:tcPr>
            <w:tcW w:w="1040" w:type="dxa"/>
            <w:vAlign w:val="bottom"/>
          </w:tcPr>
          <w:p>
            <w:pPr>
              <w:jc w:val="right"/>
              <w:ind w:right="78"/>
              <w:spacing w:after="0"/>
              <w:rPr>
                <w:sz w:val="20"/>
                <w:szCs w:val="20"/>
                <w:color w:val="auto"/>
              </w:rPr>
            </w:pPr>
            <w:r>
              <w:rPr>
                <w:rFonts w:ascii="Arial" w:cs="Arial" w:eastAsia="Arial" w:hAnsi="Arial"/>
                <w:sz w:val="16"/>
                <w:szCs w:val="16"/>
                <w:color w:val="auto"/>
              </w:rPr>
              <w:t>3,735</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w:t>
            </w:r>
          </w:p>
        </w:tc>
        <w:tc>
          <w:tcPr>
            <w:tcW w:w="1360" w:type="dxa"/>
            <w:vAlign w:val="bottom"/>
          </w:tcPr>
          <w:p>
            <w:pPr>
              <w:jc w:val="right"/>
              <w:spacing w:after="0"/>
              <w:rPr>
                <w:sz w:val="20"/>
                <w:szCs w:val="20"/>
                <w:color w:val="auto"/>
              </w:rPr>
            </w:pPr>
            <w:r>
              <w:rPr>
                <w:rFonts w:ascii="Arial" w:cs="Arial" w:eastAsia="Arial" w:hAnsi="Arial"/>
                <w:sz w:val="16"/>
                <w:szCs w:val="16"/>
                <w:color w:val="auto"/>
              </w:rPr>
              <w:t>(4.8)%</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800</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1,225</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2,757</w:t>
            </w:r>
          </w:p>
        </w:tc>
        <w:tc>
          <w:tcPr>
            <w:tcW w:w="3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2,510</w:t>
            </w:r>
          </w:p>
        </w:tc>
        <w:tc>
          <w:tcPr>
            <w:tcW w:w="3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247</w:t>
            </w:r>
          </w:p>
        </w:tc>
        <w:tc>
          <w:tcPr>
            <w:tcW w:w="1360" w:type="dxa"/>
            <w:vAlign w:val="bottom"/>
          </w:tcPr>
          <w:p>
            <w:pPr>
              <w:jc w:val="right"/>
              <w:spacing w:after="0"/>
              <w:rPr>
                <w:sz w:val="20"/>
                <w:szCs w:val="20"/>
                <w:color w:val="auto"/>
              </w:rPr>
            </w:pPr>
            <w:r>
              <w:rPr>
                <w:rFonts w:ascii="Arial" w:cs="Arial" w:eastAsia="Arial" w:hAnsi="Arial"/>
                <w:sz w:val="16"/>
                <w:szCs w:val="16"/>
                <w:color w:val="auto"/>
              </w:rPr>
              <w:t>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jc w:val="both"/>
        <w:ind w:left="600" w:right="60" w:hanging="295"/>
        <w:spacing w:after="0" w:line="280"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three months ended June 30, 2018 includes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30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80"/>
          </w:cols>
          <w:pgMar w:left="240" w:top="536" w:right="17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2"/>
          </w:tcPr>
          <w:p>
            <w:pPr>
              <w:jc w:val="right"/>
              <w:ind w:right="423"/>
              <w:spacing w:after="0"/>
              <w:rPr>
                <w:sz w:val="20"/>
                <w:szCs w:val="20"/>
                <w:color w:val="auto"/>
              </w:rPr>
            </w:pPr>
            <w:r>
              <w:rPr>
                <w:rFonts w:ascii="Arial" w:cs="Arial" w:eastAsia="Arial" w:hAnsi="Arial"/>
                <w:sz w:val="14"/>
                <w:szCs w:val="14"/>
                <w:b w:val="1"/>
                <w:bCs w:val="1"/>
                <w:color w:val="auto"/>
              </w:rPr>
              <w:t>Three months ended June 30,</w:t>
            </w:r>
          </w:p>
        </w:tc>
        <w:tc>
          <w:tcPr>
            <w:tcW w:w="1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5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right"/>
              <w:ind w:right="103"/>
              <w:spacing w:after="0" w:line="139" w:lineRule="exact"/>
              <w:rPr>
                <w:sz w:val="20"/>
                <w:szCs w:val="20"/>
                <w:color w:val="auto"/>
              </w:rPr>
            </w:pPr>
            <w:r>
              <w:rPr>
                <w:rFonts w:ascii="Arial" w:cs="Arial" w:eastAsia="Arial" w:hAnsi="Arial"/>
                <w:sz w:val="14"/>
                <w:szCs w:val="14"/>
                <w:b w:val="1"/>
                <w:bCs w:val="1"/>
                <w:color w:val="auto"/>
                <w:w w:val="94"/>
              </w:rPr>
              <w:t>Percentage Point</w:t>
            </w: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6840" w:type="dxa"/>
            <w:vAlign w:val="bottom"/>
            <w:gridSpan w:val="2"/>
          </w:tcPr>
          <w:p>
            <w:pPr>
              <w:ind w:left="6500"/>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14"/>
                <w:szCs w:val="14"/>
                <w:color w:val="auto"/>
              </w:rPr>
            </w:pPr>
          </w:p>
        </w:tc>
        <w:tc>
          <w:tcPr>
            <w:tcW w:w="1220" w:type="dxa"/>
            <w:vAlign w:val="bottom"/>
          </w:tcPr>
          <w:p>
            <w:pPr>
              <w:jc w:val="right"/>
              <w:ind w:right="563"/>
              <w:spacing w:after="0"/>
              <w:rPr>
                <w:sz w:val="20"/>
                <w:szCs w:val="20"/>
                <w:color w:val="auto"/>
              </w:rPr>
            </w:pPr>
            <w:r>
              <w:rPr>
                <w:rFonts w:ascii="Arial" w:cs="Arial" w:eastAsia="Arial" w:hAnsi="Arial"/>
                <w:sz w:val="14"/>
                <w:szCs w:val="14"/>
                <w:b w:val="1"/>
                <w:bCs w:val="1"/>
                <w:color w:val="auto"/>
              </w:rPr>
              <w:t>2017</w:t>
            </w:r>
          </w:p>
        </w:tc>
        <w:tc>
          <w:tcPr>
            <w:tcW w:w="1280" w:type="dxa"/>
            <w:vAlign w:val="bottom"/>
          </w:tcPr>
          <w:p>
            <w:pPr>
              <w:jc w:val="right"/>
              <w:ind w:right="383"/>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Percent Change</w:t>
            </w:r>
          </w:p>
        </w:tc>
      </w:tr>
      <w:tr>
        <w:trPr>
          <w:trHeight w:val="228"/>
        </w:trPr>
        <w:tc>
          <w:tcPr>
            <w:tcW w:w="59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Key ratios:</w:t>
            </w:r>
          </w:p>
        </w:tc>
        <w:tc>
          <w:tcPr>
            <w:tcW w:w="7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6840" w:type="dxa"/>
            <w:vAlign w:val="bottom"/>
            <w:gridSpan w:val="2"/>
          </w:tcPr>
          <w:p>
            <w:pPr>
              <w:ind w:left="200"/>
              <w:spacing w:after="0"/>
              <w:rPr>
                <w:sz w:val="20"/>
                <w:szCs w:val="20"/>
                <w:color w:val="auto"/>
              </w:rPr>
            </w:pPr>
            <w:r>
              <w:rPr>
                <w:rFonts w:ascii="Arial" w:cs="Arial" w:eastAsia="Arial" w:hAnsi="Arial"/>
                <w:sz w:val="16"/>
                <w:szCs w:val="16"/>
                <w:color w:val="auto"/>
              </w:rPr>
              <w:t>Net loss ratio</w:t>
            </w:r>
          </w:p>
        </w:tc>
        <w:tc>
          <w:tcPr>
            <w:tcW w:w="720" w:type="dxa"/>
            <w:vAlign w:val="bottom"/>
          </w:tcPr>
          <w:p>
            <w:pPr>
              <w:jc w:val="right"/>
              <w:ind w:right="158"/>
              <w:spacing w:after="0"/>
              <w:rPr>
                <w:sz w:val="20"/>
                <w:szCs w:val="20"/>
                <w:color w:val="auto"/>
              </w:rPr>
            </w:pPr>
            <w:r>
              <w:rPr>
                <w:rFonts w:ascii="Arial" w:cs="Arial" w:eastAsia="Arial" w:hAnsi="Arial"/>
                <w:sz w:val="16"/>
                <w:szCs w:val="16"/>
                <w:color w:val="auto"/>
              </w:rPr>
              <w:t>46.4%</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44.0%</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2.4</w:t>
            </w:r>
          </w:p>
        </w:tc>
        <w:tc>
          <w:tcPr>
            <w:tcW w:w="136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7"/>
                <w:szCs w:val="17"/>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underwriting expense ratio</w:t>
            </w:r>
          </w:p>
        </w:tc>
        <w:tc>
          <w:tcPr>
            <w:tcW w:w="8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37.8%</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33.6%</w:t>
            </w:r>
          </w:p>
        </w:tc>
        <w:tc>
          <w:tcPr>
            <w:tcW w:w="12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4.2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0" w:type="dxa"/>
            <w:vAlign w:val="bottom"/>
          </w:tcPr>
          <w:p>
            <w:pPr>
              <w:spacing w:after="0"/>
              <w:rPr>
                <w:sz w:val="18"/>
                <w:szCs w:val="18"/>
                <w:color w:val="auto"/>
              </w:rPr>
            </w:pPr>
          </w:p>
        </w:tc>
      </w:tr>
      <w:tr>
        <w:trPr>
          <w:trHeight w:val="203"/>
        </w:trPr>
        <w:tc>
          <w:tcPr>
            <w:tcW w:w="6840" w:type="dxa"/>
            <w:vAlign w:val="bottom"/>
            <w:gridSpan w:val="2"/>
          </w:tcPr>
          <w:p>
            <w:pPr>
              <w:ind w:left="200"/>
              <w:spacing w:after="0"/>
              <w:rPr>
                <w:sz w:val="20"/>
                <w:szCs w:val="20"/>
                <w:color w:val="auto"/>
              </w:rPr>
            </w:pPr>
            <w:r>
              <w:rPr>
                <w:rFonts w:ascii="Arial" w:cs="Arial" w:eastAsia="Arial" w:hAnsi="Arial"/>
                <w:sz w:val="16"/>
                <w:szCs w:val="16"/>
                <w:color w:val="auto"/>
              </w:rPr>
              <w:t>Net combined ratio</w:t>
            </w:r>
          </w:p>
        </w:tc>
        <w:tc>
          <w:tcPr>
            <w:tcW w:w="720" w:type="dxa"/>
            <w:vAlign w:val="bottom"/>
          </w:tcPr>
          <w:p>
            <w:pPr>
              <w:jc w:val="right"/>
              <w:ind w:right="158"/>
              <w:spacing w:after="0"/>
              <w:rPr>
                <w:sz w:val="20"/>
                <w:szCs w:val="20"/>
                <w:color w:val="auto"/>
              </w:rPr>
            </w:pPr>
            <w:r>
              <w:rPr>
                <w:rFonts w:ascii="Arial" w:cs="Arial" w:eastAsia="Arial" w:hAnsi="Arial"/>
                <w:sz w:val="16"/>
                <w:szCs w:val="16"/>
                <w:color w:val="auto"/>
              </w:rPr>
              <w:t>84.2%</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77.6%</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6.6</w:t>
            </w:r>
          </w:p>
        </w:tc>
        <w:tc>
          <w:tcPr>
            <w:tcW w:w="1360" w:type="dxa"/>
            <w:vAlign w:val="bottom"/>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Direct Written Premiums</w:t>
      </w:r>
    </w:p>
    <w:p>
      <w:pPr>
        <w:spacing w:after="0" w:line="158" w:lineRule="exact"/>
        <w:rPr>
          <w:sz w:val="20"/>
          <w:szCs w:val="20"/>
          <w:color w:val="auto"/>
        </w:rPr>
      </w:pPr>
    </w:p>
    <w:p>
      <w:pPr>
        <w:jc w:val="both"/>
        <w:ind w:firstLine="608"/>
        <w:spacing w:after="0" w:line="270" w:lineRule="auto"/>
        <w:rPr>
          <w:sz w:val="20"/>
          <w:szCs w:val="20"/>
          <w:color w:val="auto"/>
        </w:rPr>
      </w:pPr>
      <w:r>
        <w:rPr>
          <w:rFonts w:ascii="Arial" w:cs="Arial" w:eastAsia="Arial" w:hAnsi="Arial"/>
          <w:sz w:val="16"/>
          <w:szCs w:val="16"/>
          <w:color w:val="auto"/>
        </w:rPr>
        <w:t>Direct written premiums during the three months ended June 30, 2018 (“Q2-2018”) were $36,864,000 compared to $30,458,000 during the three months ended June 30, 2017 (“Q2-2017”). The increase of $6,406,000, or 21.0%, was primarily due to an increase in policies in-force during 2018 as compared to 2017 driven by continued growth in new business. We wrote more new policies as a result of continued demand for our products in the markets that we serve. We believe that a portion of our growth in new policies is attributable to our upgraded A.M. Best rating of A- that we received in April 2017. During 2017 and 2018, we started writing homeowners policies in our aforementioned Expansion markets. Direct written premiums from our Expansion business were $2,167,000 in Q2-2018, compared to $229,000 in Q2-2017. Policies in-force increased by 20.3% as of June 30, 2018 compared to June 30, 2017.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Written Premiums and Net Premiums Earned</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The following table describes the quota share reinsurance ceding rates in effect during Q2-2018 and Q2-2017. For purposes of the discussion herein, the change in the quota share ceding rates on July 1, 2017 will be referred to as “the Cut-off”. This table should be referred to in conjunction with the discussions for net written premiums, net premiums earned, ceding commission revenue and net loss and loss adjustment expenses that follow.</w:t>
      </w:r>
    </w:p>
    <w:p>
      <w:pPr>
        <w:spacing w:after="0" w:line="99"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5374005</wp:posOffset>
            </wp:positionH>
            <wp:positionV relativeFrom="paragraph">
              <wp:posOffset>-6985</wp:posOffset>
            </wp:positionV>
            <wp:extent cx="188214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82140" cy="1587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58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w w:val="89"/>
              </w:rPr>
              <w:t>2017</w:t>
            </w:r>
          </w:p>
        </w:tc>
      </w:tr>
      <w:tr>
        <w:trPr>
          <w:trHeight w:val="139"/>
        </w:trPr>
        <w:tc>
          <w:tcPr>
            <w:tcW w:w="8460" w:type="dxa"/>
            <w:vAlign w:val="bottom"/>
          </w:tcPr>
          <w:p>
            <w:pPr>
              <w:spacing w:after="0"/>
              <w:rPr>
                <w:sz w:val="12"/>
                <w:szCs w:val="12"/>
                <w:color w:val="auto"/>
              </w:rPr>
            </w:pPr>
          </w:p>
        </w:tc>
        <w:tc>
          <w:tcPr>
            <w:tcW w:w="13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("2017/2019</w:t>
            </w:r>
          </w:p>
        </w:tc>
        <w:tc>
          <w:tcPr>
            <w:tcW w:w="2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("2016/2017</w:t>
            </w:r>
          </w:p>
        </w:tc>
      </w:tr>
      <w:tr>
        <w:trPr>
          <w:trHeight w:val="182"/>
        </w:trPr>
        <w:tc>
          <w:tcPr>
            <w:tcW w:w="8460" w:type="dxa"/>
            <w:vAlign w:val="bottom"/>
          </w:tcPr>
          <w:p>
            <w:pPr>
              <w:spacing w:after="0"/>
              <w:rPr>
                <w:sz w:val="15"/>
                <w:szCs w:val="15"/>
                <w:color w:val="auto"/>
              </w:rPr>
            </w:pPr>
          </w:p>
        </w:tc>
        <w:tc>
          <w:tcPr>
            <w:tcW w:w="1380" w:type="dxa"/>
            <w:vAlign w:val="bottom"/>
          </w:tcPr>
          <w:p>
            <w:pPr>
              <w:ind w:left="440"/>
              <w:spacing w:after="0"/>
              <w:rPr>
                <w:sz w:val="20"/>
                <w:szCs w:val="20"/>
                <w:color w:val="auto"/>
              </w:rPr>
            </w:pPr>
            <w:r>
              <w:rPr>
                <w:rFonts w:ascii="Arial" w:cs="Arial" w:eastAsia="Arial" w:hAnsi="Arial"/>
                <w:sz w:val="14"/>
                <w:szCs w:val="14"/>
                <w:b w:val="1"/>
                <w:bCs w:val="1"/>
                <w:color w:val="auto"/>
              </w:rPr>
              <w:t>Treaty")</w:t>
            </w:r>
          </w:p>
        </w:tc>
        <w:tc>
          <w:tcPr>
            <w:tcW w:w="220" w:type="dxa"/>
            <w:vAlign w:val="bottom"/>
          </w:tcPr>
          <w:p>
            <w:pPr>
              <w:spacing w:after="0"/>
              <w:rPr>
                <w:sz w:val="15"/>
                <w:szCs w:val="15"/>
                <w:color w:val="auto"/>
              </w:rPr>
            </w:pP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Treaty")</w:t>
            </w:r>
          </w:p>
        </w:tc>
      </w:tr>
      <w:tr>
        <w:trPr>
          <w:trHeight w:val="186"/>
        </w:trPr>
        <w:tc>
          <w:tcPr>
            <w:tcW w:w="84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Quota share reinsurance rates</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9"/>
        </w:trPr>
        <w:tc>
          <w:tcPr>
            <w:tcW w:w="8460" w:type="dxa"/>
            <w:vAlign w:val="bottom"/>
          </w:tcPr>
          <w:p>
            <w:pPr>
              <w:ind w:left="340"/>
              <w:spacing w:after="0"/>
              <w:rPr>
                <w:sz w:val="20"/>
                <w:szCs w:val="20"/>
                <w:color w:val="auto"/>
              </w:rPr>
            </w:pPr>
            <w:r>
              <w:rPr>
                <w:rFonts w:ascii="Arial" w:cs="Arial" w:eastAsia="Arial" w:hAnsi="Arial"/>
                <w:sz w:val="16"/>
                <w:szCs w:val="16"/>
                <w:color w:val="auto"/>
              </w:rPr>
              <w:t>Personal lines</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580" w:type="dxa"/>
            <w:vAlign w:val="bottom"/>
            <w:gridSpan w:val="2"/>
          </w:tcPr>
          <w:p>
            <w:pPr>
              <w:jc w:val="center"/>
              <w:ind w:left="164"/>
              <w:spacing w:after="0"/>
              <w:rPr>
                <w:sz w:val="20"/>
                <w:szCs w:val="20"/>
                <w:color w:val="auto"/>
              </w:rPr>
            </w:pPr>
            <w:r>
              <w:rPr>
                <w:rFonts w:ascii="Arial" w:cs="Arial" w:eastAsia="Arial" w:hAnsi="Arial"/>
                <w:sz w:val="16"/>
                <w:szCs w:val="16"/>
                <w:color w:val="auto"/>
                <w:w w:val="93"/>
              </w:rPr>
              <w:t>40%</w:t>
            </w:r>
          </w:p>
        </w:tc>
      </w:tr>
    </w:tbl>
    <w:p>
      <w:pPr>
        <w:spacing w:after="0" w:line="18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See “Reinsurance” below for changes to our personal lines quota share treaty effective July 1, 2017.</w:t>
      </w:r>
    </w:p>
    <w:p>
      <w:pPr>
        <w:spacing w:after="0" w:line="221" w:lineRule="exact"/>
        <w:rPr>
          <w:sz w:val="20"/>
          <w:szCs w:val="20"/>
          <w:color w:val="auto"/>
        </w:rPr>
      </w:pPr>
    </w:p>
    <w:p>
      <w:pPr>
        <w:jc w:val="both"/>
        <w:ind w:firstLine="608"/>
        <w:spacing w:after="0" w:line="272" w:lineRule="auto"/>
        <w:rPr>
          <w:sz w:val="20"/>
          <w:szCs w:val="20"/>
          <w:color w:val="auto"/>
        </w:rPr>
      </w:pPr>
      <w:r>
        <w:rPr>
          <w:rFonts w:ascii="Arial" w:cs="Arial" w:eastAsia="Arial" w:hAnsi="Arial"/>
          <w:sz w:val="16"/>
          <w:szCs w:val="16"/>
          <w:color w:val="auto"/>
        </w:rPr>
        <w:t>Net written premiums increased $8,238,000, or 41.8%, to $27,965,000 in Q2-2018 from $19,727,000 in Q2-2017. Net written premiums include direct and assumed premiums, less the amount of written premiums ceded under our reinsurance treaties (quota share, excess of loss, and catastrophe). Our personal lines business is currently subject to a quota share treaty. A reduction to the quota share percentage or elimination of a quota share treaty will reduce our ceded written premiums, which will result in a corresponding increase to our net written premiums. The increase in net written premiums is due to growth and the reduction of our personal lines quota share reinsurance rate to 20% on July 1, 2017.</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53" w:name="page54"/>
    <w:bookmarkEnd w:id="53"/>
    <w:p>
      <w:pPr>
        <w:ind w:left="600"/>
        <w:spacing w:after="0"/>
        <w:rPr>
          <w:sz w:val="20"/>
          <w:szCs w:val="20"/>
          <w:color w:val="auto"/>
        </w:rPr>
      </w:pPr>
      <w:r>
        <w:rPr>
          <w:rFonts w:ascii="Arial" w:cs="Arial" w:eastAsia="Arial" w:hAnsi="Arial"/>
          <w:sz w:val="16"/>
          <w:szCs w:val="16"/>
          <w:i w:val="1"/>
          <w:iCs w:val="1"/>
          <w:color w:val="auto"/>
        </w:rPr>
        <w:t>Excess of loss reinsurance treaties</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An increase in written premiums will, to a lesser extent, increase the premiums ceded under our excess of loss treaties. In Q2-2018, our ceded excess of loss reinsurance premiums decreased by $18,000 over the comparable ceded premiums for Q2-2017. The decrease was due to more favorable reinsurance rates in Q2-2018, partially offset by an increase in premiums subject to excess of loss reinsurance.</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Catastrophe reinsurance treaties</w:t>
      </w:r>
    </w:p>
    <w:p>
      <w:pPr>
        <w:spacing w:after="0" w:line="158" w:lineRule="exact"/>
        <w:rPr>
          <w:sz w:val="20"/>
          <w:szCs w:val="20"/>
          <w:color w:val="auto"/>
        </w:rPr>
      </w:pPr>
    </w:p>
    <w:p>
      <w:pPr>
        <w:jc w:val="both"/>
        <w:ind w:firstLine="608"/>
        <w:spacing w:after="0" w:line="270" w:lineRule="auto"/>
        <w:rPr>
          <w:sz w:val="20"/>
          <w:szCs w:val="20"/>
          <w:color w:val="auto"/>
        </w:rPr>
      </w:pPr>
      <w:r>
        <w:rPr>
          <w:rFonts w:ascii="Arial" w:cs="Arial" w:eastAsia="Arial" w:hAnsi="Arial"/>
          <w:sz w:val="16"/>
          <w:szCs w:val="16"/>
          <w:color w:val="auto"/>
        </w:rPr>
        <w:t>Most of the premiums written under our personal lines are also subject to our catastrophe treaty. An increase in our personal lines business gives rise to more property exposure, which increases our exposure to catastrophe risk; therefore, our premiums ceded under catastrophe treaties will increase. This results in an increase in premiums ceded under our catastrophe treaty provided that reinsurance rates are stable or are increasing. In Q2-2018, our premiums ceded under catastrophe treaties increased by $746,000 over the comparable ceded premiums for Q2-2017. The increase was due to an increase in our catastrophe coverage and an increase in premiums subject to catastrophe reinsurance, partially offset by more favorable reinsurance rates in Q2-2018. Our ceded catastrophe premiums are paid based on the total direct written premiums subject to the catastrophe reinsurance treaty.</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Net premiums earned</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premiums earned increased $7,151,000, or 42.2 %, to $24,105,000 in Q2-2018 from $16,954,000 in Q2-2017. The increase was due to the increase in written premiums discussed above and our retaining more earned premiums effective July 1, 2017, as a result of the reduction of the quota share percentage in our personal lines quota share treaty.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Ceding Commission Revenue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The following table details the quota share provisional ceding commission rates in effect during Q2-2018 and Q2-2017. This table should be referred to in conjunction with the discussion for ceding commission revenue that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Three months ended</w:t>
            </w:r>
          </w:p>
        </w:tc>
      </w:tr>
      <w:tr>
        <w:trPr>
          <w:trHeight w:val="171"/>
        </w:trPr>
        <w:tc>
          <w:tcPr>
            <w:tcW w:w="48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1050"/>
              <w:spacing w:after="0"/>
              <w:rPr>
                <w:sz w:val="20"/>
                <w:szCs w:val="20"/>
                <w:color w:val="auto"/>
              </w:rPr>
            </w:pPr>
            <w:r>
              <w:rPr>
                <w:rFonts w:ascii="Arial" w:cs="Arial" w:eastAsia="Arial" w:hAnsi="Arial"/>
                <w:sz w:val="14"/>
                <w:szCs w:val="14"/>
                <w:b w:val="1"/>
                <w:bCs w:val="1"/>
                <w:color w:val="auto"/>
                <w:w w:val="89"/>
              </w:rPr>
              <w:t>June 30,</w:t>
            </w:r>
          </w:p>
        </w:tc>
      </w:tr>
      <w:tr>
        <w:trPr>
          <w:trHeight w:val="183"/>
        </w:trPr>
        <w:tc>
          <w:tcPr>
            <w:tcW w:w="48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40" w:type="dxa"/>
            <w:vAlign w:val="bottom"/>
          </w:tcPr>
          <w:p>
            <w:pPr>
              <w:jc w:val="center"/>
              <w:ind w:left="150"/>
              <w:spacing w:after="0"/>
              <w:rPr>
                <w:sz w:val="20"/>
                <w:szCs w:val="20"/>
                <w:color w:val="auto"/>
              </w:rPr>
            </w:pPr>
            <w:r>
              <w:rPr>
                <w:rFonts w:ascii="Arial" w:cs="Arial" w:eastAsia="Arial" w:hAnsi="Arial"/>
                <w:sz w:val="14"/>
                <w:szCs w:val="14"/>
                <w:b w:val="1"/>
                <w:bCs w:val="1"/>
                <w:color w:val="auto"/>
                <w:w w:val="89"/>
              </w:rPr>
              <w:t>2018</w:t>
            </w:r>
          </w:p>
        </w:tc>
        <w:tc>
          <w:tcPr>
            <w:tcW w:w="1820" w:type="dxa"/>
            <w:vAlign w:val="bottom"/>
            <w:gridSpan w:val="3"/>
          </w:tcPr>
          <w:p>
            <w:pPr>
              <w:jc w:val="center"/>
              <w:ind w:left="386"/>
              <w:spacing w:after="0"/>
              <w:rPr>
                <w:sz w:val="20"/>
                <w:szCs w:val="20"/>
                <w:color w:val="auto"/>
              </w:rPr>
            </w:pPr>
            <w:r>
              <w:rPr>
                <w:rFonts w:ascii="Arial" w:cs="Arial" w:eastAsia="Arial" w:hAnsi="Arial"/>
                <w:sz w:val="14"/>
                <w:szCs w:val="14"/>
                <w:b w:val="1"/>
                <w:bCs w:val="1"/>
                <w:color w:val="auto"/>
                <w:w w:val="89"/>
              </w:rPr>
              <w:t>2017</w:t>
            </w:r>
          </w:p>
        </w:tc>
      </w:tr>
      <w:tr>
        <w:trPr>
          <w:trHeight w:val="139"/>
        </w:trPr>
        <w:tc>
          <w:tcPr>
            <w:tcW w:w="48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40" w:type="dxa"/>
            <w:vAlign w:val="bottom"/>
            <w:tcBorders>
              <w:top w:val="single" w:sz="8" w:color="auto"/>
            </w:tcBorders>
          </w:tcPr>
          <w:p>
            <w:pPr>
              <w:jc w:val="center"/>
              <w:ind w:left="150"/>
              <w:spacing w:after="0" w:line="139" w:lineRule="exact"/>
              <w:rPr>
                <w:sz w:val="20"/>
                <w:szCs w:val="20"/>
                <w:color w:val="auto"/>
              </w:rPr>
            </w:pPr>
            <w:r>
              <w:rPr>
                <w:rFonts w:ascii="Arial" w:cs="Arial" w:eastAsia="Arial" w:hAnsi="Arial"/>
                <w:sz w:val="14"/>
                <w:szCs w:val="14"/>
                <w:b w:val="1"/>
                <w:bCs w:val="1"/>
                <w:color w:val="auto"/>
                <w:w w:val="92"/>
              </w:rPr>
              <w:t>("2017/2019</w:t>
            </w:r>
          </w:p>
        </w:tc>
        <w:tc>
          <w:tcPr>
            <w:tcW w:w="2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("2016/2017</w:t>
            </w:r>
          </w:p>
        </w:tc>
      </w:tr>
      <w:tr>
        <w:trPr>
          <w:trHeight w:val="182"/>
        </w:trPr>
        <w:tc>
          <w:tcPr>
            <w:tcW w:w="48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40" w:type="dxa"/>
            <w:vAlign w:val="bottom"/>
          </w:tcPr>
          <w:p>
            <w:pPr>
              <w:ind w:left="440"/>
              <w:spacing w:after="0"/>
              <w:rPr>
                <w:sz w:val="20"/>
                <w:szCs w:val="20"/>
                <w:color w:val="auto"/>
              </w:rPr>
            </w:pPr>
            <w:r>
              <w:rPr>
                <w:rFonts w:ascii="Arial" w:cs="Arial" w:eastAsia="Arial" w:hAnsi="Arial"/>
                <w:sz w:val="14"/>
                <w:szCs w:val="14"/>
                <w:b w:val="1"/>
                <w:bCs w:val="1"/>
                <w:color w:val="auto"/>
              </w:rPr>
              <w:t>Treaty")</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Treaty")</w:t>
            </w:r>
          </w:p>
        </w:tc>
      </w:tr>
      <w:tr>
        <w:trPr>
          <w:trHeight w:val="186"/>
        </w:trPr>
        <w:tc>
          <w:tcPr>
            <w:tcW w:w="48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48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Provisional ceding commission rate on quota share treaty</w:t>
            </w:r>
          </w:p>
        </w:tc>
        <w:tc>
          <w:tcPr>
            <w:tcW w:w="3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9"/>
        </w:trPr>
        <w:tc>
          <w:tcPr>
            <w:tcW w:w="4860" w:type="dxa"/>
            <w:vAlign w:val="bottom"/>
          </w:tcPr>
          <w:p>
            <w:pPr>
              <w:ind w:left="340"/>
              <w:spacing w:after="0"/>
              <w:rPr>
                <w:sz w:val="20"/>
                <w:szCs w:val="20"/>
                <w:color w:val="auto"/>
              </w:rPr>
            </w:pPr>
            <w:r>
              <w:rPr>
                <w:rFonts w:ascii="Arial" w:cs="Arial" w:eastAsia="Arial" w:hAnsi="Arial"/>
                <w:sz w:val="16"/>
                <w:szCs w:val="16"/>
                <w:color w:val="auto"/>
              </w:rPr>
              <w:t>Personal lines</w:t>
            </w:r>
          </w:p>
        </w:tc>
        <w:tc>
          <w:tcPr>
            <w:tcW w:w="4740" w:type="dxa"/>
            <w:vAlign w:val="bottom"/>
            <w:gridSpan w:val="2"/>
          </w:tcPr>
          <w:p>
            <w:pPr>
              <w:jc w:val="center"/>
              <w:ind w:left="3758"/>
              <w:spacing w:after="0"/>
              <w:rPr>
                <w:sz w:val="20"/>
                <w:szCs w:val="20"/>
                <w:color w:val="auto"/>
              </w:rPr>
            </w:pPr>
            <w:r>
              <w:rPr>
                <w:rFonts w:ascii="Arial" w:cs="Arial" w:eastAsia="Arial" w:hAnsi="Arial"/>
                <w:sz w:val="16"/>
                <w:szCs w:val="16"/>
                <w:color w:val="auto"/>
                <w:w w:val="93"/>
              </w:rPr>
              <w:t>53%</w:t>
            </w:r>
          </w:p>
        </w:tc>
        <w:tc>
          <w:tcPr>
            <w:tcW w:w="1820" w:type="dxa"/>
            <w:vAlign w:val="bottom"/>
            <w:gridSpan w:val="3"/>
          </w:tcPr>
          <w:p>
            <w:pPr>
              <w:jc w:val="center"/>
              <w:ind w:left="406"/>
              <w:spacing w:after="0"/>
              <w:rPr>
                <w:sz w:val="20"/>
                <w:szCs w:val="20"/>
                <w:color w:val="auto"/>
              </w:rPr>
            </w:pPr>
            <w:r>
              <w:rPr>
                <w:rFonts w:ascii="Arial" w:cs="Arial" w:eastAsia="Arial" w:hAnsi="Arial"/>
                <w:sz w:val="16"/>
                <w:szCs w:val="16"/>
                <w:color w:val="auto"/>
                <w:w w:val="93"/>
              </w:rPr>
              <w:t>52%</w:t>
            </w:r>
          </w:p>
        </w:tc>
      </w:tr>
      <w:tr>
        <w:trPr>
          <w:trHeight w:val="398"/>
        </w:trPr>
        <w:tc>
          <w:tcPr>
            <w:tcW w:w="48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578"/>
              <w:spacing w:after="0"/>
              <w:rPr>
                <w:sz w:val="20"/>
                <w:szCs w:val="20"/>
                <w:color w:val="auto"/>
              </w:rPr>
            </w:pPr>
            <w:r>
              <w:rPr>
                <w:rFonts w:ascii="Arial" w:cs="Arial" w:eastAsia="Arial" w:hAnsi="Arial"/>
                <w:sz w:val="16"/>
                <w:szCs w:val="16"/>
                <w:color w:val="auto"/>
              </w:rPr>
              <w:t>52</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6" w:right="239" w:bottom="1440" w:gutter="0" w:footer="0" w:header="0"/>
        </w:sectPr>
      </w:pPr>
    </w:p>
    <w:bookmarkStart w:id="54" w:name="page55"/>
    <w:bookmarkEnd w:id="54"/>
    <w:p>
      <w:pPr>
        <w:ind w:left="600"/>
        <w:spacing w:after="0"/>
        <w:rPr>
          <w:sz w:val="20"/>
          <w:szCs w:val="20"/>
          <w:color w:val="auto"/>
        </w:rPr>
      </w:pPr>
      <w:r>
        <w:rPr>
          <w:rFonts w:ascii="Arial" w:cs="Arial" w:eastAsia="Arial" w:hAnsi="Arial"/>
          <w:sz w:val="16"/>
          <w:szCs w:val="16"/>
          <w:color w:val="auto"/>
        </w:rPr>
        <w:t>The following table summarizes the changes in the components of ceding commission revenue (in thousands)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94"/>
              </w:rPr>
              <w:t>Three months ended June 30,</w:t>
            </w:r>
          </w:p>
        </w:tc>
        <w:tc>
          <w:tcPr>
            <w:tcW w:w="1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6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0"/>
              <w:spacing w:after="0" w:line="15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01"/>
              <w:spacing w:after="0" w:line="15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0"/>
              <w:spacing w:after="0" w:line="152" w:lineRule="exact"/>
              <w:rPr>
                <w:sz w:val="20"/>
                <w:szCs w:val="20"/>
                <w:color w:val="auto"/>
              </w:rPr>
            </w:pPr>
            <w:r>
              <w:rPr>
                <w:rFonts w:ascii="Arial" w:cs="Arial" w:eastAsia="Arial" w:hAnsi="Arial"/>
                <w:sz w:val="14"/>
                <w:szCs w:val="14"/>
                <w:b w:val="1"/>
                <w:bCs w:val="1"/>
                <w:color w:val="auto"/>
              </w:rPr>
              <w:t>Change</w:t>
            </w:r>
          </w:p>
        </w:tc>
        <w:tc>
          <w:tcPr>
            <w:tcW w:w="1360" w:type="dxa"/>
            <w:vAlign w:val="bottom"/>
            <w:tcBorders>
              <w:bottom w:val="single" w:sz="8" w:color="auto"/>
            </w:tcBorders>
          </w:tcPr>
          <w:p>
            <w:pPr>
              <w:jc w:val="right"/>
              <w:ind w:right="360"/>
              <w:spacing w:after="0" w:line="152" w:lineRule="exact"/>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5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Provisional ceding commissions earned</w:t>
            </w:r>
          </w:p>
        </w:tc>
        <w:tc>
          <w:tcPr>
            <w:tcW w:w="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2,146</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3,425</w:t>
            </w:r>
          </w:p>
        </w:tc>
        <w:tc>
          <w:tcPr>
            <w:tcW w:w="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Contingent ceding commissions earned</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Contingent ceding commissions earned excluding</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the effect of catastrophes</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(330)</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(119)</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200"/>
              <w:spacing w:after="0"/>
              <w:rPr>
                <w:sz w:val="20"/>
                <w:szCs w:val="20"/>
                <w:color w:val="auto"/>
              </w:rPr>
            </w:pPr>
            <w:r>
              <w:rPr>
                <w:rFonts w:ascii="Arial" w:cs="Arial" w:eastAsia="Arial" w:hAnsi="Arial"/>
                <w:sz w:val="16"/>
                <w:szCs w:val="16"/>
                <w:color w:val="auto"/>
              </w:rPr>
              <w:t>Effect of catastrophes on ceding commissions earned</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(125)</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Contingent ceding commissions earned</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(455)</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(119)</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ceding commission revenue</w:t>
            </w:r>
          </w:p>
        </w:tc>
        <w:tc>
          <w:tcPr>
            <w:tcW w:w="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1,691</w:t>
            </w:r>
          </w:p>
        </w:tc>
        <w:tc>
          <w:tcPr>
            <w:tcW w:w="3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3,306</w:t>
            </w:r>
          </w:p>
        </w:tc>
        <w:tc>
          <w:tcPr>
            <w:tcW w:w="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right="60" w:firstLine="608"/>
        <w:spacing w:after="0" w:line="275" w:lineRule="auto"/>
        <w:rPr>
          <w:sz w:val="20"/>
          <w:szCs w:val="20"/>
          <w:color w:val="auto"/>
        </w:rPr>
      </w:pPr>
      <w:r>
        <w:rPr>
          <w:rFonts w:ascii="Arial" w:cs="Arial" w:eastAsia="Arial" w:hAnsi="Arial"/>
          <w:sz w:val="16"/>
          <w:szCs w:val="16"/>
          <w:color w:val="auto"/>
        </w:rPr>
        <w:t>Ceding commission revenue was $1,691,000 in Q2-2018 compared to $3,306,000 in Q2-2017. The decrease of $1,615,000, or 48.9%, was due to a decrease in provisional ceding commissions earned as well as a decrease in contingent ceding commissions earned. The reduction in provisional ceding commissions occurred due to us making the decision to retain more of our profitable business (see below for discussion of provisional ceding commissions earned and contingent ceding commissions earned).</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Provisional Ceding Commissions Earned</w:t>
      </w:r>
    </w:p>
    <w:p>
      <w:pPr>
        <w:spacing w:after="0" w:line="158" w:lineRule="exact"/>
        <w:rPr>
          <w:sz w:val="20"/>
          <w:szCs w:val="20"/>
          <w:color w:val="auto"/>
        </w:rPr>
      </w:pPr>
    </w:p>
    <w:p>
      <w:pPr>
        <w:jc w:val="both"/>
        <w:ind w:right="60" w:firstLine="608"/>
        <w:spacing w:after="0" w:line="294" w:lineRule="auto"/>
        <w:rPr>
          <w:sz w:val="20"/>
          <w:szCs w:val="20"/>
          <w:color w:val="auto"/>
        </w:rPr>
      </w:pPr>
      <w:r>
        <w:rPr>
          <w:rFonts w:ascii="Arial" w:cs="Arial" w:eastAsia="Arial" w:hAnsi="Arial"/>
          <w:sz w:val="15"/>
          <w:szCs w:val="15"/>
          <w:color w:val="auto"/>
        </w:rPr>
        <w:t>We receive a provisional ceding commission based on ceded written premiums. In Q2-2018 our provisional ceding rate was 53% effective July 1, 2017 under the 2017/2019 Treaty. In Q2-2017 our provisional ceding rate was 52% effective July 1, 2016 ender the 2016/2017 Treaty. The $1,279,000 decrease in provisional ceding commissions earned is primarily due to the decrease in the quota share ceding rate effective July 1, 2017 to 20%, from the 40% rate in effect from January 1, 2016 through June 30, 2017; thus there were less ceded premiums in Q2-2018 available to earn ceding commissions than there were in Q2-2017. The decrease was partially offset by an increase in personal lines direct written premiums subject to the quota share and by the one point increase in our provisional ceding commission rate as discussed above.</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Contingent Ceding Commissions Earned</w:t>
      </w:r>
    </w:p>
    <w:p>
      <w:pPr>
        <w:spacing w:after="0" w:line="158" w:lineRule="exact"/>
        <w:rPr>
          <w:sz w:val="20"/>
          <w:szCs w:val="20"/>
          <w:color w:val="auto"/>
        </w:rPr>
      </w:pPr>
    </w:p>
    <w:p>
      <w:pPr>
        <w:jc w:val="both"/>
        <w:ind w:right="60" w:firstLine="608"/>
        <w:spacing w:after="0" w:line="298" w:lineRule="auto"/>
        <w:rPr>
          <w:sz w:val="20"/>
          <w:szCs w:val="20"/>
          <w:color w:val="auto"/>
        </w:rPr>
      </w:pPr>
      <w:r>
        <w:rPr>
          <w:rFonts w:ascii="Arial" w:cs="Arial" w:eastAsia="Arial" w:hAnsi="Arial"/>
          <w:sz w:val="15"/>
          <w:szCs w:val="15"/>
          <w:color w:val="auto"/>
        </w:rPr>
        <w:t>We receive a contingent ceding commission based on a sliding scale in relation to the losses incurred under our quota share treaties. The lower the ceded loss ratio, the more contingent commission we receive. The amount of contingent ceding commissions we are eligible to receive under the 2017/2019 Treaty is subject to change based on losses incurred from claims with accident dates beginning July 1, 2017. The amount of contingent ceding commissions we are eligible to receive under our prior years’ quota share treaties is subject to change based on losses incurred related to claims with accident dates before July 1, 2017.</w:t>
      </w:r>
    </w:p>
    <w:p>
      <w:pPr>
        <w:spacing w:after="0" w:line="93" w:lineRule="exact"/>
        <w:rPr>
          <w:sz w:val="20"/>
          <w:szCs w:val="20"/>
          <w:color w:val="auto"/>
        </w:rPr>
      </w:pPr>
    </w:p>
    <w:p>
      <w:pPr>
        <w:jc w:val="both"/>
        <w:ind w:right="60" w:firstLine="608"/>
        <w:spacing w:after="0" w:line="268" w:lineRule="auto"/>
        <w:rPr>
          <w:sz w:val="20"/>
          <w:szCs w:val="20"/>
          <w:color w:val="auto"/>
        </w:rPr>
      </w:pPr>
      <w:r>
        <w:rPr>
          <w:rFonts w:ascii="Arial" w:cs="Arial" w:eastAsia="Arial" w:hAnsi="Arial"/>
          <w:sz w:val="16"/>
          <w:szCs w:val="16"/>
          <w:color w:val="auto"/>
        </w:rPr>
        <w:t>The 2017/2019 Treaty and 2016/2017 Treaty structures limit the amount of contingent ceding commissions that we can receive by setting a higher provisional commission rate. As a result of the higher upfront provisional ceding commissions that we receive, there is only a limited opportunity to earn contingent ceding commissions under these treaties. Under our current “net” treaty structure, catastrophe losses in excess of the $5,000,000 retention will fall outside of the quota share treaty and such losses will not have an impact on contingent ceding commissions. In 2018, catastrophe losses of $1,433,000 were ceded under our personal lines quota share treaty. The catastrophe losses resulted in the Loss Ratios for the period July 1, 2017 through June 30, 2018 (attributable to the 2017/2019 Treaty) to be higher than the contractual Loss Ratio at which provisional ceding commissions were being earned. As a result, in Q2-2018 we incurred a negative adjustment or reduction to contingent ceding commissions of $125,000 relative to what would have been earned had the catastrophe losses not occurred. See “Reinsurance” below for changes to our personal lines quota share treaty effective July 1, 2017.</w:t>
      </w:r>
    </w:p>
    <w:p>
      <w:pPr>
        <w:spacing w:after="0" w:line="32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80"/>
          </w:cols>
          <w:pgMar w:left="240" w:top="536" w:right="17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auto"/>
        </w:rPr>
        <w:t>Net Investment Income</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investment income was $1,557,000 in Q2-2018 compared to $1,026,000 in Q2-2017. The increase of $531,000, or 51.8%, was due to an increase in average invested assets in Q2-2018. The average yield on invested assets was 3.74% as of June 30, 2018 compared to 3.80% as of June 30, 2017. The pre-tax equivalent yield on invested assets was 3.41% and 4.00% as of June 30, 2018 and 2017, respectively.</w:t>
      </w:r>
    </w:p>
    <w:p>
      <w:pPr>
        <w:spacing w:after="0" w:line="103"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Cash and invested assets were $186,310,000 as of June 30, 2018, compared to $143,450,000 as of June 30, 2017. The $42,860,000 increase in cash and invested assets resulted primarily from the net proceeds of approximately $29,122,000 that we received in December 2017 from our debt offering and increased operating cash flows for the period after June 30, 2017.</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Gains and Losses on Investments</w:t>
      </w:r>
    </w:p>
    <w:p>
      <w:pPr>
        <w:spacing w:after="0" w:line="158" w:lineRule="exact"/>
        <w:rPr>
          <w:sz w:val="20"/>
          <w:szCs w:val="20"/>
          <w:color w:val="auto"/>
        </w:rPr>
      </w:pPr>
    </w:p>
    <w:p>
      <w:pPr>
        <w:jc w:val="both"/>
        <w:ind w:firstLine="608"/>
        <w:spacing w:after="0" w:line="294" w:lineRule="auto"/>
        <w:rPr>
          <w:sz w:val="20"/>
          <w:szCs w:val="20"/>
          <w:color w:val="auto"/>
        </w:rPr>
      </w:pPr>
      <w:r>
        <w:rPr>
          <w:rFonts w:ascii="Arial" w:cs="Arial" w:eastAsia="Arial" w:hAnsi="Arial"/>
          <w:sz w:val="15"/>
          <w:szCs w:val="15"/>
          <w:color w:val="auto"/>
        </w:rPr>
        <w:t>Net losses on investments were $107,000 in Q2-2018 compared to net gains of $130,000 in Q2-2017. The decrease of $237,000, was primarily attributable to an accounting standard change (ASU 2016-01, see Note 2) with respect to the changes in fair value of equity securities and other investments. Historically, the change in unrealized gains (losses) for equity securities and other investments would flow through other comprehensive income (loss). As a result of the new accounting standard, the change in unrealized gains (losses) for these investments is now recorded in the statements of income and comprehensive income (loss). Unrealized losses on our equity securities and other investments in Q2-2018 were $30,000. Realized losses on investments was $76,000 in Q2-2018 compared to realized gains of $130,000 in Q2-2017.</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Other income was $300,000 in Q2-2018 compared to $308,000 in Q2-2017. The decrease of $8,000, or 2.6%, was primarily due to additional write-offs offset by an increase in installment and other fees earned in our insurance underwriting business.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Loss and LAE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Net loss and LAE was $11,176,000 in Q2-2018 compared to $7,455,000 in Q2-2017. The net loss ratio was 46.4% in Q2-2018 compared to 44.0% in Q2-2017, an increase of 2.4 percentage points.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6" w:name="page57"/>
    <w:bookmarkEnd w:id="56"/>
    <w:p>
      <w:pPr>
        <w:ind w:left="600"/>
        <w:spacing w:after="0"/>
        <w:rPr>
          <w:sz w:val="20"/>
          <w:szCs w:val="20"/>
          <w:color w:val="auto"/>
        </w:rPr>
      </w:pPr>
      <w:r>
        <w:rPr>
          <w:rFonts w:ascii="Arial" w:cs="Arial" w:eastAsia="Arial" w:hAnsi="Arial"/>
          <w:sz w:val="16"/>
          <w:szCs w:val="16"/>
          <w:color w:val="auto"/>
        </w:rPr>
        <w:t>The following graph summarizes the changes in the components of net loss ratio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146050</wp:posOffset>
            </wp:positionV>
            <wp:extent cx="3900805" cy="36277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00805"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608"/>
        <w:spacing w:after="0" w:line="255" w:lineRule="auto"/>
        <w:rPr>
          <w:sz w:val="20"/>
          <w:szCs w:val="20"/>
          <w:color w:val="auto"/>
        </w:rPr>
      </w:pPr>
      <w:r>
        <w:rPr>
          <w:rFonts w:ascii="Arial" w:cs="Arial" w:eastAsia="Arial" w:hAnsi="Arial"/>
          <w:sz w:val="19"/>
          <w:szCs w:val="19"/>
          <w:color w:val="auto"/>
        </w:rPr>
        <w:t>During Q2-2018, the net loss ratio increased compared to Q2-2017 primarily due to a greater impact from prior year loss development. We recorded 1.4 points of unfavorable prior year loss development in Q2-2018 compared to 1.2 points of favorable prior year development in Q2-2017, or an increase in the impact of prior year development of 2.6 points. Prior year loss development for the quarter was related to some unfavorable settlements on liability claims from older years and from higher than expected loss development from fire and winter claims occurring in late 2017. In addition to the impact from prior year development, there was a 0.8 point impact from catastrophes recorded during the quarter. Although the severe winter catastrophe losses that were recorded in the first quarter of 2018 developed favorably, three new catastrophe events were recorded during Q2-2018 that impacted results. The underlying loss ratio excluding the impact of catastrophes and prior year development was 44.2% in Q2-2018, compared to 45.2% in Q2-2017, a decrease of 1.0 point. The underlying loss ratio decreased slightly due to a decline in claims frequency for our personal lines business. See table below under “Additional Financial Information” summarizing net loss ratios by line of business.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Commission Expense</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Commission expense was $6,017,000 in Q2-2018 or 18.6% of direct earned premiums. Commission expense was $5,102,000 in Q2-2017 or 19.1% of direct earned premiums. The increase of $915,000 is due to the increase in direct earned premiums in Q2-2018 as compared to Q2-2017, partially offset by a decrease in contingent commission expense, which was due to variances in year to date loss ratios.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auto"/>
        </w:rPr>
        <w:t>Other Underwriting Expenses</w:t>
      </w:r>
    </w:p>
    <w:p>
      <w:pPr>
        <w:spacing w:after="0" w:line="158"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Other underwriting expenses were $5,076,000 in Q2-2018 compared to $4,200,000 in Q2-2017. The increase of $876,000, or 20.9%, was primarily due to expenses related to growth in direct written premiums. We are also incurring expenses related to our Expansion Expenses. Expansion Expenses were $400,000 in Q2-2018 compared to $277,000 in Q2-2017. The increase of $123,000 includes the costs of salaries and employment costs, professional fees, IT and data services specifically attributable to the expansion into new states.</w:t>
      </w:r>
    </w:p>
    <w:p>
      <w:pPr>
        <w:spacing w:after="0" w:line="107" w:lineRule="exact"/>
        <w:rPr>
          <w:sz w:val="20"/>
          <w:szCs w:val="20"/>
          <w:color w:val="auto"/>
        </w:rPr>
      </w:pPr>
    </w:p>
    <w:p>
      <w:pPr>
        <w:jc w:val="both"/>
        <w:ind w:firstLine="608"/>
        <w:spacing w:after="0" w:line="290" w:lineRule="auto"/>
        <w:rPr>
          <w:sz w:val="20"/>
          <w:szCs w:val="20"/>
          <w:color w:val="auto"/>
        </w:rPr>
      </w:pPr>
      <w:r>
        <w:rPr>
          <w:rFonts w:ascii="Arial" w:cs="Arial" w:eastAsia="Arial" w:hAnsi="Arial"/>
          <w:sz w:val="15"/>
          <w:szCs w:val="15"/>
          <w:color w:val="auto"/>
        </w:rPr>
        <w:t>Core salaries and employment costs were $2,122,000 in Q2-2018 compared to $1,778,000 in Q2-2017. The increase of $344,000, or 19.3%, was less than the 21.0% increase in total direct written premiums, which is not yet materially affected by our Expansion business. The increase in employment costs was due to hiring of additional staff to service our current level of business and anticipated growth in volume, hiring our chief Operating Officer in March 2018 as well as annual rate increases in salaries. Growth related to our Expansion business creates a lag in net premiums earned compared to direct written premiums for that business. This lag in net premiums earned along with the reduction to quota share rates distorts net underwriting expense ratio comparisons between periods. Therefore, we believe that reviewing the ratio of Core other underwriting expenses to Core net premiums earned offers a more consistent comparison between periods and is a more accurate indicator of our overall other underwriting expense efficiency. The following table breaks out the Core and Expansion components of our underwriting expense ratio for the periods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020" w:type="dxa"/>
            <w:vAlign w:val="bottom"/>
          </w:tcPr>
          <w:p>
            <w:pPr>
              <w:jc w:val="center"/>
              <w:ind w:right="221"/>
              <w:spacing w:after="0"/>
              <w:rPr>
                <w:sz w:val="20"/>
                <w:szCs w:val="20"/>
                <w:color w:val="auto"/>
              </w:rPr>
            </w:pPr>
            <w:r>
              <w:rPr>
                <w:rFonts w:ascii="Arial" w:cs="Arial" w:eastAsia="Arial" w:hAnsi="Arial"/>
                <w:sz w:val="14"/>
                <w:szCs w:val="14"/>
                <w:b w:val="1"/>
                <w:bCs w:val="1"/>
                <w:color w:val="auto"/>
                <w:w w:val="93"/>
              </w:rPr>
              <w:t>$ or</w:t>
            </w:r>
          </w:p>
        </w:tc>
      </w:tr>
      <w:tr>
        <w:trPr>
          <w:trHeight w:val="191"/>
        </w:trPr>
        <w:tc>
          <w:tcPr>
            <w:tcW w:w="7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ind w:right="221"/>
              <w:spacing w:after="0"/>
              <w:rPr>
                <w:sz w:val="20"/>
                <w:szCs w:val="20"/>
                <w:color w:val="auto"/>
              </w:rPr>
            </w:pPr>
            <w:r>
              <w:rPr>
                <w:rFonts w:ascii="Arial" w:cs="Arial" w:eastAsia="Arial" w:hAnsi="Arial"/>
                <w:sz w:val="14"/>
                <w:szCs w:val="14"/>
                <w:b w:val="1"/>
                <w:bCs w:val="1"/>
                <w:color w:val="auto"/>
                <w:w w:val="91"/>
              </w:rPr>
              <w:t>Point</w:t>
            </w:r>
          </w:p>
        </w:tc>
      </w:tr>
      <w:tr>
        <w:trPr>
          <w:trHeight w:val="208"/>
        </w:trPr>
        <w:tc>
          <w:tcPr>
            <w:tcW w:w="7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5"/>
              </w:rPr>
              <w:t>Change</w:t>
            </w:r>
          </w:p>
        </w:tc>
      </w:tr>
      <w:tr>
        <w:trPr>
          <w:trHeight w:val="228"/>
        </w:trPr>
        <w:tc>
          <w:tcPr>
            <w:tcW w:w="7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premiums earned</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3"/>
        </w:trPr>
        <w:tc>
          <w:tcPr>
            <w:tcW w:w="7320" w:type="dxa"/>
            <w:vAlign w:val="bottom"/>
          </w:tcPr>
          <w:p>
            <w:pPr>
              <w:ind w:left="340"/>
              <w:spacing w:after="0"/>
              <w:rPr>
                <w:sz w:val="20"/>
                <w:szCs w:val="20"/>
                <w:color w:val="auto"/>
              </w:rPr>
            </w:pPr>
            <w:r>
              <w:rPr>
                <w:rFonts w:ascii="Arial" w:cs="Arial" w:eastAsia="Arial" w:hAnsi="Arial"/>
                <w:sz w:val="16"/>
                <w:szCs w:val="16"/>
                <w:color w:val="auto"/>
              </w:rPr>
              <w:t>Core</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23,490</w:t>
            </w:r>
          </w:p>
        </w:tc>
        <w:tc>
          <w:tcPr>
            <w:tcW w:w="34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16,947</w:t>
            </w:r>
          </w:p>
        </w:tc>
        <w:tc>
          <w:tcPr>
            <w:tcW w:w="60" w:type="dxa"/>
            <w:vAlign w:val="bottom"/>
          </w:tcPr>
          <w:p>
            <w:pPr>
              <w:spacing w:after="0"/>
              <w:rPr>
                <w:sz w:val="17"/>
                <w:szCs w:val="17"/>
                <w:color w:val="auto"/>
              </w:rPr>
            </w:pPr>
          </w:p>
        </w:tc>
        <w:tc>
          <w:tcPr>
            <w:tcW w:w="28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6,543</w:t>
            </w:r>
          </w:p>
        </w:tc>
      </w:tr>
      <w:tr>
        <w:trPr>
          <w:trHeight w:val="208"/>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Expansion</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615</w:t>
            </w:r>
          </w:p>
        </w:tc>
        <w:tc>
          <w:tcPr>
            <w:tcW w:w="3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609</w:t>
            </w:r>
          </w:p>
        </w:tc>
      </w:tr>
      <w:tr>
        <w:trPr>
          <w:trHeight w:val="203"/>
        </w:trPr>
        <w:tc>
          <w:tcPr>
            <w:tcW w:w="7320" w:type="dxa"/>
            <w:vAlign w:val="bottom"/>
          </w:tcPr>
          <w:p>
            <w:pPr>
              <w:ind w:left="34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24,105</w:t>
            </w:r>
          </w:p>
        </w:tc>
        <w:tc>
          <w:tcPr>
            <w:tcW w:w="3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16,953</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7,152</w:t>
            </w:r>
          </w:p>
        </w:tc>
      </w:tr>
      <w:tr>
        <w:trPr>
          <w:trHeight w:val="20"/>
        </w:trPr>
        <w:tc>
          <w:tcPr>
            <w:tcW w:w="7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3"/>
        </w:trPr>
        <w:tc>
          <w:tcPr>
            <w:tcW w:w="7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3"/>
        </w:trPr>
        <w:tc>
          <w:tcPr>
            <w:tcW w:w="7320" w:type="dxa"/>
            <w:vAlign w:val="bottom"/>
          </w:tcPr>
          <w:p>
            <w:pPr>
              <w:ind w:left="40"/>
              <w:spacing w:after="0"/>
              <w:rPr>
                <w:sz w:val="20"/>
                <w:szCs w:val="20"/>
                <w:color w:val="auto"/>
              </w:rPr>
            </w:pPr>
            <w:r>
              <w:rPr>
                <w:rFonts w:ascii="Arial" w:cs="Arial" w:eastAsia="Arial" w:hAnsi="Arial"/>
                <w:sz w:val="16"/>
                <w:szCs w:val="16"/>
                <w:color w:val="auto"/>
              </w:rPr>
              <w:t>Other underwriting expenses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Core</w:t>
            </w:r>
          </w:p>
        </w:tc>
        <w:tc>
          <w:tcPr>
            <w:tcW w:w="3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4,676</w:t>
            </w:r>
          </w:p>
        </w:tc>
        <w:tc>
          <w:tcPr>
            <w:tcW w:w="3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3,923</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753</w:t>
            </w:r>
          </w:p>
        </w:tc>
      </w:tr>
      <w:tr>
        <w:trPr>
          <w:trHeight w:val="208"/>
        </w:trPr>
        <w:tc>
          <w:tcPr>
            <w:tcW w:w="7320" w:type="dxa"/>
            <w:vAlign w:val="bottom"/>
          </w:tcPr>
          <w:p>
            <w:pPr>
              <w:ind w:left="340"/>
              <w:spacing w:after="0"/>
              <w:rPr>
                <w:sz w:val="20"/>
                <w:szCs w:val="20"/>
                <w:color w:val="auto"/>
              </w:rPr>
            </w:pPr>
            <w:r>
              <w:rPr>
                <w:rFonts w:ascii="Arial" w:cs="Arial" w:eastAsia="Arial" w:hAnsi="Arial"/>
                <w:sz w:val="16"/>
                <w:szCs w:val="16"/>
                <w:color w:val="auto"/>
              </w:rPr>
              <w:t>Expansion</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400</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277</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123</w:t>
            </w:r>
          </w:p>
        </w:tc>
      </w:tr>
      <w:tr>
        <w:trPr>
          <w:trHeight w:val="24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5,076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4,200</w:t>
            </w:r>
          </w:p>
        </w:tc>
        <w:tc>
          <w:tcPr>
            <w:tcW w:w="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876</w:t>
            </w:r>
          </w:p>
        </w:tc>
      </w:tr>
      <w:tr>
        <w:trPr>
          <w:trHeight w:val="193"/>
        </w:trPr>
        <w:tc>
          <w:tcPr>
            <w:tcW w:w="7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underwriting expenses as a percentage</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7320" w:type="dxa"/>
            <w:vAlign w:val="bottom"/>
          </w:tcPr>
          <w:p>
            <w:pPr>
              <w:ind w:left="340"/>
              <w:spacing w:after="0"/>
              <w:rPr>
                <w:sz w:val="20"/>
                <w:szCs w:val="20"/>
                <w:color w:val="auto"/>
              </w:rPr>
            </w:pPr>
            <w:r>
              <w:rPr>
                <w:rFonts w:ascii="Arial" w:cs="Arial" w:eastAsia="Arial" w:hAnsi="Arial"/>
                <w:sz w:val="16"/>
                <w:szCs w:val="16"/>
                <w:color w:val="auto"/>
              </w:rPr>
              <w:t>of net premiums earned</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Core</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23.1%</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3"/>
        </w:trPr>
        <w:tc>
          <w:tcPr>
            <w:tcW w:w="7320" w:type="dxa"/>
            <w:vAlign w:val="bottom"/>
          </w:tcPr>
          <w:p>
            <w:pPr>
              <w:ind w:left="340"/>
              <w:spacing w:after="0"/>
              <w:rPr>
                <w:sz w:val="20"/>
                <w:szCs w:val="20"/>
                <w:color w:val="auto"/>
              </w:rPr>
            </w:pPr>
            <w:r>
              <w:rPr>
                <w:rFonts w:ascii="Arial" w:cs="Arial" w:eastAsia="Arial" w:hAnsi="Arial"/>
                <w:sz w:val="16"/>
                <w:szCs w:val="16"/>
                <w:color w:val="auto"/>
              </w:rPr>
              <w:t>Expansion</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65.0%</w:t>
            </w:r>
          </w:p>
        </w:tc>
        <w:tc>
          <w:tcPr>
            <w:tcW w:w="3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4616.7%</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-4551.6%</w:t>
            </w:r>
          </w:p>
        </w:tc>
      </w:tr>
      <w:tr>
        <w:trPr>
          <w:trHeight w:val="203"/>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24.7%</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bl>
    <w:p>
      <w:pPr>
        <w:spacing w:after="0" w:line="19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ratio of Core other underwriting expenses to Core net premiums earned was 19.9 % in Q2-2018 compared to 23.1% in Q2-2017, a decrease of 3.2 percentage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points.</w:t>
      </w:r>
    </w:p>
    <w:p>
      <w:pPr>
        <w:spacing w:after="0" w:line="152"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Our net underwriting expense ratio in Q2-2018 was 37.8% compared to 33.6% in Q2-2017. The following table shows the individual components of our net underwriting expense ratio for the periods indicated: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1"/>
        </w:trPr>
        <w:tc>
          <w:tcPr>
            <w:tcW w:w="7320" w:type="dxa"/>
            <w:vAlign w:val="bottom"/>
          </w:tcPr>
          <w:p>
            <w:pPr>
              <w:spacing w:after="0"/>
              <w:rPr>
                <w:sz w:val="16"/>
                <w:szCs w:val="16"/>
                <w:color w:val="auto"/>
              </w:rPr>
            </w:pPr>
          </w:p>
        </w:tc>
        <w:tc>
          <w:tcPr>
            <w:tcW w:w="1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60"/>
              <w:spacing w:after="0"/>
              <w:rPr>
                <w:sz w:val="20"/>
                <w:szCs w:val="20"/>
                <w:color w:val="auto"/>
              </w:rPr>
            </w:pPr>
            <w:r>
              <w:rPr>
                <w:rFonts w:ascii="Arial" w:cs="Arial" w:eastAsia="Arial" w:hAnsi="Arial"/>
                <w:sz w:val="14"/>
                <w:szCs w:val="14"/>
                <w:b w:val="1"/>
                <w:bCs w:val="1"/>
                <w:color w:val="auto"/>
              </w:rPr>
              <w:t>Percentage</w:t>
            </w:r>
          </w:p>
        </w:tc>
      </w:tr>
      <w:tr>
        <w:trPr>
          <w:trHeight w:val="208"/>
        </w:trPr>
        <w:tc>
          <w:tcPr>
            <w:tcW w:w="7320" w:type="dxa"/>
            <w:vAlign w:val="bottom"/>
          </w:tcPr>
          <w:p>
            <w:pPr>
              <w:spacing w:after="0"/>
              <w:rPr>
                <w:sz w:val="18"/>
                <w:szCs w:val="18"/>
                <w:color w:val="auto"/>
              </w:rPr>
            </w:pPr>
          </w:p>
        </w:tc>
        <w:tc>
          <w:tcPr>
            <w:tcW w:w="13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9"/>
              </w:rPr>
              <w:t>Point Change</w:t>
            </w:r>
          </w:p>
        </w:tc>
      </w:tr>
      <w:tr>
        <w:trPr>
          <w:trHeight w:val="228"/>
        </w:trPr>
        <w:tc>
          <w:tcPr>
            <w:tcW w:w="7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Ceding commission revenue - provisional</w:t>
            </w:r>
          </w:p>
        </w:tc>
        <w:tc>
          <w:tcPr>
            <w:tcW w:w="192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(8.9)%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(20.2)%</w:t>
            </w: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11.3</w:t>
            </w:r>
          </w:p>
        </w:tc>
      </w:tr>
      <w:tr>
        <w:trPr>
          <w:trHeight w:val="203"/>
        </w:trPr>
        <w:tc>
          <w:tcPr>
            <w:tcW w:w="7320" w:type="dxa"/>
            <w:vAlign w:val="bottom"/>
          </w:tcPr>
          <w:p>
            <w:pPr>
              <w:ind w:left="40"/>
              <w:spacing w:after="0"/>
              <w:rPr>
                <w:sz w:val="20"/>
                <w:szCs w:val="20"/>
                <w:color w:val="auto"/>
              </w:rPr>
            </w:pPr>
            <w:r>
              <w:rPr>
                <w:rFonts w:ascii="Arial" w:cs="Arial" w:eastAsia="Arial" w:hAnsi="Arial"/>
                <w:sz w:val="16"/>
                <w:szCs w:val="16"/>
                <w:color w:val="auto"/>
              </w:rPr>
              <w:t>Ceding commission revenue - contingent</w:t>
            </w: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7"/>
                <w:szCs w:val="17"/>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w:t>
            </w:r>
          </w:p>
        </w:tc>
      </w:tr>
      <w:tr>
        <w:trPr>
          <w:trHeight w:val="203"/>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0.5</w:t>
            </w:r>
          </w:p>
        </w:tc>
      </w:tr>
      <w:tr>
        <w:trPr>
          <w:trHeight w:val="227"/>
        </w:trPr>
        <w:tc>
          <w:tcPr>
            <w:tcW w:w="7320" w:type="dxa"/>
            <w:vAlign w:val="bottom"/>
          </w:tcPr>
          <w:p>
            <w:pPr>
              <w:ind w:left="60"/>
              <w:spacing w:after="0"/>
              <w:rPr>
                <w:sz w:val="20"/>
                <w:szCs w:val="20"/>
                <w:color w:val="auto"/>
              </w:rPr>
            </w:pPr>
            <w:r>
              <w:rPr>
                <w:rFonts w:ascii="Arial" w:cs="Arial" w:eastAsia="Arial" w:hAnsi="Arial"/>
                <w:sz w:val="16"/>
                <w:szCs w:val="16"/>
                <w:color w:val="auto"/>
              </w:rPr>
              <w:t>Acquisition costs and other underwriting expenses:</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9"/>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Commission expense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30.1</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8"/>
        </w:trPr>
        <w:tc>
          <w:tcPr>
            <w:tcW w:w="7320" w:type="dxa"/>
            <w:vAlign w:val="bottom"/>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7.9</w:t>
            </w:r>
          </w:p>
        </w:tc>
      </w:tr>
      <w:tr>
        <w:trPr>
          <w:trHeight w:val="228"/>
        </w:trPr>
        <w:tc>
          <w:tcPr>
            <w:tcW w:w="7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underwriting expenses</w:t>
            </w: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3"/>
        </w:trPr>
        <w:tc>
          <w:tcPr>
            <w:tcW w:w="7320" w:type="dxa"/>
            <w:vAlign w:val="bottom"/>
          </w:tcPr>
          <w:p>
            <w:pPr>
              <w:ind w:left="340"/>
              <w:spacing w:after="0"/>
              <w:rPr>
                <w:sz w:val="20"/>
                <w:szCs w:val="20"/>
                <w:color w:val="auto"/>
              </w:rPr>
            </w:pPr>
            <w:r>
              <w:rPr>
                <w:rFonts w:ascii="Arial" w:cs="Arial" w:eastAsia="Arial" w:hAnsi="Arial"/>
                <w:sz w:val="16"/>
                <w:szCs w:val="16"/>
                <w:color w:val="auto"/>
              </w:rPr>
              <w:t>Core</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7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Employment costs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10.5</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8"/>
        </w:trPr>
        <w:tc>
          <w:tcPr>
            <w:tcW w:w="7320" w:type="dxa"/>
            <w:vAlign w:val="bottom"/>
          </w:tcPr>
          <w:p>
            <w:pPr>
              <w:ind w:left="500"/>
              <w:spacing w:after="0"/>
              <w:rPr>
                <w:sz w:val="20"/>
                <w:szCs w:val="20"/>
                <w:color w:val="auto"/>
              </w:rPr>
            </w:pPr>
            <w:r>
              <w:rPr>
                <w:rFonts w:ascii="Arial" w:cs="Arial" w:eastAsia="Arial" w:hAnsi="Arial"/>
                <w:sz w:val="16"/>
                <w:szCs w:val="16"/>
                <w:color w:val="auto"/>
              </w:rPr>
              <w:t>Other Core Expenses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3"/>
        </w:trPr>
        <w:tc>
          <w:tcPr>
            <w:tcW w:w="73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Core Expenses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23.1</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8"/>
        </w:trPr>
        <w:tc>
          <w:tcPr>
            <w:tcW w:w="7320" w:type="dxa"/>
            <w:vAlign w:val="bottom"/>
          </w:tcPr>
          <w:p>
            <w:pPr>
              <w:ind w:left="200"/>
              <w:spacing w:after="0"/>
              <w:rPr>
                <w:sz w:val="20"/>
                <w:szCs w:val="20"/>
                <w:color w:val="auto"/>
              </w:rPr>
            </w:pPr>
            <w:r>
              <w:rPr>
                <w:rFonts w:ascii="Arial" w:cs="Arial" w:eastAsia="Arial" w:hAnsi="Arial"/>
                <w:sz w:val="16"/>
                <w:szCs w:val="16"/>
                <w:color w:val="auto"/>
              </w:rPr>
              <w:t>Expansion Expenses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0.1</w:t>
            </w:r>
          </w:p>
        </w:tc>
      </w:tr>
      <w:tr>
        <w:trPr>
          <w:trHeight w:val="208"/>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other underwriting expenses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24.7</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3"/>
        </w:trPr>
        <w:tc>
          <w:tcPr>
            <w:tcW w:w="7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underwriting expense ratio</w:t>
            </w:r>
          </w:p>
        </w:tc>
        <w:tc>
          <w:tcPr>
            <w:tcW w:w="1920" w:type="dxa"/>
            <w:vAlign w:val="bottom"/>
            <w:tcBorders>
              <w:bottom w:val="single" w:sz="8" w:color="auto"/>
            </w:tcBorders>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37.8%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r>
    </w:tbl>
    <w:p>
      <w:pPr>
        <w:spacing w:after="0" w:line="131"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The decrease in our other underwriting expense ratio excluding the impact of ceding commission revenue and commission expense was driven by a decline of 3.8 points in the impact from employment costs and other expenses attributable to our growing Core business, partially offset by the impact from increased costs related to Expansion business.</w:t>
      </w:r>
    </w:p>
    <w:p>
      <w:pPr>
        <w:spacing w:after="0" w:line="103"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The overall increase of 4.2 percentage points in the net underwriting expense ratio was driven almost entirely by the change in our quota share ceding rates and its impact on provisional ceding commission revenue as a result of the additional retention resulting from the Cut-off to our quota share treaties on July 1, 2017. The net underwriting expense ratio related to commissions and other underwriting expenses improved in nearly all categories, but this was more than offset by reductions in the reinsurance ceding commission revenue components.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Operating Expenses</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Other operating expenses, related to the expenses of our holding company, were $843,000 in Q2-2018 compared to $906,000 in Q2-2017. The decrease in Q2-2018 of $63,000, or 7.0%, was primarily due to decreases in executive bonus compensation, partially offset by an increase in salary and equity compensation due to the hiring of our new Chief Operating Officer in March 2018.</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p>
    <w:p>
      <w:pPr>
        <w:spacing w:after="0" w:line="158" w:lineRule="exact"/>
        <w:rPr>
          <w:sz w:val="20"/>
          <w:szCs w:val="20"/>
          <w:color w:val="auto"/>
        </w:rPr>
      </w:pPr>
    </w:p>
    <w:p>
      <w:pPr>
        <w:jc w:val="both"/>
        <w:ind w:firstLine="608"/>
        <w:spacing w:after="0" w:line="307" w:lineRule="auto"/>
        <w:rPr>
          <w:sz w:val="20"/>
          <w:szCs w:val="20"/>
          <w:color w:val="auto"/>
        </w:rPr>
      </w:pPr>
      <w:r>
        <w:rPr>
          <w:rFonts w:ascii="Arial" w:cs="Arial" w:eastAsia="Arial" w:hAnsi="Arial"/>
          <w:sz w:val="15"/>
          <w:szCs w:val="15"/>
          <w:color w:val="auto"/>
        </w:rPr>
        <w:t>Depreciation and amortization was $424,000 in Q2-2018 compared to $326,000 in Q2-2017. The increase of $98,000, or 30.1%, in depreciation and amortization was primarily due to depreciation of our new system platform for processing business being written in Expansion states. The increase was also impacted by newly purchased assets used to upgrade our systems infrastructure and improvements to the Kingston, New York home office building from which we operate.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Interest expense in Q2-2018 was $452,000 and -0- in Q2-2017. We incurred interest expense in connection with our $30.0 million issuance of long-term debt in December 2017.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auto"/>
        </w:rPr>
        <w:t>Income Tax Expense</w:t>
      </w:r>
    </w:p>
    <w:p>
      <w:pPr>
        <w:spacing w:after="0" w:line="158"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Income tax expense in Q2-2018 was $800,000, which resulted in an effective tax rate of 22.5%. Income tax expense in Q2-2017 was $1,225,000, which resulted in an effective tax rate of 32.8%. The change in our effective tax rate includes the change in the federal tax rate from 35% to 21%. Income before taxes was $3,557,000 in Q2-2018 compared to income before taxes of $3,735,000 in Q2-2017.</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Net Income</w:t>
      </w:r>
    </w:p>
    <w:p>
      <w:pPr>
        <w:spacing w:after="0" w:line="158"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Net income was $2,757,000 in Q2-2018 compared to net income of $2,510,000 in Q2-2017. The increase in net income of $247,000, or 9.8%, was due to the circumstances described above, which caused the increase in our net loss ratio, decrease in ceding commission revenue, net losses on investments, increases in other underwriting expenses, depreciation and amortization and interest expense, partially offset by the increase in our net premiums earned, net investment income and decrease in other operating expenses.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Additional Financial Information</w:t>
      </w:r>
    </w:p>
    <w:p>
      <w:pPr>
        <w:spacing w:after="0" w:line="162"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We operate our business as one segment, property and casualty insurance. Within this segment, we offer a wide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gridSpan w:val="3"/>
          </w:tcPr>
          <w:p>
            <w:pPr>
              <w:jc w:val="right"/>
              <w:ind w:right="418"/>
              <w:spacing w:after="0"/>
              <w:rPr>
                <w:sz w:val="20"/>
                <w:szCs w:val="20"/>
                <w:color w:val="auto"/>
              </w:rPr>
            </w:pPr>
            <w:r>
              <w:rPr>
                <w:rFonts w:ascii="Arial" w:cs="Arial" w:eastAsia="Arial" w:hAnsi="Arial"/>
                <w:sz w:val="14"/>
                <w:szCs w:val="14"/>
                <w:b w:val="1"/>
                <w:bCs w:val="1"/>
                <w:color w:val="auto"/>
                <w:w w:val="99"/>
              </w:rPr>
              <w:t>For the Three Months Ended</w:t>
            </w:r>
          </w:p>
        </w:tc>
        <w:tc>
          <w:tcPr>
            <w:tcW w:w="340" w:type="dxa"/>
            <w:vAlign w:val="bottom"/>
          </w:tcPr>
          <w:p>
            <w:pPr>
              <w:spacing w:after="0"/>
              <w:rPr>
                <w:sz w:val="15"/>
                <w:szCs w:val="15"/>
                <w:color w:val="auto"/>
              </w:rPr>
            </w:pPr>
          </w:p>
        </w:tc>
        <w:tc>
          <w:tcPr>
            <w:tcW w:w="2380" w:type="dxa"/>
            <w:vAlign w:val="bottom"/>
            <w:gridSpan w:val="3"/>
          </w:tcPr>
          <w:p>
            <w:pPr>
              <w:jc w:val="right"/>
              <w:ind w:right="478"/>
              <w:spacing w:after="0"/>
              <w:rPr>
                <w:sz w:val="20"/>
                <w:szCs w:val="20"/>
                <w:color w:val="auto"/>
              </w:rPr>
            </w:pPr>
            <w:r>
              <w:rPr>
                <w:rFonts w:ascii="Arial" w:cs="Arial" w:eastAsia="Arial" w:hAnsi="Arial"/>
                <w:sz w:val="14"/>
                <w:szCs w:val="14"/>
                <w:b w:val="1"/>
                <w:bCs w:val="1"/>
                <w:color w:val="auto"/>
              </w:rPr>
              <w:t>For the Six Months Ended</w:t>
            </w:r>
          </w:p>
        </w:tc>
      </w:tr>
      <w:tr>
        <w:trPr>
          <w:trHeight w:val="191"/>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r>
      <w:tr>
        <w:trPr>
          <w:trHeight w:val="208"/>
        </w:trPr>
        <w:tc>
          <w:tcPr>
            <w:tcW w:w="5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2017</w:t>
            </w:r>
          </w:p>
        </w:tc>
      </w:tr>
      <w:tr>
        <w:trPr>
          <w:trHeight w:val="228"/>
        </w:trPr>
        <w:tc>
          <w:tcPr>
            <w:tcW w:w="5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8"/>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premiums written:</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Personal lines</w:t>
            </w:r>
          </w:p>
        </w:tc>
        <w:tc>
          <w:tcPr>
            <w:tcW w:w="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29,652,128</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23,139,479</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54,477,580</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42,601,451</w:t>
            </w: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lines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4,731,445</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4,162,821</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9,017,836</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7,746,875</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Livery physical damage</w:t>
            </w:r>
          </w:p>
        </w:tc>
        <w:tc>
          <w:tcPr>
            <w:tcW w:w="3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2,424,499</w:t>
            </w:r>
          </w:p>
        </w:tc>
        <w:tc>
          <w:tcPr>
            <w:tcW w:w="38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3,101,043</w:t>
            </w:r>
          </w:p>
        </w:tc>
        <w:tc>
          <w:tcPr>
            <w:tcW w:w="3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4,778,569</w:t>
            </w:r>
          </w:p>
        </w:tc>
        <w:tc>
          <w:tcPr>
            <w:tcW w:w="38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6,127,526</w:t>
            </w:r>
          </w:p>
        </w:tc>
      </w:tr>
      <w:tr>
        <w:trPr>
          <w:trHeight w:val="20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Other(1)</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56,093</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56,922</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116,799</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114,308</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36,864,165</w:t>
            </w: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30,460,265</w:t>
            </w: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68,390,784</w:t>
            </w: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56,590,160</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3"/>
        </w:trPr>
        <w:tc>
          <w:tcPr>
            <w:tcW w:w="5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Net premiums written:</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Personal lines</w:t>
            </w:r>
          </w:p>
        </w:tc>
        <w:tc>
          <w:tcPr>
            <w:tcW w:w="3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21,219,892</w:t>
            </w:r>
          </w:p>
        </w:tc>
        <w:tc>
          <w:tcPr>
            <w:tcW w:w="3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12,844,104</w:t>
            </w:r>
          </w:p>
        </w:tc>
        <w:tc>
          <w:tcPr>
            <w:tcW w:w="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38,663,803</w:t>
            </w:r>
          </w:p>
        </w:tc>
        <w:tc>
          <w:tcPr>
            <w:tcW w:w="3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23,310,472</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Commercial lines</w:t>
            </w:r>
          </w:p>
        </w:tc>
        <w:tc>
          <w:tcPr>
            <w:tcW w:w="3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4,274,058</w:t>
            </w:r>
          </w:p>
        </w:tc>
        <w:tc>
          <w:tcPr>
            <w:tcW w:w="38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3,743,568</w:t>
            </w:r>
          </w:p>
        </w:tc>
        <w:tc>
          <w:tcPr>
            <w:tcW w:w="3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8,126,429</w:t>
            </w:r>
          </w:p>
        </w:tc>
        <w:tc>
          <w:tcPr>
            <w:tcW w:w="38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6,946,133</w:t>
            </w: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Livery physical damage</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2,424,499</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3,101,043</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4,778,569</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6,127,526</w:t>
            </w:r>
          </w:p>
        </w:tc>
      </w:tr>
      <w:tr>
        <w:trPr>
          <w:trHeight w:val="208"/>
        </w:trPr>
        <w:tc>
          <w:tcPr>
            <w:tcW w:w="5960" w:type="dxa"/>
            <w:vAlign w:val="bottom"/>
          </w:tcPr>
          <w:p>
            <w:pPr>
              <w:ind w:left="40"/>
              <w:spacing w:after="0"/>
              <w:rPr>
                <w:sz w:val="20"/>
                <w:szCs w:val="20"/>
                <w:color w:val="auto"/>
              </w:rPr>
            </w:pPr>
            <w:r>
              <w:rPr>
                <w:rFonts w:ascii="Arial" w:cs="Arial" w:eastAsia="Arial" w:hAnsi="Arial"/>
                <w:sz w:val="16"/>
                <w:szCs w:val="16"/>
                <w:color w:val="auto"/>
              </w:rPr>
              <w:t>Other(1)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46,228</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38,585</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96,260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77,474</w:t>
            </w:r>
          </w:p>
        </w:tc>
      </w:tr>
      <w:tr>
        <w:trPr>
          <w:trHeight w:val="243"/>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27,964,676</w:t>
            </w:r>
          </w:p>
        </w:tc>
        <w:tc>
          <w:tcPr>
            <w:tcW w:w="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19,727,300</w:t>
            </w:r>
          </w:p>
        </w:tc>
        <w:tc>
          <w:tcPr>
            <w:tcW w:w="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51,665,060</w:t>
            </w:r>
          </w:p>
        </w:tc>
        <w:tc>
          <w:tcPr>
            <w:tcW w:w="3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36,461,605</w:t>
            </w:r>
          </w:p>
        </w:tc>
      </w:tr>
      <w:tr>
        <w:trPr>
          <w:trHeight w:val="193"/>
        </w:trPr>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premiums earned:</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Personal lines</w:t>
            </w:r>
          </w:p>
        </w:tc>
        <w:tc>
          <w:tcPr>
            <w:tcW w:w="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18,231,382</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11,039,025</w:t>
            </w:r>
          </w:p>
        </w:tc>
        <w:tc>
          <w:tcPr>
            <w:tcW w:w="34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35,271,638</w:t>
            </w:r>
          </w:p>
        </w:tc>
        <w:tc>
          <w:tcPr>
            <w:tcW w:w="3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21,729,608</w:t>
            </w: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lines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3,423,712</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2,985,759</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6,653,682</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5,828,339</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Livery physical damage</w:t>
            </w:r>
          </w:p>
        </w:tc>
        <w:tc>
          <w:tcPr>
            <w:tcW w:w="3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2,401,376</w:t>
            </w:r>
          </w:p>
        </w:tc>
        <w:tc>
          <w:tcPr>
            <w:tcW w:w="38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2,884,986</w:t>
            </w:r>
          </w:p>
        </w:tc>
        <w:tc>
          <w:tcPr>
            <w:tcW w:w="3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4,922,060</w:t>
            </w:r>
          </w:p>
        </w:tc>
        <w:tc>
          <w:tcPr>
            <w:tcW w:w="38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5,677,333</w:t>
            </w:r>
          </w:p>
        </w:tc>
      </w:tr>
      <w:tr>
        <w:trPr>
          <w:trHeight w:val="20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Other(1)</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48,144</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43,957</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94,851</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88,195</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24,104,614</w:t>
            </w: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16,953,727</w:t>
            </w: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46,942,231</w:t>
            </w: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33,323,475</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3"/>
        </w:trPr>
        <w:tc>
          <w:tcPr>
            <w:tcW w:w="5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Net loss and loss adjustment expenses(2):</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Personal lines</w:t>
            </w:r>
          </w:p>
        </w:tc>
        <w:tc>
          <w:tcPr>
            <w:tcW w:w="3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8,482,526</w:t>
            </w:r>
          </w:p>
        </w:tc>
        <w:tc>
          <w:tcPr>
            <w:tcW w:w="3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4,399,735</w:t>
            </w:r>
          </w:p>
        </w:tc>
        <w:tc>
          <w:tcPr>
            <w:tcW w:w="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21,443,732</w:t>
            </w:r>
          </w:p>
        </w:tc>
        <w:tc>
          <w:tcPr>
            <w:tcW w:w="3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9,751,847</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Commercial lines</w:t>
            </w:r>
          </w:p>
        </w:tc>
        <w:tc>
          <w:tcPr>
            <w:tcW w:w="3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800,664</w:t>
            </w:r>
          </w:p>
        </w:tc>
        <w:tc>
          <w:tcPr>
            <w:tcW w:w="38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1,229,782</w:t>
            </w:r>
          </w:p>
        </w:tc>
        <w:tc>
          <w:tcPr>
            <w:tcW w:w="3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3,250,262</w:t>
            </w:r>
          </w:p>
        </w:tc>
        <w:tc>
          <w:tcPr>
            <w:tcW w:w="38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2,758,578</w:t>
            </w: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Livery physical damage</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1,101,715</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1,260,153</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2,265,796</w:t>
            </w: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2,225,675</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Other(1)</w:t>
            </w:r>
          </w:p>
        </w:tc>
        <w:tc>
          <w:tcPr>
            <w:tcW w:w="3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318,304</w:t>
            </w:r>
          </w:p>
        </w:tc>
        <w:tc>
          <w:tcPr>
            <w:tcW w:w="38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74,672</w:t>
            </w:r>
          </w:p>
        </w:tc>
        <w:tc>
          <w:tcPr>
            <w:tcW w:w="34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376,978</w:t>
            </w:r>
          </w:p>
        </w:tc>
        <w:tc>
          <w:tcPr>
            <w:tcW w:w="38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22,598</w:t>
            </w:r>
          </w:p>
        </w:tc>
      </w:tr>
      <w:tr>
        <w:trPr>
          <w:trHeight w:val="20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Unallocated loss adjustment expenses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472,876</w:t>
            </w: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490,580</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1,105,647</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989,220</w:t>
            </w: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11,176,085</w:t>
            </w: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7,454,922</w:t>
            </w: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28,442,415</w:t>
            </w: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15,747,918</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3"/>
        </w:trPr>
        <w:tc>
          <w:tcPr>
            <w:tcW w:w="5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Net loss ratio(2):</w:t>
            </w:r>
          </w:p>
        </w:tc>
        <w:tc>
          <w:tcPr>
            <w:tcW w:w="2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Personal lines</w:t>
            </w:r>
          </w:p>
        </w:tc>
        <w:tc>
          <w:tcPr>
            <w:tcW w:w="296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46.5%</w:t>
            </w:r>
          </w:p>
        </w:tc>
        <w:tc>
          <w:tcPr>
            <w:tcW w:w="136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39.9%</w:t>
            </w:r>
          </w:p>
        </w:tc>
        <w:tc>
          <w:tcPr>
            <w:tcW w:w="1420" w:type="dxa"/>
            <w:vAlign w:val="bottom"/>
            <w:shd w:val="clear" w:color="auto" w:fill="CCEEFF"/>
          </w:tcPr>
          <w:p>
            <w:pPr>
              <w:jc w:val="right"/>
              <w:ind w:right="398"/>
              <w:spacing w:after="0"/>
              <w:rPr>
                <w:sz w:val="20"/>
                <w:szCs w:val="20"/>
                <w:color w:val="auto"/>
              </w:rPr>
            </w:pPr>
            <w:r>
              <w:rPr>
                <w:rFonts w:ascii="Arial" w:cs="Arial" w:eastAsia="Arial" w:hAnsi="Arial"/>
                <w:sz w:val="16"/>
                <w:szCs w:val="16"/>
                <w:color w:val="auto"/>
              </w:rPr>
              <w:t>60.8%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Commercial lines</w:t>
            </w:r>
          </w:p>
        </w:tc>
        <w:tc>
          <w:tcPr>
            <w:tcW w:w="2960" w:type="dxa"/>
            <w:vAlign w:val="bottom"/>
          </w:tcPr>
          <w:p>
            <w:pPr>
              <w:jc w:val="right"/>
              <w:ind w:right="358"/>
              <w:spacing w:after="0"/>
              <w:rPr>
                <w:sz w:val="20"/>
                <w:szCs w:val="20"/>
                <w:color w:val="auto"/>
              </w:rPr>
            </w:pPr>
            <w:r>
              <w:rPr>
                <w:rFonts w:ascii="Arial" w:cs="Arial" w:eastAsia="Arial" w:hAnsi="Arial"/>
                <w:sz w:val="16"/>
                <w:szCs w:val="16"/>
                <w:color w:val="auto"/>
              </w:rPr>
              <w:t>23.4%</w:t>
            </w:r>
          </w:p>
        </w:tc>
        <w:tc>
          <w:tcPr>
            <w:tcW w:w="1360" w:type="dxa"/>
            <w:vAlign w:val="bottom"/>
          </w:tcPr>
          <w:p>
            <w:pPr>
              <w:jc w:val="right"/>
              <w:ind w:right="338"/>
              <w:spacing w:after="0"/>
              <w:rPr>
                <w:sz w:val="20"/>
                <w:szCs w:val="20"/>
                <w:color w:val="auto"/>
              </w:rPr>
            </w:pPr>
            <w:r>
              <w:rPr>
                <w:rFonts w:ascii="Arial" w:cs="Arial" w:eastAsia="Arial" w:hAnsi="Arial"/>
                <w:sz w:val="16"/>
                <w:szCs w:val="16"/>
                <w:color w:val="auto"/>
              </w:rPr>
              <w:t>41.2%</w:t>
            </w:r>
          </w:p>
        </w:tc>
        <w:tc>
          <w:tcPr>
            <w:tcW w:w="1420" w:type="dxa"/>
            <w:vAlign w:val="bottom"/>
          </w:tcPr>
          <w:p>
            <w:pPr>
              <w:jc w:val="right"/>
              <w:ind w:right="398"/>
              <w:spacing w:after="0"/>
              <w:rPr>
                <w:sz w:val="20"/>
                <w:szCs w:val="20"/>
                <w:color w:val="auto"/>
              </w:rPr>
            </w:pPr>
            <w:r>
              <w:rPr>
                <w:rFonts w:ascii="Arial" w:cs="Arial" w:eastAsia="Arial" w:hAnsi="Arial"/>
                <w:sz w:val="16"/>
                <w:szCs w:val="16"/>
                <w:color w:val="auto"/>
              </w:rPr>
              <w:t>48.8%</w:t>
            </w:r>
          </w:p>
        </w:tc>
        <w:tc>
          <w:tcPr>
            <w:tcW w:w="88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203"/>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Livery physical damage</w:t>
            </w:r>
          </w:p>
        </w:tc>
        <w:tc>
          <w:tcPr>
            <w:tcW w:w="296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45.9%</w:t>
            </w:r>
          </w:p>
        </w:tc>
        <w:tc>
          <w:tcPr>
            <w:tcW w:w="136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43.7%</w:t>
            </w:r>
          </w:p>
        </w:tc>
        <w:tc>
          <w:tcPr>
            <w:tcW w:w="1420" w:type="dxa"/>
            <w:vAlign w:val="bottom"/>
            <w:shd w:val="clear" w:color="auto" w:fill="CCEEFF"/>
          </w:tcPr>
          <w:p>
            <w:pPr>
              <w:jc w:val="right"/>
              <w:ind w:right="398"/>
              <w:spacing w:after="0"/>
              <w:rPr>
                <w:sz w:val="20"/>
                <w:szCs w:val="20"/>
                <w:color w:val="auto"/>
              </w:rPr>
            </w:pPr>
            <w:r>
              <w:rPr>
                <w:rFonts w:ascii="Arial" w:cs="Arial" w:eastAsia="Arial" w:hAnsi="Arial"/>
                <w:sz w:val="16"/>
                <w:szCs w:val="16"/>
                <w:color w:val="auto"/>
              </w:rPr>
              <w:t>46.0%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Other(1)</w:t>
            </w:r>
          </w:p>
        </w:tc>
        <w:tc>
          <w:tcPr>
            <w:tcW w:w="2960" w:type="dxa"/>
            <w:vAlign w:val="bottom"/>
          </w:tcPr>
          <w:p>
            <w:pPr>
              <w:jc w:val="right"/>
              <w:ind w:right="358"/>
              <w:spacing w:after="0"/>
              <w:rPr>
                <w:sz w:val="20"/>
                <w:szCs w:val="20"/>
                <w:color w:val="auto"/>
              </w:rPr>
            </w:pPr>
            <w:r>
              <w:rPr>
                <w:rFonts w:ascii="Arial" w:cs="Arial" w:eastAsia="Arial" w:hAnsi="Arial"/>
                <w:sz w:val="16"/>
                <w:szCs w:val="16"/>
                <w:color w:val="auto"/>
              </w:rPr>
              <w:t>661.2%</w:t>
            </w:r>
          </w:p>
        </w:tc>
        <w:tc>
          <w:tcPr>
            <w:tcW w:w="1360" w:type="dxa"/>
            <w:vAlign w:val="bottom"/>
          </w:tcPr>
          <w:p>
            <w:pPr>
              <w:jc w:val="right"/>
              <w:ind w:right="338"/>
              <w:spacing w:after="0"/>
              <w:rPr>
                <w:sz w:val="20"/>
                <w:szCs w:val="20"/>
                <w:color w:val="auto"/>
              </w:rPr>
            </w:pPr>
            <w:r>
              <w:rPr>
                <w:rFonts w:ascii="Arial" w:cs="Arial" w:eastAsia="Arial" w:hAnsi="Arial"/>
                <w:sz w:val="16"/>
                <w:szCs w:val="16"/>
                <w:color w:val="auto"/>
              </w:rPr>
              <w:t>169.9%</w:t>
            </w:r>
          </w:p>
        </w:tc>
        <w:tc>
          <w:tcPr>
            <w:tcW w:w="1420" w:type="dxa"/>
            <w:vAlign w:val="bottom"/>
          </w:tcPr>
          <w:p>
            <w:pPr>
              <w:jc w:val="right"/>
              <w:ind w:right="398"/>
              <w:spacing w:after="0"/>
              <w:rPr>
                <w:sz w:val="20"/>
                <w:szCs w:val="20"/>
                <w:color w:val="auto"/>
              </w:rPr>
            </w:pPr>
            <w:r>
              <w:rPr>
                <w:rFonts w:ascii="Arial" w:cs="Arial" w:eastAsia="Arial" w:hAnsi="Arial"/>
                <w:sz w:val="16"/>
                <w:szCs w:val="16"/>
                <w:color w:val="auto"/>
              </w:rPr>
              <w:t>397.4%</w:t>
            </w:r>
          </w:p>
        </w:tc>
        <w:tc>
          <w:tcPr>
            <w:tcW w:w="88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03"/>
        </w:trPr>
        <w:tc>
          <w:tcPr>
            <w:tcW w:w="4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2960" w:type="dxa"/>
            <w:vAlign w:val="bottom"/>
            <w:shd w:val="clear" w:color="auto" w:fill="CCEEFF"/>
          </w:tcPr>
          <w:p>
            <w:pPr>
              <w:jc w:val="right"/>
              <w:ind w:right="358"/>
              <w:spacing w:after="0"/>
              <w:rPr>
                <w:sz w:val="20"/>
                <w:szCs w:val="20"/>
                <w:color w:val="auto"/>
              </w:rPr>
            </w:pPr>
            <w:r>
              <w:rPr>
                <w:rFonts w:ascii="Arial" w:cs="Arial" w:eastAsia="Arial" w:hAnsi="Arial"/>
                <w:sz w:val="16"/>
                <w:szCs w:val="16"/>
                <w:color w:val="auto"/>
              </w:rPr>
              <w:t>46.4%</w:t>
            </w:r>
          </w:p>
        </w:tc>
        <w:tc>
          <w:tcPr>
            <w:tcW w:w="136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44.0%</w:t>
            </w:r>
          </w:p>
        </w:tc>
        <w:tc>
          <w:tcPr>
            <w:tcW w:w="1420" w:type="dxa"/>
            <w:vAlign w:val="bottom"/>
            <w:shd w:val="clear" w:color="auto" w:fill="CCEEFF"/>
          </w:tcPr>
          <w:p>
            <w:pPr>
              <w:jc w:val="right"/>
              <w:ind w:right="398"/>
              <w:spacing w:after="0"/>
              <w:rPr>
                <w:sz w:val="20"/>
                <w:szCs w:val="20"/>
                <w:color w:val="auto"/>
              </w:rPr>
            </w:pPr>
            <w:r>
              <w:rPr>
                <w:rFonts w:ascii="Arial" w:cs="Arial" w:eastAsia="Arial" w:hAnsi="Arial"/>
                <w:sz w:val="16"/>
                <w:szCs w:val="16"/>
                <w:color w:val="auto"/>
              </w:rPr>
              <w:t>60.6%</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09"/>
        </w:trPr>
        <w:tc>
          <w:tcPr>
            <w:tcW w:w="4800" w:type="dxa"/>
            <w:vAlign w:val="bottom"/>
          </w:tcPr>
          <w:p>
            <w:pPr>
              <w:spacing w:after="0"/>
              <w:rPr>
                <w:sz w:val="20"/>
                <w:szCs w:val="20"/>
                <w:color w:val="auto"/>
              </w:rPr>
            </w:pPr>
            <w:r>
              <w:rPr>
                <w:rFonts w:ascii="Arial" w:cs="Arial" w:eastAsia="Arial" w:hAnsi="Arial"/>
                <w:sz w:val="16"/>
                <w:szCs w:val="16"/>
                <w:color w:val="auto"/>
              </w:rPr>
              <w:t>__________________________________</w:t>
            </w:r>
          </w:p>
        </w:tc>
        <w:tc>
          <w:tcPr>
            <w:tcW w:w="2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125" w:lineRule="exact"/>
        <w:rPr>
          <w:sz w:val="20"/>
          <w:szCs w:val="20"/>
          <w:color w:val="auto"/>
        </w:rPr>
      </w:pPr>
    </w:p>
    <w:p>
      <w:pPr>
        <w:ind w:left="600" w:hanging="295"/>
        <w:spacing w:after="0" w:line="296"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includes, among other things, premiums and loss and loss adjustment expenses from our participation in a mandatory state joint underwriting association and loss and loss adjustment expenses from commercial auto.</w:t>
      </w:r>
    </w:p>
    <w:p>
      <w:pPr>
        <w:spacing w:after="0" w:line="154" w:lineRule="exact"/>
        <w:rPr>
          <w:rFonts w:ascii="Arial" w:cs="Arial" w:eastAsia="Arial" w:hAnsi="Arial"/>
          <w:sz w:val="16"/>
          <w:szCs w:val="16"/>
          <w:color w:val="auto"/>
        </w:rPr>
      </w:pPr>
    </w:p>
    <w:p>
      <w:pPr>
        <w:ind w:left="600" w:hanging="284"/>
        <w:spacing w:after="0"/>
        <w:tabs>
          <w:tab w:leader="none" w:pos="6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See discussions above with regard to “Net Loss and LAE”, as to catastrophe losses in 2018.</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Insurance Underwriting Business on a Standalone Basis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insurance underwriting business reported on a standalone basis for the periods indicated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60" w:type="dxa"/>
            <w:vAlign w:val="bottom"/>
            <w:gridSpan w:val="3"/>
          </w:tcPr>
          <w:p>
            <w:pPr>
              <w:jc w:val="right"/>
              <w:ind w:right="73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400" w:type="dxa"/>
            <w:vAlign w:val="bottom"/>
            <w:gridSpan w:val="4"/>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r>
              <w:rPr>
                <w:rFonts w:ascii="Arial" w:cs="Arial" w:eastAsia="Arial" w:hAnsi="Arial"/>
                <w:sz w:val="16"/>
                <w:szCs w:val="16"/>
                <w:color w:val="auto"/>
              </w:rPr>
              <w: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Net premiums earned</w:t>
            </w:r>
          </w:p>
        </w:tc>
        <w:tc>
          <w:tcPr>
            <w:tcW w:w="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24,104,614</w:t>
            </w:r>
          </w:p>
        </w:tc>
        <w:tc>
          <w:tcPr>
            <w:tcW w:w="3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16,953,727</w:t>
            </w:r>
          </w:p>
        </w:tc>
        <w:tc>
          <w:tcPr>
            <w:tcW w:w="2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46,942,231</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33,323,475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Ceding commission revenue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1,691,168</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3,305,938</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3,386,326</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6,490,390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Net investment income</w:t>
            </w:r>
          </w:p>
        </w:tc>
        <w:tc>
          <w:tcPr>
            <w:tcW w:w="34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1,531,163</w:t>
            </w:r>
          </w:p>
        </w:tc>
        <w:tc>
          <w:tcPr>
            <w:tcW w:w="300" w:type="dxa"/>
            <w:vAlign w:val="bottom"/>
          </w:tcPr>
          <w:p>
            <w:pPr>
              <w:spacing w:after="0"/>
              <w:rPr>
                <w:sz w:val="17"/>
                <w:szCs w:val="17"/>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1,026,004</w:t>
            </w:r>
          </w:p>
        </w:tc>
        <w:tc>
          <w:tcPr>
            <w:tcW w:w="28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2,915,152</w:t>
            </w:r>
          </w:p>
        </w:tc>
        <w:tc>
          <w:tcPr>
            <w:tcW w:w="30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1,883,804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(losses) gains on investments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(106,234)</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130,423</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(629,361)</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75,917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20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292,566</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296,285</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584,788</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563,661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27,513,277</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21,712,377</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53,199,136</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42,337,247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Expense</w:t>
            </w:r>
            <w:r>
              <w:rPr>
                <w:rFonts w:ascii="Arial" w:cs="Arial" w:eastAsia="Arial" w:hAnsi="Arial"/>
                <w:sz w:val="16"/>
                <w:szCs w:val="16"/>
                <w:color w:val="auto"/>
              </w:rPr>
              <w: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Loss and loss adjustment expenses</w:t>
            </w:r>
          </w:p>
        </w:tc>
        <w:tc>
          <w:tcPr>
            <w:tcW w:w="34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11,176,085</w:t>
            </w:r>
          </w:p>
        </w:tc>
        <w:tc>
          <w:tcPr>
            <w:tcW w:w="300" w:type="dxa"/>
            <w:vAlign w:val="bottom"/>
          </w:tcPr>
          <w:p>
            <w:pPr>
              <w:spacing w:after="0"/>
              <w:rPr>
                <w:sz w:val="17"/>
                <w:szCs w:val="17"/>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7,454,922</w:t>
            </w:r>
          </w:p>
        </w:tc>
        <w:tc>
          <w:tcPr>
            <w:tcW w:w="28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28,442,415</w:t>
            </w:r>
          </w:p>
        </w:tc>
        <w:tc>
          <w:tcPr>
            <w:tcW w:w="30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15,747,918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Commission expense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6,017,189</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5,101,566</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11,817,137</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9,990,544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Other underwriting expenses</w:t>
            </w:r>
          </w:p>
        </w:tc>
        <w:tc>
          <w:tcPr>
            <w:tcW w:w="34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5,075,986</w:t>
            </w:r>
          </w:p>
        </w:tc>
        <w:tc>
          <w:tcPr>
            <w:tcW w:w="300" w:type="dxa"/>
            <w:vAlign w:val="bottom"/>
          </w:tcPr>
          <w:p>
            <w:pPr>
              <w:spacing w:after="0"/>
              <w:rPr>
                <w:sz w:val="17"/>
                <w:szCs w:val="17"/>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4,198,875</w:t>
            </w:r>
          </w:p>
        </w:tc>
        <w:tc>
          <w:tcPr>
            <w:tcW w:w="28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10,107,489</w:t>
            </w:r>
          </w:p>
        </w:tc>
        <w:tc>
          <w:tcPr>
            <w:tcW w:w="30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8,412,033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424,161</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326,174</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833,592</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644,872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Total expenses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22,693,421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17,081,537</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51,200,633</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34,795,367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4,819,856</w:t>
            </w:r>
          </w:p>
        </w:tc>
        <w:tc>
          <w:tcPr>
            <w:tcW w:w="300" w:type="dxa"/>
            <w:vAlign w:val="bottom"/>
          </w:tcPr>
          <w:p>
            <w:pPr>
              <w:spacing w:after="0"/>
              <w:rPr>
                <w:sz w:val="17"/>
                <w:szCs w:val="17"/>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4,630,840</w:t>
            </w:r>
          </w:p>
        </w:tc>
        <w:tc>
          <w:tcPr>
            <w:tcW w:w="28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1,998,503</w:t>
            </w:r>
          </w:p>
        </w:tc>
        <w:tc>
          <w:tcPr>
            <w:tcW w:w="300" w:type="dxa"/>
            <w:vAlign w:val="bottom"/>
          </w:tcPr>
          <w:p>
            <w:pPr>
              <w:spacing w:after="0"/>
              <w:rPr>
                <w:sz w:val="17"/>
                <w:szCs w:val="17"/>
                <w:color w:val="auto"/>
              </w:rPr>
            </w:pP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7,541,880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987,926</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1,557,801</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377,646</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2,512,929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Net incom</w:t>
            </w:r>
            <w:r>
              <w:rPr>
                <w:rFonts w:ascii="Arial" w:cs="Arial" w:eastAsia="Arial" w:hAnsi="Arial"/>
                <w:sz w:val="16"/>
                <w:szCs w:val="16"/>
                <w:color w:val="auto"/>
              </w:rPr>
              <w:t>e</w:t>
            </w:r>
          </w:p>
        </w:tc>
        <w:tc>
          <w:tcPr>
            <w:tcW w:w="3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3,831,930</w:t>
            </w:r>
          </w:p>
        </w:tc>
        <w:tc>
          <w:tcPr>
            <w:tcW w:w="3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3,073,039</w:t>
            </w:r>
          </w:p>
        </w:tc>
        <w:tc>
          <w:tcPr>
            <w:tcW w:w="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1,620,857</w:t>
            </w:r>
          </w:p>
        </w:tc>
        <w:tc>
          <w:tcPr>
            <w:tcW w:w="3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5,028,951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Key Measures: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Net loss ratio</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46.4%</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44.0%</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60.6%</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underwriting expense ratio</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Net combined ratio</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960" w:type="dxa"/>
            <w:vAlign w:val="bottom"/>
          </w:tcPr>
          <w:p>
            <w:pPr>
              <w:ind w:left="200"/>
              <w:spacing w:after="0"/>
              <w:rPr>
                <w:sz w:val="20"/>
                <w:szCs w:val="20"/>
                <w:color w:val="auto"/>
              </w:rPr>
            </w:pPr>
            <w:r>
              <w:rPr>
                <w:rFonts w:ascii="Arial" w:cs="Arial" w:eastAsia="Arial" w:hAnsi="Arial"/>
                <w:sz w:val="16"/>
                <w:szCs w:val="16"/>
                <w:color w:val="auto"/>
              </w:rPr>
              <w:t>Reconciliation of net underwriting expense ratio:</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costs and other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200"/>
              <w:spacing w:after="0"/>
              <w:rPr>
                <w:sz w:val="20"/>
                <w:szCs w:val="20"/>
                <w:color w:val="auto"/>
              </w:rPr>
            </w:pPr>
            <w:r>
              <w:rPr>
                <w:rFonts w:ascii="Arial" w:cs="Arial" w:eastAsia="Arial" w:hAnsi="Arial"/>
                <w:sz w:val="16"/>
                <w:szCs w:val="16"/>
                <w:color w:val="auto"/>
              </w:rPr>
              <w:t>underwriting expenses</w:t>
            </w:r>
          </w:p>
        </w:tc>
        <w:tc>
          <w:tcPr>
            <w:tcW w:w="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11,093,175</w:t>
            </w:r>
          </w:p>
        </w:tc>
        <w:tc>
          <w:tcPr>
            <w:tcW w:w="3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9,300,441</w:t>
            </w:r>
          </w:p>
        </w:tc>
        <w:tc>
          <w:tcPr>
            <w:tcW w:w="2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21,924,626</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18,402,577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Less: Ceding commission revenue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(1,691,168)</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(3,305,938)</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(3,386,326)</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(6,490,390)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200"/>
              <w:spacing w:after="0"/>
              <w:rPr>
                <w:sz w:val="20"/>
                <w:szCs w:val="20"/>
                <w:color w:val="auto"/>
              </w:rPr>
            </w:pPr>
            <w:r>
              <w:rPr>
                <w:rFonts w:ascii="Arial" w:cs="Arial" w:eastAsia="Arial" w:hAnsi="Arial"/>
                <w:sz w:val="16"/>
                <w:szCs w:val="16"/>
                <w:color w:val="auto"/>
              </w:rPr>
              <w:t>Less: Other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(292,566)</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(296,285)</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(584,788)</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underwriting expenses</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9,109,441</w:t>
            </w:r>
          </w:p>
        </w:tc>
        <w:tc>
          <w:tcPr>
            <w:tcW w:w="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5,698,218</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17,953,512</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11,348,526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premiums earned</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24,104,614</w:t>
            </w:r>
          </w:p>
        </w:tc>
        <w:tc>
          <w:tcPr>
            <w:tcW w:w="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16,953,727</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46,942,231</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33,323,475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Underwriting Expense Ratio</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An analysis of our direct, assumed and ceded earned premiums, loss and loss adjustment expenses, and loss ratios is shown below:</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78"/>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1120" w:type="dxa"/>
            <w:vAlign w:val="bottom"/>
          </w:tcPr>
          <w:p>
            <w:pPr>
              <w:jc w:val="right"/>
              <w:ind w:right="378"/>
              <w:spacing w:after="0"/>
              <w:rPr>
                <w:sz w:val="20"/>
                <w:szCs w:val="20"/>
                <w:color w:val="auto"/>
              </w:rPr>
            </w:pPr>
            <w:r>
              <w:rPr>
                <w:rFonts w:ascii="Arial" w:cs="Arial" w:eastAsia="Arial" w:hAnsi="Arial"/>
                <w:sz w:val="14"/>
                <w:szCs w:val="14"/>
                <w:b w:val="1"/>
                <w:bCs w:val="1"/>
                <w:color w:val="auto"/>
              </w:rPr>
              <w:t>Assumed</w:t>
            </w:r>
          </w:p>
        </w:tc>
        <w:tc>
          <w:tcPr>
            <w:tcW w:w="260" w:type="dxa"/>
            <w:vAlign w:val="bottom"/>
          </w:tcPr>
          <w:p>
            <w:pPr>
              <w:spacing w:after="0"/>
              <w:rPr>
                <w:sz w:val="14"/>
                <w:szCs w:val="14"/>
                <w:color w:val="auto"/>
              </w:rPr>
            </w:pPr>
          </w:p>
        </w:tc>
        <w:tc>
          <w:tcPr>
            <w:tcW w:w="1100" w:type="dxa"/>
            <w:vAlign w:val="bottom"/>
          </w:tcPr>
          <w:p>
            <w:pPr>
              <w:jc w:val="right"/>
              <w:ind w:right="458"/>
              <w:spacing w:after="0"/>
              <w:rPr>
                <w:sz w:val="20"/>
                <w:szCs w:val="20"/>
                <w:color w:val="auto"/>
              </w:rPr>
            </w:pPr>
            <w:r>
              <w:rPr>
                <w:rFonts w:ascii="Arial" w:cs="Arial" w:eastAsia="Arial" w:hAnsi="Arial"/>
                <w:sz w:val="14"/>
                <w:szCs w:val="14"/>
                <w:b w:val="1"/>
                <w:bCs w:val="1"/>
                <w:color w:val="auto"/>
              </w:rPr>
              <w:t>Ceded</w:t>
            </w:r>
          </w:p>
        </w:tc>
        <w:tc>
          <w:tcPr>
            <w:tcW w:w="300" w:type="dxa"/>
            <w:vAlign w:val="bottom"/>
          </w:tcPr>
          <w:p>
            <w:pPr>
              <w:spacing w:after="0"/>
              <w:rPr>
                <w:sz w:val="14"/>
                <w:szCs w:val="14"/>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28"/>
        </w:trPr>
        <w:tc>
          <w:tcPr>
            <w:tcW w:w="4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Written premiums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68,389,960</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8"/>
              <w:spacing w:after="0"/>
              <w:rPr>
                <w:sz w:val="20"/>
                <w:szCs w:val="20"/>
                <w:color w:val="auto"/>
              </w:rPr>
            </w:pPr>
            <w:r>
              <w:rPr>
                <w:rFonts w:ascii="Arial" w:cs="Arial" w:eastAsia="Arial" w:hAnsi="Arial"/>
                <w:sz w:val="16"/>
                <w:szCs w:val="16"/>
                <w:color w:val="auto"/>
              </w:rPr>
              <w:t>824</w:t>
            </w:r>
          </w:p>
        </w:tc>
        <w:tc>
          <w:tcPr>
            <w:tcW w:w="2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8"/>
              <w:spacing w:after="0"/>
              <w:rPr>
                <w:sz w:val="20"/>
                <w:szCs w:val="20"/>
                <w:color w:val="auto"/>
              </w:rPr>
            </w:pPr>
            <w:r>
              <w:rPr>
                <w:rFonts w:ascii="Arial" w:cs="Arial" w:eastAsia="Arial" w:hAnsi="Arial"/>
                <w:sz w:val="16"/>
                <w:szCs w:val="16"/>
                <w:color w:val="auto"/>
              </w:rPr>
              <w:t>(16,725,724)</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51,665,060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 in unearned premiums</w:t>
            </w:r>
          </w:p>
        </w:tc>
        <w:tc>
          <w:tcPr>
            <w:tcW w:w="1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(5,495,329)</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3,064</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769,436</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Earned premiums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62,894,631</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8"/>
              <w:spacing w:after="0"/>
              <w:rPr>
                <w:sz w:val="20"/>
                <w:szCs w:val="20"/>
                <w:color w:val="auto"/>
              </w:rPr>
            </w:pPr>
            <w:r>
              <w:rPr>
                <w:rFonts w:ascii="Arial" w:cs="Arial" w:eastAsia="Arial" w:hAnsi="Arial"/>
                <w:sz w:val="16"/>
                <w:szCs w:val="16"/>
                <w:color w:val="auto"/>
              </w:rPr>
              <w:t>3,888</w:t>
            </w:r>
          </w:p>
        </w:tc>
        <w:tc>
          <w:tcPr>
            <w:tcW w:w="2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8"/>
              <w:spacing w:after="0"/>
              <w:rPr>
                <w:sz w:val="20"/>
                <w:szCs w:val="20"/>
                <w:color w:val="auto"/>
              </w:rPr>
            </w:pPr>
            <w:r>
              <w:rPr>
                <w:rFonts w:ascii="Arial" w:cs="Arial" w:eastAsia="Arial" w:hAnsi="Arial"/>
                <w:sz w:val="16"/>
                <w:szCs w:val="16"/>
                <w:color w:val="auto"/>
              </w:rPr>
              <w:t>(15,956,288)</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46,942,231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Loss and loss adjustment expenses exluding</w:t>
            </w: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the effect of catastrophes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25,875,115</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22,933</w:t>
            </w:r>
          </w:p>
        </w:tc>
        <w:tc>
          <w:tcPr>
            <w:tcW w:w="2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(3,186,030)</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22,712,018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340"/>
              <w:spacing w:after="0"/>
              <w:rPr>
                <w:sz w:val="20"/>
                <w:szCs w:val="20"/>
                <w:color w:val="auto"/>
              </w:rPr>
            </w:pPr>
            <w:r>
              <w:rPr>
                <w:rFonts w:ascii="Arial" w:cs="Arial" w:eastAsia="Arial" w:hAnsi="Arial"/>
                <w:sz w:val="16"/>
                <w:szCs w:val="16"/>
                <w:color w:val="auto"/>
              </w:rPr>
              <w:t>Catastrophe loss</w:t>
            </w:r>
          </w:p>
        </w:tc>
        <w:tc>
          <w:tcPr>
            <w:tcW w:w="1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10,561,389</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(4,830,992)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5,730,397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and loss adjustment expenses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36,436,504</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22,933</w:t>
            </w:r>
          </w:p>
        </w:tc>
        <w:tc>
          <w:tcPr>
            <w:tcW w:w="2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(8,017,022)</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28,442,415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5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ratio excluding the effect of catastrophes</w:t>
            </w: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589.8%</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340"/>
              <w:spacing w:after="0"/>
              <w:rPr>
                <w:sz w:val="20"/>
                <w:szCs w:val="20"/>
                <w:color w:val="auto"/>
              </w:rPr>
            </w:pPr>
            <w:r>
              <w:rPr>
                <w:rFonts w:ascii="Arial" w:cs="Arial" w:eastAsia="Arial" w:hAnsi="Arial"/>
                <w:sz w:val="16"/>
                <w:szCs w:val="16"/>
                <w:color w:val="auto"/>
              </w:rPr>
              <w:t>Catastrophe loss</w:t>
            </w:r>
          </w:p>
        </w:tc>
        <w:tc>
          <w:tcPr>
            <w:tcW w:w="1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 ratio</w:t>
            </w: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589.8%</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Written premiums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56,583,867</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8"/>
              <w:spacing w:after="0"/>
              <w:rPr>
                <w:sz w:val="20"/>
                <w:szCs w:val="20"/>
                <w:color w:val="auto"/>
              </w:rPr>
            </w:pPr>
            <w:r>
              <w:rPr>
                <w:rFonts w:ascii="Arial" w:cs="Arial" w:eastAsia="Arial" w:hAnsi="Arial"/>
                <w:sz w:val="16"/>
                <w:szCs w:val="16"/>
                <w:color w:val="auto"/>
              </w:rPr>
              <w:t>6,293</w:t>
            </w:r>
          </w:p>
        </w:tc>
        <w:tc>
          <w:tcPr>
            <w:tcW w:w="2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8"/>
              <w:spacing w:after="0"/>
              <w:rPr>
                <w:sz w:val="20"/>
                <w:szCs w:val="20"/>
                <w:color w:val="auto"/>
              </w:rPr>
            </w:pPr>
            <w:r>
              <w:rPr>
                <w:rFonts w:ascii="Arial" w:cs="Arial" w:eastAsia="Arial" w:hAnsi="Arial"/>
                <w:sz w:val="16"/>
                <w:szCs w:val="16"/>
                <w:color w:val="auto"/>
              </w:rPr>
              <w:t>(20,128,555)</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36,461,605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 in unearned premiums</w:t>
            </w:r>
          </w:p>
        </w:tc>
        <w:tc>
          <w:tcPr>
            <w:tcW w:w="1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(4,048,796)</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8,327</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902,339</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(3,138,130)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Earned premiums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52,535,071</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8"/>
              <w:spacing w:after="0"/>
              <w:rPr>
                <w:sz w:val="20"/>
                <w:szCs w:val="20"/>
                <w:color w:val="auto"/>
              </w:rPr>
            </w:pPr>
            <w:r>
              <w:rPr>
                <w:rFonts w:ascii="Arial" w:cs="Arial" w:eastAsia="Arial" w:hAnsi="Arial"/>
                <w:sz w:val="16"/>
                <w:szCs w:val="16"/>
                <w:color w:val="auto"/>
              </w:rPr>
              <w:t>14,620</w:t>
            </w:r>
          </w:p>
        </w:tc>
        <w:tc>
          <w:tcPr>
            <w:tcW w:w="2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8"/>
              <w:spacing w:after="0"/>
              <w:rPr>
                <w:sz w:val="20"/>
                <w:szCs w:val="20"/>
                <w:color w:val="auto"/>
              </w:rPr>
            </w:pPr>
            <w:r>
              <w:rPr>
                <w:rFonts w:ascii="Arial" w:cs="Arial" w:eastAsia="Arial" w:hAnsi="Arial"/>
                <w:sz w:val="16"/>
                <w:szCs w:val="16"/>
                <w:color w:val="auto"/>
              </w:rPr>
              <w:t>(19,226,216)</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33,323,475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Loss and loss adjustment expenses exluding</w:t>
            </w: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the effect of catastrophes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23,158,126</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16,333</w:t>
            </w:r>
          </w:p>
        </w:tc>
        <w:tc>
          <w:tcPr>
            <w:tcW w:w="2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(7,426,541)</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15,747,918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340"/>
              <w:spacing w:after="0"/>
              <w:rPr>
                <w:sz w:val="20"/>
                <w:szCs w:val="20"/>
                <w:color w:val="auto"/>
              </w:rPr>
            </w:pPr>
            <w:r>
              <w:rPr>
                <w:rFonts w:ascii="Arial" w:cs="Arial" w:eastAsia="Arial" w:hAnsi="Arial"/>
                <w:sz w:val="16"/>
                <w:szCs w:val="16"/>
                <w:color w:val="auto"/>
              </w:rPr>
              <w:t>Catastrophe loss</w:t>
            </w:r>
          </w:p>
        </w:tc>
        <w:tc>
          <w:tcPr>
            <w:tcW w:w="1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and loss adjustment expenses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23,158,126</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16,333</w:t>
            </w:r>
          </w:p>
        </w:tc>
        <w:tc>
          <w:tcPr>
            <w:tcW w:w="2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(7,426,541)</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15,747,918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5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ratio excluding the effect of catastrophes</w:t>
            </w: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340"/>
              <w:spacing w:after="0"/>
              <w:rPr>
                <w:sz w:val="20"/>
                <w:szCs w:val="20"/>
                <w:color w:val="auto"/>
              </w:rPr>
            </w:pPr>
            <w:r>
              <w:rPr>
                <w:rFonts w:ascii="Arial" w:cs="Arial" w:eastAsia="Arial" w:hAnsi="Arial"/>
                <w:sz w:val="16"/>
                <w:szCs w:val="16"/>
                <w:color w:val="auto"/>
              </w:rPr>
              <w:t>Catastrophe loss</w:t>
            </w:r>
          </w:p>
        </w:tc>
        <w:tc>
          <w:tcPr>
            <w:tcW w:w="1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 ratio</w:t>
            </w: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Written premiums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36,863,677</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8"/>
              <w:spacing w:after="0"/>
              <w:rPr>
                <w:sz w:val="20"/>
                <w:szCs w:val="20"/>
                <w:color w:val="auto"/>
              </w:rPr>
            </w:pPr>
            <w:r>
              <w:rPr>
                <w:rFonts w:ascii="Arial" w:cs="Arial" w:eastAsia="Arial" w:hAnsi="Arial"/>
                <w:sz w:val="16"/>
                <w:szCs w:val="16"/>
                <w:color w:val="auto"/>
              </w:rPr>
              <w:t>488</w:t>
            </w:r>
          </w:p>
        </w:tc>
        <w:tc>
          <w:tcPr>
            <w:tcW w:w="2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8"/>
              <w:spacing w:after="0"/>
              <w:rPr>
                <w:sz w:val="20"/>
                <w:szCs w:val="20"/>
                <w:color w:val="auto"/>
              </w:rPr>
            </w:pPr>
            <w:r>
              <w:rPr>
                <w:rFonts w:ascii="Arial" w:cs="Arial" w:eastAsia="Arial" w:hAnsi="Arial"/>
                <w:sz w:val="16"/>
                <w:szCs w:val="16"/>
                <w:color w:val="auto"/>
              </w:rPr>
              <w:t>(8,899,489)</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27,964,676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 in unearned premiums</w:t>
            </w:r>
          </w:p>
        </w:tc>
        <w:tc>
          <w:tcPr>
            <w:tcW w:w="1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(4,486,460)</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1,163</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625,235</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(3,860,062)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Earned premiums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32,377,217</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8"/>
              <w:spacing w:after="0"/>
              <w:rPr>
                <w:sz w:val="20"/>
                <w:szCs w:val="20"/>
                <w:color w:val="auto"/>
              </w:rPr>
            </w:pPr>
            <w:r>
              <w:rPr>
                <w:rFonts w:ascii="Arial" w:cs="Arial" w:eastAsia="Arial" w:hAnsi="Arial"/>
                <w:sz w:val="16"/>
                <w:szCs w:val="16"/>
                <w:color w:val="auto"/>
              </w:rPr>
              <w:t>1,651</w:t>
            </w:r>
          </w:p>
        </w:tc>
        <w:tc>
          <w:tcPr>
            <w:tcW w:w="2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8"/>
              <w:spacing w:after="0"/>
              <w:rPr>
                <w:sz w:val="20"/>
                <w:szCs w:val="20"/>
                <w:color w:val="auto"/>
              </w:rPr>
            </w:pPr>
            <w:r>
              <w:rPr>
                <w:rFonts w:ascii="Arial" w:cs="Arial" w:eastAsia="Arial" w:hAnsi="Arial"/>
                <w:sz w:val="16"/>
                <w:szCs w:val="16"/>
                <w:color w:val="auto"/>
              </w:rPr>
              <w:t>(8,274,254)</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24,104,614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Loss and loss adjustment expenses exluding</w:t>
            </w: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the effect of catastrophes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13,355,874</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1,518</w:t>
            </w:r>
          </w:p>
        </w:tc>
        <w:tc>
          <w:tcPr>
            <w:tcW w:w="2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(2,364,854)</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10,992,538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340"/>
              <w:spacing w:after="0"/>
              <w:rPr>
                <w:sz w:val="20"/>
                <w:szCs w:val="20"/>
                <w:color w:val="auto"/>
              </w:rPr>
            </w:pPr>
            <w:r>
              <w:rPr>
                <w:rFonts w:ascii="Arial" w:cs="Arial" w:eastAsia="Arial" w:hAnsi="Arial"/>
                <w:sz w:val="16"/>
                <w:szCs w:val="16"/>
                <w:color w:val="auto"/>
              </w:rPr>
              <w:t>Catastrophe loss</w:t>
            </w:r>
          </w:p>
        </w:tc>
        <w:tc>
          <w:tcPr>
            <w:tcW w:w="1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223,659</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(40,112)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183,547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and loss adjustment expenses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13,579,533</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1,518</w:t>
            </w:r>
          </w:p>
        </w:tc>
        <w:tc>
          <w:tcPr>
            <w:tcW w:w="2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(2,404,966)</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11,176,085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5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ratio excluding the effect of catastrophes</w:t>
            </w: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340"/>
              <w:spacing w:after="0"/>
              <w:rPr>
                <w:sz w:val="20"/>
                <w:szCs w:val="20"/>
                <w:color w:val="auto"/>
              </w:rPr>
            </w:pPr>
            <w:r>
              <w:rPr>
                <w:rFonts w:ascii="Arial" w:cs="Arial" w:eastAsia="Arial" w:hAnsi="Arial"/>
                <w:sz w:val="16"/>
                <w:szCs w:val="16"/>
                <w:color w:val="auto"/>
              </w:rPr>
              <w:t>Catastrophe loss</w:t>
            </w:r>
          </w:p>
        </w:tc>
        <w:tc>
          <w:tcPr>
            <w:tcW w:w="1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 ratio</w:t>
            </w: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Written premiums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30,458,400</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8"/>
              <w:spacing w:after="0"/>
              <w:rPr>
                <w:sz w:val="20"/>
                <w:szCs w:val="20"/>
                <w:color w:val="auto"/>
              </w:rPr>
            </w:pPr>
            <w:r>
              <w:rPr>
                <w:rFonts w:ascii="Arial" w:cs="Arial" w:eastAsia="Arial" w:hAnsi="Arial"/>
                <w:sz w:val="16"/>
                <w:szCs w:val="16"/>
                <w:color w:val="auto"/>
              </w:rPr>
              <w:t>1,865</w:t>
            </w:r>
          </w:p>
        </w:tc>
        <w:tc>
          <w:tcPr>
            <w:tcW w:w="2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8"/>
              <w:spacing w:after="0"/>
              <w:rPr>
                <w:sz w:val="20"/>
                <w:szCs w:val="20"/>
                <w:color w:val="auto"/>
              </w:rPr>
            </w:pPr>
            <w:r>
              <w:rPr>
                <w:rFonts w:ascii="Arial" w:cs="Arial" w:eastAsia="Arial" w:hAnsi="Arial"/>
                <w:sz w:val="16"/>
                <w:szCs w:val="16"/>
                <w:color w:val="auto"/>
              </w:rPr>
              <w:t>(10,732,965)</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19,727,300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 in unearned premiums</w:t>
            </w:r>
          </w:p>
        </w:tc>
        <w:tc>
          <w:tcPr>
            <w:tcW w:w="14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(3,717,893)</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5,346</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938,974</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(2,773,573)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Earned premiums</w:t>
            </w:r>
          </w:p>
        </w:tc>
        <w:tc>
          <w:tcPr>
            <w:tcW w:w="18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26,740,507</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8"/>
              <w:spacing w:after="0"/>
              <w:rPr>
                <w:sz w:val="20"/>
                <w:szCs w:val="20"/>
                <w:color w:val="auto"/>
              </w:rPr>
            </w:pPr>
            <w:r>
              <w:rPr>
                <w:rFonts w:ascii="Arial" w:cs="Arial" w:eastAsia="Arial" w:hAnsi="Arial"/>
                <w:sz w:val="16"/>
                <w:szCs w:val="16"/>
                <w:color w:val="auto"/>
              </w:rPr>
              <w:t>7,211</w:t>
            </w:r>
          </w:p>
        </w:tc>
        <w:tc>
          <w:tcPr>
            <w:tcW w:w="2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8"/>
              <w:spacing w:after="0"/>
              <w:rPr>
                <w:sz w:val="20"/>
                <w:szCs w:val="20"/>
                <w:color w:val="auto"/>
              </w:rPr>
            </w:pPr>
            <w:r>
              <w:rPr>
                <w:rFonts w:ascii="Arial" w:cs="Arial" w:eastAsia="Arial" w:hAnsi="Arial"/>
                <w:sz w:val="16"/>
                <w:szCs w:val="16"/>
                <w:color w:val="auto"/>
              </w:rPr>
              <w:t>(9,793,991)</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16,953,727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340"/>
              <w:spacing w:after="0"/>
              <w:rPr>
                <w:sz w:val="20"/>
                <w:szCs w:val="20"/>
                <w:color w:val="auto"/>
              </w:rPr>
            </w:pPr>
            <w:r>
              <w:rPr>
                <w:rFonts w:ascii="Arial" w:cs="Arial" w:eastAsia="Arial" w:hAnsi="Arial"/>
                <w:sz w:val="16"/>
                <w:szCs w:val="16"/>
                <w:color w:val="auto"/>
              </w:rPr>
              <w:t>Loss and loss adjustment expenses exluding</w:t>
            </w: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the effect of catastrophes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10,639,366</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8,293</w:t>
            </w:r>
          </w:p>
        </w:tc>
        <w:tc>
          <w:tcPr>
            <w:tcW w:w="2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(3,192,737)</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7,454,922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340"/>
              <w:spacing w:after="0"/>
              <w:rPr>
                <w:sz w:val="20"/>
                <w:szCs w:val="20"/>
                <w:color w:val="auto"/>
              </w:rPr>
            </w:pPr>
            <w:r>
              <w:rPr>
                <w:rFonts w:ascii="Arial" w:cs="Arial" w:eastAsia="Arial" w:hAnsi="Arial"/>
                <w:sz w:val="16"/>
                <w:szCs w:val="16"/>
                <w:color w:val="auto"/>
              </w:rPr>
              <w:t>Catastrophe loss</w:t>
            </w:r>
          </w:p>
        </w:tc>
        <w:tc>
          <w:tcPr>
            <w:tcW w:w="1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and loss adjustment expenses</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10,639,366</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8,293</w:t>
            </w:r>
          </w:p>
        </w:tc>
        <w:tc>
          <w:tcPr>
            <w:tcW w:w="2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(3,192,737)</w:t>
            </w: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7,454,922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500" w:type="dxa"/>
            <w:vAlign w:val="bottom"/>
            <w:tcBorders>
              <w:top w:val="single" w:sz="8" w:color="CCEEFF"/>
            </w:tcBorders>
          </w:tcPr>
          <w:p>
            <w:pPr>
              <w:spacing w:after="0"/>
              <w:rPr>
                <w:sz w:val="16"/>
                <w:szCs w:val="16"/>
                <w:color w:val="auto"/>
              </w:rPr>
            </w:pPr>
          </w:p>
        </w:tc>
        <w:tc>
          <w:tcPr>
            <w:tcW w:w="14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ratio excluding the effect of catastrophes</w:t>
            </w: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340"/>
              <w:spacing w:after="0"/>
              <w:rPr>
                <w:sz w:val="20"/>
                <w:szCs w:val="20"/>
                <w:color w:val="auto"/>
              </w:rPr>
            </w:pPr>
            <w:r>
              <w:rPr>
                <w:rFonts w:ascii="Arial" w:cs="Arial" w:eastAsia="Arial" w:hAnsi="Arial"/>
                <w:sz w:val="16"/>
                <w:szCs w:val="16"/>
                <w:color w:val="auto"/>
              </w:rPr>
              <w:t>Catastrophe loss</w:t>
            </w:r>
          </w:p>
        </w:tc>
        <w:tc>
          <w:tcPr>
            <w:tcW w:w="1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 ratio</w:t>
            </w:r>
          </w:p>
        </w:tc>
        <w:tc>
          <w:tcPr>
            <w:tcW w:w="1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7"/>
        </w:trPr>
        <w:tc>
          <w:tcPr>
            <w:tcW w:w="4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61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1"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The key measures for our insurance underwriting business for the periods indicated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38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r>
      <w:tr>
        <w:trPr>
          <w:trHeight w:val="208"/>
        </w:trPr>
        <w:tc>
          <w:tcPr>
            <w:tcW w:w="5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r>
      <w:tr>
        <w:trPr>
          <w:trHeight w:val="228"/>
        </w:trPr>
        <w:tc>
          <w:tcPr>
            <w:tcW w:w="5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premiums earned</w:t>
            </w:r>
          </w:p>
        </w:tc>
        <w:tc>
          <w:tcPr>
            <w:tcW w:w="3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24,104,614</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16,953,727</w:t>
            </w:r>
          </w:p>
        </w:tc>
        <w:tc>
          <w:tcPr>
            <w:tcW w:w="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46,942,231</w:t>
            </w:r>
          </w:p>
        </w:tc>
        <w:tc>
          <w:tcPr>
            <w:tcW w:w="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33,323,475</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Ceding commission revenue</w:t>
            </w:r>
          </w:p>
        </w:tc>
        <w:tc>
          <w:tcPr>
            <w:tcW w:w="340" w:type="dxa"/>
            <w:vAlign w:val="bottom"/>
          </w:tcPr>
          <w:p>
            <w:pPr>
              <w:spacing w:after="0"/>
              <w:rPr>
                <w:sz w:val="17"/>
                <w:szCs w:val="17"/>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1,691,168</w:t>
            </w:r>
          </w:p>
        </w:tc>
        <w:tc>
          <w:tcPr>
            <w:tcW w:w="36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3,305,938</w:t>
            </w:r>
          </w:p>
        </w:tc>
        <w:tc>
          <w:tcPr>
            <w:tcW w:w="340" w:type="dxa"/>
            <w:vAlign w:val="bottom"/>
          </w:tcPr>
          <w:p>
            <w:pPr>
              <w:spacing w:after="0"/>
              <w:rPr>
                <w:sz w:val="17"/>
                <w:szCs w:val="17"/>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3,386,326</w:t>
            </w:r>
          </w:p>
        </w:tc>
        <w:tc>
          <w:tcPr>
            <w:tcW w:w="36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6,490,390</w:t>
            </w: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292,566</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296,285</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584,788</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563,661</w:t>
            </w:r>
          </w:p>
        </w:tc>
      </w:tr>
      <w:tr>
        <w:trPr>
          <w:trHeight w:val="203"/>
        </w:trPr>
        <w:tc>
          <w:tcPr>
            <w:tcW w:w="5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and loss adjustment expenses (1)</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11,176,085</w:t>
            </w: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7,454,922</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28,442,415</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15,747,918</w:t>
            </w:r>
          </w:p>
        </w:tc>
      </w:tr>
      <w:tr>
        <w:trPr>
          <w:trHeight w:val="203"/>
        </w:trPr>
        <w:tc>
          <w:tcPr>
            <w:tcW w:w="5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Acquistion costs and other underwriting expenses: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Commission expense</w:t>
            </w:r>
          </w:p>
        </w:tc>
        <w:tc>
          <w:tcPr>
            <w:tcW w:w="340" w:type="dxa"/>
            <w:vAlign w:val="bottom"/>
          </w:tcPr>
          <w:p>
            <w:pPr>
              <w:spacing w:after="0"/>
              <w:rPr>
                <w:sz w:val="17"/>
                <w:szCs w:val="17"/>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6,017,189</w:t>
            </w:r>
          </w:p>
        </w:tc>
        <w:tc>
          <w:tcPr>
            <w:tcW w:w="36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5,101,566</w:t>
            </w:r>
          </w:p>
        </w:tc>
        <w:tc>
          <w:tcPr>
            <w:tcW w:w="340" w:type="dxa"/>
            <w:vAlign w:val="bottom"/>
          </w:tcPr>
          <w:p>
            <w:pPr>
              <w:spacing w:after="0"/>
              <w:rPr>
                <w:sz w:val="17"/>
                <w:szCs w:val="17"/>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11,817,137</w:t>
            </w:r>
          </w:p>
        </w:tc>
        <w:tc>
          <w:tcPr>
            <w:tcW w:w="36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9,990,544</w:t>
            </w: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underwriting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5,075,986</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4,199,616</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10,107,489</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8,412,033</w:t>
            </w:r>
          </w:p>
        </w:tc>
      </w:tr>
      <w:tr>
        <w:trPr>
          <w:trHeight w:val="203"/>
        </w:trPr>
        <w:tc>
          <w:tcPr>
            <w:tcW w:w="5960" w:type="dxa"/>
            <w:vAlign w:val="bottom"/>
          </w:tcPr>
          <w:p>
            <w:pPr>
              <w:ind w:left="40"/>
              <w:spacing w:after="0"/>
              <w:rPr>
                <w:sz w:val="20"/>
                <w:szCs w:val="20"/>
                <w:color w:val="auto"/>
              </w:rPr>
            </w:pPr>
            <w:r>
              <w:rPr>
                <w:rFonts w:ascii="Arial" w:cs="Arial" w:eastAsia="Arial" w:hAnsi="Arial"/>
                <w:sz w:val="16"/>
                <w:szCs w:val="16"/>
                <w:color w:val="auto"/>
              </w:rPr>
              <w:t>Total acquistion costs and other</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8"/>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underwriting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11,093,175</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9,301,182</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21,924,626</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18,402,577</w:t>
            </w:r>
          </w:p>
        </w:tc>
      </w:tr>
      <w:tr>
        <w:trPr>
          <w:trHeight w:val="203"/>
        </w:trPr>
        <w:tc>
          <w:tcPr>
            <w:tcW w:w="5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Underwriting income</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3,819,088</w:t>
            </w:r>
          </w:p>
        </w:tc>
        <w:tc>
          <w:tcPr>
            <w:tcW w:w="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3,799,846</w:t>
            </w:r>
          </w:p>
        </w:tc>
        <w:tc>
          <w:tcPr>
            <w:tcW w:w="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546,304</w:t>
            </w:r>
          </w:p>
        </w:tc>
        <w:tc>
          <w:tcPr>
            <w:tcW w:w="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6,227,031</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Key Measures: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Net loss ratio excluding the effect of catastrophes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45.6%</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44.0%</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48.4%</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catastrophe loss on net loss ratio (1)</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Net loss ratio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Net underwriting expense ratio excluding the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effect of catastrophes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Effect of catastrophe loss on net underwriting</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expense ratio (2)</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Net underwriting expense ratio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Net combined ratio excluding the effect</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of catastrophes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Effect of catastrophe loss on net combined</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ratio (1) (2)</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Net combined ratio</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9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340"/>
              <w:spacing w:after="0"/>
              <w:rPr>
                <w:sz w:val="20"/>
                <w:szCs w:val="20"/>
                <w:color w:val="auto"/>
              </w:rPr>
            </w:pPr>
            <w:r>
              <w:rPr>
                <w:rFonts w:ascii="Arial" w:cs="Arial" w:eastAsia="Arial" w:hAnsi="Arial"/>
                <w:sz w:val="16"/>
                <w:szCs w:val="16"/>
                <w:color w:val="auto"/>
              </w:rPr>
              <w:t>Reconciliation of net underwriting expense ratio:</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costs and other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660"/>
              <w:spacing w:after="0"/>
              <w:rPr>
                <w:sz w:val="20"/>
                <w:szCs w:val="20"/>
                <w:color w:val="auto"/>
              </w:rPr>
            </w:pPr>
            <w:r>
              <w:rPr>
                <w:rFonts w:ascii="Arial" w:cs="Arial" w:eastAsia="Arial" w:hAnsi="Arial"/>
                <w:sz w:val="16"/>
                <w:szCs w:val="16"/>
                <w:color w:val="auto"/>
              </w:rPr>
              <w:t>underwriting expenses</w:t>
            </w:r>
          </w:p>
        </w:tc>
        <w:tc>
          <w:tcPr>
            <w:tcW w:w="3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8"/>
              <w:spacing w:after="0"/>
              <w:rPr>
                <w:sz w:val="20"/>
                <w:szCs w:val="20"/>
                <w:color w:val="auto"/>
              </w:rPr>
            </w:pPr>
            <w:r>
              <w:rPr>
                <w:rFonts w:ascii="Arial" w:cs="Arial" w:eastAsia="Arial" w:hAnsi="Arial"/>
                <w:sz w:val="16"/>
                <w:szCs w:val="16"/>
                <w:color w:val="auto"/>
              </w:rPr>
              <w:t>11,093,175</w:t>
            </w:r>
          </w:p>
        </w:tc>
        <w:tc>
          <w:tcPr>
            <w:tcW w:w="2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8"/>
              <w:spacing w:after="0"/>
              <w:rPr>
                <w:sz w:val="20"/>
                <w:szCs w:val="20"/>
                <w:color w:val="auto"/>
              </w:rPr>
            </w:pPr>
            <w:r>
              <w:rPr>
                <w:rFonts w:ascii="Arial" w:cs="Arial" w:eastAsia="Arial" w:hAnsi="Arial"/>
                <w:sz w:val="16"/>
                <w:szCs w:val="16"/>
                <w:color w:val="auto"/>
              </w:rPr>
              <w:t>9,301,182</w:t>
            </w:r>
          </w:p>
        </w:tc>
        <w:tc>
          <w:tcPr>
            <w:tcW w:w="2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8"/>
              <w:spacing w:after="0"/>
              <w:rPr>
                <w:sz w:val="20"/>
                <w:szCs w:val="20"/>
                <w:color w:val="auto"/>
              </w:rPr>
            </w:pPr>
            <w:r>
              <w:rPr>
                <w:rFonts w:ascii="Arial" w:cs="Arial" w:eastAsia="Arial" w:hAnsi="Arial"/>
                <w:sz w:val="16"/>
                <w:szCs w:val="16"/>
                <w:color w:val="auto"/>
              </w:rPr>
              <w:t>21,924,626</w:t>
            </w:r>
          </w:p>
        </w:tc>
        <w:tc>
          <w:tcPr>
            <w:tcW w:w="30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18,402,577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Less: Ceding commission revenue (2)</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(1,691,168)</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(3,305,938)</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(3,386,326)</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(6,490,390)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960" w:type="dxa"/>
            <w:vAlign w:val="bottom"/>
          </w:tcPr>
          <w:p>
            <w:pPr>
              <w:ind w:left="340"/>
              <w:spacing w:after="0"/>
              <w:rPr>
                <w:sz w:val="20"/>
                <w:szCs w:val="20"/>
                <w:color w:val="auto"/>
              </w:rPr>
            </w:pPr>
            <w:r>
              <w:rPr>
                <w:rFonts w:ascii="Arial" w:cs="Arial" w:eastAsia="Arial" w:hAnsi="Arial"/>
                <w:sz w:val="16"/>
                <w:szCs w:val="16"/>
                <w:color w:val="auto"/>
              </w:rPr>
              <w:t>Less: Other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(292,566)</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(296,285)</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(584,788)</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9,109,441</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5,698,959</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17,953,512</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11,348,526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earned premium</w:t>
            </w:r>
          </w:p>
        </w:tc>
        <w:tc>
          <w:tcPr>
            <w:tcW w:w="3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24,104,614</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16,953,727</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46,942,231</w:t>
            </w: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33,323,475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Underwriting Expense Ratio</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firstLine="1"/>
        <w:spacing w:after="0" w:line="296" w:lineRule="auto"/>
        <w:tabs>
          <w:tab w:leader="none" w:pos="234"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three months ended June 30, 2018, includes the sum of net catastrophe losses and loss adjustment expenses of $183,547. For the six months ended June 30, 2018, includes the sum of net catastrophe losses and loss adjustment expenses of $5,730,397.</w:t>
      </w:r>
    </w:p>
    <w:p>
      <w:pPr>
        <w:spacing w:after="0" w:line="90" w:lineRule="exact"/>
        <w:rPr>
          <w:rFonts w:ascii="Arial" w:cs="Arial" w:eastAsia="Arial" w:hAnsi="Arial"/>
          <w:sz w:val="16"/>
          <w:szCs w:val="16"/>
          <w:color w:val="auto"/>
        </w:rPr>
      </w:pPr>
    </w:p>
    <w:p>
      <w:pPr>
        <w:jc w:val="both"/>
        <w:ind w:firstLine="1"/>
        <w:spacing w:after="0" w:line="275" w:lineRule="auto"/>
        <w:tabs>
          <w:tab w:leader="none" w:pos="2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three months ended June 30, 2018, the effect of catastrophe loss on our net underwriting expense ratio includes the direct effect of reduced contingent ceding commission revenue by $124,929 and does not include the indirect effects of a $135,764 decrease in other underwriting expenses. For the six months ended June 30, 2018, the effect of catastrophe loss on our net underwriting expense ratio includes the direct effect of reduced contingent ceding commission revenue by $459,068 and does not include the indirect effects of a $164,931 decrease in other underwriting expenses.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Investments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Portfolio Summary</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Fixed-Maturity Securities</w:t>
      </w:r>
    </w:p>
    <w:p>
      <w:pPr>
        <w:spacing w:after="0" w:line="221" w:lineRule="exact"/>
        <w:rPr>
          <w:sz w:val="20"/>
          <w:szCs w:val="20"/>
          <w:color w:val="auto"/>
        </w:rPr>
      </w:pPr>
    </w:p>
    <w:p>
      <w:pPr>
        <w:ind w:firstLine="608"/>
        <w:spacing w:after="0" w:line="296" w:lineRule="auto"/>
        <w:rPr>
          <w:sz w:val="20"/>
          <w:szCs w:val="20"/>
          <w:color w:val="auto"/>
        </w:rPr>
      </w:pPr>
      <w:r>
        <w:rPr>
          <w:rFonts w:ascii="Arial" w:cs="Arial" w:eastAsia="Arial" w:hAnsi="Arial"/>
          <w:sz w:val="16"/>
          <w:szCs w:val="16"/>
          <w:color w:val="auto"/>
        </w:rPr>
        <w:t>The following table presents a breakdown of the amortized cost, fair value, and unrealized gains and losses of our investments in fixed-maturity securities classified as available-for-sale as of June 30, 2018 and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39"/>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14"/>
                <w:szCs w:val="14"/>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8"/>
              </w:rPr>
              <w:t>Gross Unrealized Losses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Unrealized</w:t>
            </w:r>
          </w:p>
        </w:tc>
      </w:tr>
      <w:tr>
        <w:trPr>
          <w:trHeight w:val="139"/>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2"/>
                <w:szCs w:val="12"/>
                <w:color w:val="auto"/>
              </w:rPr>
            </w:pPr>
          </w:p>
        </w:tc>
        <w:tc>
          <w:tcPr>
            <w:tcW w:w="90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right"/>
              <w:ind w:right="143"/>
              <w:spacing w:after="0" w:line="139" w:lineRule="exact"/>
              <w:rPr>
                <w:sz w:val="20"/>
                <w:szCs w:val="20"/>
                <w:color w:val="auto"/>
              </w:rPr>
            </w:pPr>
            <w:r>
              <w:rPr>
                <w:rFonts w:ascii="Arial" w:cs="Arial" w:eastAsia="Arial" w:hAnsi="Arial"/>
                <w:sz w:val="14"/>
                <w:szCs w:val="14"/>
                <w:b w:val="1"/>
                <w:bCs w:val="1"/>
                <w:color w:val="auto"/>
                <w:w w:val="84"/>
              </w:rPr>
              <w:t>Less than 12</w:t>
            </w:r>
          </w:p>
        </w:tc>
        <w:tc>
          <w:tcPr>
            <w:tcW w:w="1100" w:type="dxa"/>
            <w:vAlign w:val="bottom"/>
            <w:gridSpan w:val="2"/>
          </w:tcPr>
          <w:p>
            <w:pPr>
              <w:jc w:val="right"/>
              <w:ind w:right="60"/>
              <w:spacing w:after="0" w:line="139" w:lineRule="exact"/>
              <w:rPr>
                <w:sz w:val="20"/>
                <w:szCs w:val="20"/>
                <w:color w:val="auto"/>
              </w:rPr>
            </w:pPr>
            <w:r>
              <w:rPr>
                <w:rFonts w:ascii="Arial" w:cs="Arial" w:eastAsia="Arial" w:hAnsi="Arial"/>
                <w:sz w:val="14"/>
                <w:szCs w:val="14"/>
                <w:b w:val="1"/>
                <w:bCs w:val="1"/>
                <w:color w:val="auto"/>
              </w:rPr>
              <w:t>More than 12</w:t>
            </w:r>
          </w:p>
        </w:tc>
        <w:tc>
          <w:tcPr>
            <w:tcW w:w="200" w:type="dxa"/>
            <w:vAlign w:val="bottom"/>
          </w:tcPr>
          <w:p>
            <w:pPr>
              <w:spacing w:after="0"/>
              <w:rPr>
                <w:sz w:val="12"/>
                <w:szCs w:val="12"/>
                <w:color w:val="auto"/>
              </w:rPr>
            </w:pPr>
          </w:p>
        </w:tc>
        <w:tc>
          <w:tcPr>
            <w:tcW w:w="940" w:type="dxa"/>
            <w:vAlign w:val="bottom"/>
          </w:tcPr>
          <w:p>
            <w:pPr>
              <w:jc w:val="right"/>
              <w:ind w:right="341"/>
              <w:spacing w:after="0" w:line="13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0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88"/>
              </w:rPr>
              <w:t>Gains/</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Months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r>
      <w:tr>
        <w:trPr>
          <w:trHeight w:val="228"/>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Fixed-Maturity Securities: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7"/>
        </w:trPr>
        <w:tc>
          <w:tcPr>
            <w:tcW w:w="4580" w:type="dxa"/>
            <w:vAlign w:val="bottom"/>
          </w:tcPr>
          <w:p>
            <w:pPr>
              <w:ind w:left="40"/>
              <w:spacing w:after="0"/>
              <w:rPr>
                <w:sz w:val="20"/>
                <w:szCs w:val="20"/>
                <w:color w:val="auto"/>
              </w:rPr>
            </w:pPr>
            <w:r>
              <w:rPr>
                <w:rFonts w:ascii="Arial" w:cs="Arial" w:eastAsia="Arial" w:hAnsi="Arial"/>
                <w:sz w:val="16"/>
                <w:szCs w:val="16"/>
                <w:color w:val="auto"/>
              </w:rPr>
              <w:t>U.S. Treasury securities and</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obligations of U.S. government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corporations and agencies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8,207,870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9,970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(40,264)</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8,177,576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(30,294)</w:t>
            </w:r>
          </w:p>
        </w:tc>
      </w:tr>
      <w:tr>
        <w:trPr>
          <w:trHeight w:val="203"/>
        </w:trPr>
        <w:tc>
          <w:tcPr>
            <w:tcW w:w="4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7"/>
        </w:trPr>
        <w:tc>
          <w:tcPr>
            <w:tcW w:w="4580" w:type="dxa"/>
            <w:vAlign w:val="bottom"/>
          </w:tcPr>
          <w:p>
            <w:pPr>
              <w:ind w:left="60"/>
              <w:spacing w:after="0"/>
              <w:rPr>
                <w:sz w:val="20"/>
                <w:szCs w:val="20"/>
                <w:color w:val="auto"/>
              </w:rPr>
            </w:pPr>
            <w:r>
              <w:rPr>
                <w:rFonts w:ascii="Arial" w:cs="Arial" w:eastAsia="Arial" w:hAnsi="Arial"/>
                <w:sz w:val="16"/>
                <w:szCs w:val="16"/>
                <w:color w:val="auto"/>
              </w:rPr>
              <w:t>Political subdivisions of States,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4"/>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Territories and Possessions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6,575,843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39,481</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(55,324)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(28,074)</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6,531,926</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(43,917)</w:t>
            </w:r>
          </w:p>
        </w:tc>
      </w:tr>
      <w:tr>
        <w:trPr>
          <w:trHeight w:val="203"/>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8"/>
        </w:trPr>
        <w:tc>
          <w:tcPr>
            <w:tcW w:w="45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Corporate and other bonds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Industrial and miscellaneous</w:t>
            </w:r>
          </w:p>
        </w:tc>
        <w:tc>
          <w:tcPr>
            <w:tcW w:w="20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w w:val="92"/>
              </w:rPr>
              <w:t>107,013,925</w:t>
            </w:r>
          </w:p>
        </w:tc>
        <w:tc>
          <w:tcPr>
            <w:tcW w:w="24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111,659</w:t>
            </w:r>
          </w:p>
        </w:tc>
        <w:tc>
          <w:tcPr>
            <w:tcW w:w="22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(2,617,680)</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(377,166)</w:t>
            </w:r>
          </w:p>
        </w:tc>
        <w:tc>
          <w:tcPr>
            <w:tcW w:w="2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w w:val="92"/>
              </w:rPr>
              <w:t>104,130,738</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(2,883,187)</w:t>
            </w:r>
          </w:p>
        </w:tc>
      </w:tr>
      <w:tr>
        <w:trPr>
          <w:trHeight w:val="203"/>
        </w:trPr>
        <w:tc>
          <w:tcPr>
            <w:tcW w:w="4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7"/>
        </w:trPr>
        <w:tc>
          <w:tcPr>
            <w:tcW w:w="4580" w:type="dxa"/>
            <w:vAlign w:val="bottom"/>
          </w:tcPr>
          <w:p>
            <w:pPr>
              <w:ind w:left="60"/>
              <w:spacing w:after="0"/>
              <w:rPr>
                <w:sz w:val="20"/>
                <w:szCs w:val="20"/>
                <w:color w:val="auto"/>
              </w:rPr>
            </w:pPr>
            <w:r>
              <w:rPr>
                <w:rFonts w:ascii="Arial" w:cs="Arial" w:eastAsia="Arial" w:hAnsi="Arial"/>
                <w:sz w:val="16"/>
                <w:szCs w:val="16"/>
                <w:color w:val="auto"/>
              </w:rPr>
              <w:t>Residential mortgage and other</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9"/>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asset backed securities (1)</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23,910,131</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306,272</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(159,886)</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(351,224)</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23,705,293</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(204,838)</w:t>
            </w: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2"/>
              </w:rPr>
              <w:t>145,707,769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467,382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(2,873,154)</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(756,464)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2"/>
              </w:rPr>
              <w:t>142,545,533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(3,162,236)</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jc w:val="both"/>
        <w:ind w:left="300" w:hanging="299"/>
        <w:spacing w:after="0" w:line="275"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to the Federal Home Loan Bank of New York ("FHLBNY"). The eligible collateral would be pledged to FHLBNY if KICO draws an advance from the FHBLNY credit line. As of June 30, 2018, the fair value of the eligible investments was $6,083,000. KICO will retain all rights regarding all securities if pledged as collateral. As of June 30, 2018, there was no outstanding balance on the credit line.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39"/>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14"/>
                <w:szCs w:val="14"/>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8"/>
              </w:rPr>
              <w:t>Gross Unrealized Losses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Unrealized</w:t>
            </w:r>
          </w:p>
        </w:tc>
      </w:tr>
      <w:tr>
        <w:trPr>
          <w:trHeight w:val="139"/>
        </w:trPr>
        <w:tc>
          <w:tcPr>
            <w:tcW w:w="4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2"/>
                <w:szCs w:val="12"/>
                <w:color w:val="auto"/>
              </w:rPr>
            </w:pPr>
          </w:p>
        </w:tc>
        <w:tc>
          <w:tcPr>
            <w:tcW w:w="90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right"/>
              <w:ind w:right="143"/>
              <w:spacing w:after="0" w:line="139" w:lineRule="exact"/>
              <w:rPr>
                <w:sz w:val="20"/>
                <w:szCs w:val="20"/>
                <w:color w:val="auto"/>
              </w:rPr>
            </w:pPr>
            <w:r>
              <w:rPr>
                <w:rFonts w:ascii="Arial" w:cs="Arial" w:eastAsia="Arial" w:hAnsi="Arial"/>
                <w:sz w:val="14"/>
                <w:szCs w:val="14"/>
                <w:b w:val="1"/>
                <w:bCs w:val="1"/>
                <w:color w:val="auto"/>
                <w:w w:val="84"/>
              </w:rPr>
              <w:t>Less than 12</w:t>
            </w:r>
          </w:p>
        </w:tc>
        <w:tc>
          <w:tcPr>
            <w:tcW w:w="1100" w:type="dxa"/>
            <w:vAlign w:val="bottom"/>
            <w:gridSpan w:val="2"/>
          </w:tcPr>
          <w:p>
            <w:pPr>
              <w:jc w:val="right"/>
              <w:ind w:right="60"/>
              <w:spacing w:after="0" w:line="139" w:lineRule="exact"/>
              <w:rPr>
                <w:sz w:val="20"/>
                <w:szCs w:val="20"/>
                <w:color w:val="auto"/>
              </w:rPr>
            </w:pPr>
            <w:r>
              <w:rPr>
                <w:rFonts w:ascii="Arial" w:cs="Arial" w:eastAsia="Arial" w:hAnsi="Arial"/>
                <w:sz w:val="14"/>
                <w:szCs w:val="14"/>
                <w:b w:val="1"/>
                <w:bCs w:val="1"/>
                <w:color w:val="auto"/>
              </w:rPr>
              <w:t>More than 12</w:t>
            </w:r>
          </w:p>
        </w:tc>
        <w:tc>
          <w:tcPr>
            <w:tcW w:w="200" w:type="dxa"/>
            <w:vAlign w:val="bottom"/>
          </w:tcPr>
          <w:p>
            <w:pPr>
              <w:spacing w:after="0"/>
              <w:rPr>
                <w:sz w:val="12"/>
                <w:szCs w:val="12"/>
                <w:color w:val="auto"/>
              </w:rPr>
            </w:pPr>
          </w:p>
        </w:tc>
        <w:tc>
          <w:tcPr>
            <w:tcW w:w="940" w:type="dxa"/>
            <w:vAlign w:val="bottom"/>
          </w:tcPr>
          <w:p>
            <w:pPr>
              <w:jc w:val="right"/>
              <w:ind w:right="341"/>
              <w:spacing w:after="0" w:line="13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0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88"/>
              </w:rPr>
              <w:t>Gains/</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Months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3"/>
              </w:rPr>
              <w:t>(Losses)</w:t>
            </w:r>
          </w:p>
        </w:tc>
      </w:tr>
      <w:tr>
        <w:trPr>
          <w:trHeight w:val="228"/>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Fixed-Maturity Securities: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7"/>
        </w:trPr>
        <w:tc>
          <w:tcPr>
            <w:tcW w:w="4580" w:type="dxa"/>
            <w:vAlign w:val="bottom"/>
          </w:tcPr>
          <w:p>
            <w:pPr>
              <w:ind w:left="40"/>
              <w:spacing w:after="0"/>
              <w:rPr>
                <w:sz w:val="20"/>
                <w:szCs w:val="20"/>
                <w:color w:val="auto"/>
              </w:rPr>
            </w:pPr>
            <w:r>
              <w:rPr>
                <w:rFonts w:ascii="Arial" w:cs="Arial" w:eastAsia="Arial" w:hAnsi="Arial"/>
                <w:sz w:val="16"/>
                <w:szCs w:val="16"/>
                <w:color w:val="auto"/>
              </w:rPr>
              <w:t>U.S. Treasury securities and</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obligations of U.S. government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corporations and agencies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203"/>
        </w:trPr>
        <w:tc>
          <w:tcPr>
            <w:tcW w:w="4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Political subdivisions of States,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Territories and Possessions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11,096,122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250,135</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(30,814)</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11,315,443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219,321</w:t>
            </w:r>
          </w:p>
        </w:tc>
      </w:tr>
      <w:tr>
        <w:trPr>
          <w:trHeight w:val="203"/>
        </w:trPr>
        <w:tc>
          <w:tcPr>
            <w:tcW w:w="4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other bonds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Industrial and miscellaneous</w:t>
            </w:r>
          </w:p>
        </w:tc>
        <w:tc>
          <w:tcPr>
            <w:tcW w:w="20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87,562,631</w:t>
            </w:r>
          </w:p>
        </w:tc>
        <w:tc>
          <w:tcPr>
            <w:tcW w:w="24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1,189,207</w:t>
            </w:r>
          </w:p>
        </w:tc>
        <w:tc>
          <w:tcPr>
            <w:tcW w:w="22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(269,857)</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(340,516)</w:t>
            </w:r>
          </w:p>
        </w:tc>
        <w:tc>
          <w:tcPr>
            <w:tcW w:w="20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88,141,465</w:t>
            </w:r>
          </w:p>
        </w:tc>
        <w:tc>
          <w:tcPr>
            <w:tcW w:w="24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578,834</w:t>
            </w:r>
          </w:p>
        </w:tc>
      </w:tr>
      <w:tr>
        <w:trPr>
          <w:trHeight w:val="203"/>
        </w:trPr>
        <w:tc>
          <w:tcPr>
            <w:tcW w:w="4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Residential mortgage and other</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8"/>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asset backed securities (1)</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20,463,353</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305,499</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(48,482)</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(189,022)</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20,531,348</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67,995</w:t>
            </w: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2"/>
              </w:rPr>
              <w:t>119,122,106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1,744,841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(349,153)</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(529,538)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2"/>
              </w:rPr>
              <w:t>119,988,256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866,150</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left="300" w:hanging="299"/>
        <w:spacing w:after="0" w:line="275"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2017, KICO placed certain residential mortgage backed securities as eligible collateral in a designated custodian account related to its membership to the FHLBNY. The eligible collateral would be pledged to FHLBNY if KICO draws an advance from the FHBLNY credit line. As of December 31, 2017, the fair value of the eligible investments was $6,703,000. KICO will retain all rights regarding all securities if pledged as collateral. As of December 31, 2017, there was no outstanding balance on the credit line.</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Equity Securities</w:t>
      </w:r>
    </w:p>
    <w:p>
      <w:pPr>
        <w:spacing w:after="0" w:line="22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a breakdown of the cost, fair value, and unrealized gains and losses of investments in equity securities as of June 30, 2018 and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39"/>
        </w:trPr>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5"/>
              <w:spacing w:after="0" w:line="139"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w w:val="98"/>
              </w:rPr>
              <w:t>Gross Unrealized Losses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05"/>
              <w:spacing w:after="0"/>
              <w:rPr>
                <w:sz w:val="20"/>
                <w:szCs w:val="20"/>
                <w:color w:val="auto"/>
              </w:rPr>
            </w:pPr>
            <w:r>
              <w:rPr>
                <w:rFonts w:ascii="Arial" w:cs="Arial" w:eastAsia="Arial" w:hAnsi="Arial"/>
                <w:sz w:val="14"/>
                <w:szCs w:val="14"/>
                <w:b w:val="1"/>
                <w:bCs w:val="1"/>
                <w:color w:val="auto"/>
                <w:w w:val="90"/>
              </w:rPr>
              <w:t>Unrealized</w:t>
            </w:r>
          </w:p>
        </w:tc>
      </w:tr>
      <w:tr>
        <w:trPr>
          <w:trHeight w:val="139"/>
        </w:trPr>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center"/>
              <w:ind w:right="104"/>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right"/>
              <w:ind w:right="145"/>
              <w:spacing w:after="0" w:line="139" w:lineRule="exact"/>
              <w:rPr>
                <w:sz w:val="20"/>
                <w:szCs w:val="20"/>
                <w:color w:val="auto"/>
              </w:rPr>
            </w:pPr>
            <w:r>
              <w:rPr>
                <w:rFonts w:ascii="Arial" w:cs="Arial" w:eastAsia="Arial" w:hAnsi="Arial"/>
                <w:sz w:val="14"/>
                <w:szCs w:val="14"/>
                <w:b w:val="1"/>
                <w:bCs w:val="1"/>
                <w:color w:val="auto"/>
                <w:w w:val="84"/>
              </w:rPr>
              <w:t>Less than 12</w:t>
            </w:r>
          </w:p>
        </w:tc>
        <w:tc>
          <w:tcPr>
            <w:tcW w:w="1100" w:type="dxa"/>
            <w:vAlign w:val="bottom"/>
            <w:gridSpan w:val="2"/>
          </w:tcPr>
          <w:p>
            <w:pPr>
              <w:jc w:val="right"/>
              <w:ind w:right="61"/>
              <w:spacing w:after="0" w:line="139" w:lineRule="exact"/>
              <w:rPr>
                <w:sz w:val="20"/>
                <w:szCs w:val="20"/>
                <w:color w:val="auto"/>
              </w:rPr>
            </w:pPr>
            <w:r>
              <w:rPr>
                <w:rFonts w:ascii="Arial" w:cs="Arial" w:eastAsia="Arial" w:hAnsi="Arial"/>
                <w:sz w:val="14"/>
                <w:szCs w:val="14"/>
                <w:b w:val="1"/>
                <w:bCs w:val="1"/>
                <w:color w:val="auto"/>
              </w:rPr>
              <w:t>More than 12</w:t>
            </w:r>
          </w:p>
        </w:tc>
        <w:tc>
          <w:tcPr>
            <w:tcW w:w="240" w:type="dxa"/>
            <w:vAlign w:val="bottom"/>
          </w:tcPr>
          <w:p>
            <w:pPr>
              <w:spacing w:after="0"/>
              <w:rPr>
                <w:sz w:val="12"/>
                <w:szCs w:val="12"/>
                <w:color w:val="auto"/>
              </w:rPr>
            </w:pPr>
          </w:p>
        </w:tc>
        <w:tc>
          <w:tcPr>
            <w:tcW w:w="900" w:type="dxa"/>
            <w:vAlign w:val="bottom"/>
          </w:tcPr>
          <w:p>
            <w:pPr>
              <w:jc w:val="right"/>
              <w:ind w:right="343"/>
              <w:spacing w:after="0" w:line="13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00" w:type="dxa"/>
            <w:vAlign w:val="bottom"/>
          </w:tcPr>
          <w:p>
            <w:pPr>
              <w:jc w:val="center"/>
              <w:ind w:right="125"/>
              <w:spacing w:after="0" w:line="139" w:lineRule="exact"/>
              <w:rPr>
                <w:sz w:val="20"/>
                <w:szCs w:val="20"/>
                <w:color w:val="auto"/>
              </w:rPr>
            </w:pPr>
            <w:r>
              <w:rPr>
                <w:rFonts w:ascii="Arial" w:cs="Arial" w:eastAsia="Arial" w:hAnsi="Arial"/>
                <w:sz w:val="14"/>
                <w:szCs w:val="14"/>
                <w:b w:val="1"/>
                <w:bCs w:val="1"/>
                <w:color w:val="auto"/>
                <w:w w:val="88"/>
              </w:rPr>
              <w:t>Gains/</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3"/>
              </w:rPr>
              <w:t>(Losses)</w:t>
            </w:r>
          </w:p>
        </w:tc>
      </w:tr>
      <w:tr>
        <w:trPr>
          <w:trHeight w:val="228"/>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Equity Securities: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Preferred stocks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6,792,075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25,774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(43,333)</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(114,138)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6,660,378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(131,697)</w:t>
            </w: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stocks and exchange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8"/>
        </w:trPr>
        <w:tc>
          <w:tcPr>
            <w:tcW w:w="4580" w:type="dxa"/>
            <w:vAlign w:val="bottom"/>
          </w:tcPr>
          <w:p>
            <w:pPr>
              <w:ind w:left="200"/>
              <w:spacing w:after="0"/>
              <w:rPr>
                <w:sz w:val="20"/>
                <w:szCs w:val="20"/>
                <w:color w:val="auto"/>
              </w:rPr>
            </w:pPr>
            <w:r>
              <w:rPr>
                <w:rFonts w:ascii="Arial" w:cs="Arial" w:eastAsia="Arial" w:hAnsi="Arial"/>
                <w:sz w:val="16"/>
                <w:szCs w:val="16"/>
                <w:color w:val="auto"/>
              </w:rPr>
              <w:t>traded mutual funds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10,498,963</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662,490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(436,847)</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97"/>
              </w:rPr>
              <w:t>10,724,606</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225,643</w:t>
            </w: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17,291,038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688,264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(480,180)</w:t>
            </w:r>
          </w:p>
        </w:tc>
        <w:tc>
          <w:tcPr>
            <w:tcW w:w="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w w:val="97"/>
              </w:rPr>
              <w:t>17,384,984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93,946</w:t>
            </w:r>
          </w:p>
        </w:tc>
      </w:tr>
      <w:tr>
        <w:trPr>
          <w:trHeight w:val="597"/>
        </w:trPr>
        <w:tc>
          <w:tcPr>
            <w:tcW w:w="4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64</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1"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39"/>
        </w:trPr>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25"/>
              <w:spacing w:after="0" w:line="139" w:lineRule="exact"/>
              <w:rPr>
                <w:sz w:val="20"/>
                <w:szCs w:val="20"/>
                <w:color w:val="auto"/>
              </w:rPr>
            </w:pPr>
            <w:r>
              <w:rPr>
                <w:rFonts w:ascii="Arial" w:cs="Arial" w:eastAsia="Arial" w:hAnsi="Arial"/>
                <w:sz w:val="14"/>
                <w:szCs w:val="14"/>
                <w:b w:val="1"/>
                <w:bCs w:val="1"/>
                <w:color w:val="auto"/>
                <w:w w:val="97"/>
              </w:rPr>
              <w:t>Net</w:t>
            </w:r>
          </w:p>
        </w:tc>
      </w:tr>
      <w:tr>
        <w:trPr>
          <w:trHeight w:val="171"/>
        </w:trPr>
        <w:tc>
          <w:tcPr>
            <w:tcW w:w="4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w w:val="98"/>
              </w:rPr>
              <w:t>Gross Unrealized Losses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05"/>
              <w:spacing w:after="0"/>
              <w:rPr>
                <w:sz w:val="20"/>
                <w:szCs w:val="20"/>
                <w:color w:val="auto"/>
              </w:rPr>
            </w:pPr>
            <w:r>
              <w:rPr>
                <w:rFonts w:ascii="Arial" w:cs="Arial" w:eastAsia="Arial" w:hAnsi="Arial"/>
                <w:sz w:val="14"/>
                <w:szCs w:val="14"/>
                <w:b w:val="1"/>
                <w:bCs w:val="1"/>
                <w:color w:val="auto"/>
                <w:w w:val="90"/>
              </w:rPr>
              <w:t>Unrealized</w:t>
            </w:r>
          </w:p>
        </w:tc>
      </w:tr>
      <w:tr>
        <w:trPr>
          <w:trHeight w:val="139"/>
        </w:trPr>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04"/>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right"/>
              <w:ind w:right="145"/>
              <w:spacing w:after="0" w:line="139" w:lineRule="exact"/>
              <w:rPr>
                <w:sz w:val="20"/>
                <w:szCs w:val="20"/>
                <w:color w:val="auto"/>
              </w:rPr>
            </w:pPr>
            <w:r>
              <w:rPr>
                <w:rFonts w:ascii="Arial" w:cs="Arial" w:eastAsia="Arial" w:hAnsi="Arial"/>
                <w:sz w:val="14"/>
                <w:szCs w:val="14"/>
                <w:b w:val="1"/>
                <w:bCs w:val="1"/>
                <w:color w:val="auto"/>
                <w:w w:val="84"/>
              </w:rPr>
              <w:t>Less than 12</w:t>
            </w:r>
          </w:p>
        </w:tc>
        <w:tc>
          <w:tcPr>
            <w:tcW w:w="1100" w:type="dxa"/>
            <w:vAlign w:val="bottom"/>
            <w:gridSpan w:val="2"/>
          </w:tcPr>
          <w:p>
            <w:pPr>
              <w:jc w:val="right"/>
              <w:ind w:right="61"/>
              <w:spacing w:after="0" w:line="139" w:lineRule="exact"/>
              <w:rPr>
                <w:sz w:val="20"/>
                <w:szCs w:val="20"/>
                <w:color w:val="auto"/>
              </w:rPr>
            </w:pPr>
            <w:r>
              <w:rPr>
                <w:rFonts w:ascii="Arial" w:cs="Arial" w:eastAsia="Arial" w:hAnsi="Arial"/>
                <w:sz w:val="14"/>
                <w:szCs w:val="14"/>
                <w:b w:val="1"/>
                <w:bCs w:val="1"/>
                <w:color w:val="auto"/>
              </w:rPr>
              <w:t>More than 12</w:t>
            </w:r>
          </w:p>
        </w:tc>
        <w:tc>
          <w:tcPr>
            <w:tcW w:w="240" w:type="dxa"/>
            <w:vAlign w:val="bottom"/>
          </w:tcPr>
          <w:p>
            <w:pPr>
              <w:spacing w:after="0"/>
              <w:rPr>
                <w:sz w:val="12"/>
                <w:szCs w:val="12"/>
                <w:color w:val="auto"/>
              </w:rPr>
            </w:pPr>
          </w:p>
        </w:tc>
        <w:tc>
          <w:tcPr>
            <w:tcW w:w="900" w:type="dxa"/>
            <w:vAlign w:val="bottom"/>
          </w:tcPr>
          <w:p>
            <w:pPr>
              <w:jc w:val="right"/>
              <w:ind w:right="343"/>
              <w:spacing w:after="0" w:line="13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00" w:type="dxa"/>
            <w:vAlign w:val="bottom"/>
          </w:tcPr>
          <w:p>
            <w:pPr>
              <w:jc w:val="center"/>
              <w:ind w:right="125"/>
              <w:spacing w:after="0" w:line="139" w:lineRule="exact"/>
              <w:rPr>
                <w:sz w:val="20"/>
                <w:szCs w:val="20"/>
                <w:color w:val="auto"/>
              </w:rPr>
            </w:pPr>
            <w:r>
              <w:rPr>
                <w:rFonts w:ascii="Arial" w:cs="Arial" w:eastAsia="Arial" w:hAnsi="Arial"/>
                <w:sz w:val="14"/>
                <w:szCs w:val="14"/>
                <w:b w:val="1"/>
                <w:bCs w:val="1"/>
                <w:color w:val="auto"/>
                <w:w w:val="88"/>
              </w:rPr>
              <w:t>Gains/</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3"/>
              </w:rPr>
              <w:t>(Losses)</w:t>
            </w:r>
          </w:p>
        </w:tc>
      </w:tr>
      <w:tr>
        <w:trPr>
          <w:trHeight w:val="228"/>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Equity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Preferred stocks</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7,081,099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60,867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(20,313)</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(120,712)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7,000,941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(80,158)</w:t>
            </w: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stocks and exchange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8"/>
        </w:trPr>
        <w:tc>
          <w:tcPr>
            <w:tcW w:w="4580" w:type="dxa"/>
            <w:vAlign w:val="bottom"/>
          </w:tcPr>
          <w:p>
            <w:pPr>
              <w:ind w:left="160"/>
              <w:spacing w:after="0"/>
              <w:rPr>
                <w:sz w:val="20"/>
                <w:szCs w:val="20"/>
                <w:color w:val="auto"/>
              </w:rPr>
            </w:pPr>
            <w:r>
              <w:rPr>
                <w:rFonts w:ascii="Arial" w:cs="Arial" w:eastAsia="Arial" w:hAnsi="Arial"/>
                <w:sz w:val="16"/>
                <w:szCs w:val="16"/>
                <w:color w:val="auto"/>
              </w:rPr>
              <w:t>traded mutual funds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6,680,742</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841,250</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(222,205)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(14,530)</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7,285,257</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604,515</w:t>
            </w: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7"/>
              </w:rPr>
              <w:t>13,761,841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902,117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(242,518)</w:t>
            </w:r>
          </w:p>
        </w:tc>
        <w:tc>
          <w:tcPr>
            <w:tcW w:w="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(135,242)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w w:val="97"/>
              </w:rPr>
              <w:t>14,286,198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524,357</w:t>
            </w:r>
          </w:p>
        </w:tc>
      </w:tr>
    </w:tbl>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Other Investments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following table presents a breakdown of the cost, fair value, and unrealized gains of our other investments as of June 30, 2018 and 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June 30, 2018</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2017</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291"/>
        </w:trPr>
        <w:tc>
          <w:tcPr>
            <w:tcW w:w="4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44"/>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24"/>
                <w:szCs w:val="24"/>
                <w:color w:val="auto"/>
              </w:rPr>
            </w:pPr>
          </w:p>
        </w:tc>
        <w:tc>
          <w:tcPr>
            <w:tcW w:w="900" w:type="dxa"/>
            <w:vAlign w:val="bottom"/>
          </w:tcPr>
          <w:p>
            <w:pPr>
              <w:jc w:val="right"/>
              <w:ind w:right="144"/>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center"/>
              <w:ind w:right="264"/>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4"/>
                <w:szCs w:val="24"/>
                <w:color w:val="auto"/>
              </w:rPr>
            </w:pPr>
          </w:p>
        </w:tc>
        <w:tc>
          <w:tcPr>
            <w:tcW w:w="900" w:type="dxa"/>
            <w:vAlign w:val="bottom"/>
          </w:tcPr>
          <w:p>
            <w:pPr>
              <w:jc w:val="right"/>
              <w:ind w:right="144"/>
              <w:spacing w:after="0"/>
              <w:rPr>
                <w:sz w:val="20"/>
                <w:szCs w:val="20"/>
                <w:color w:val="auto"/>
              </w:rPr>
            </w:pPr>
            <w:r>
              <w:rPr>
                <w:rFonts w:ascii="Arial" w:cs="Arial" w:eastAsia="Arial" w:hAnsi="Arial"/>
                <w:sz w:val="14"/>
                <w:szCs w:val="14"/>
                <w:b w:val="1"/>
                <w:bCs w:val="1"/>
                <w:color w:val="auto"/>
                <w:w w:val="93"/>
              </w:rPr>
              <w:t>Unrealized</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Gain</w:t>
            </w: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Cost</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Gain</w:t>
            </w:r>
          </w:p>
        </w:tc>
      </w:tr>
      <w:tr>
        <w:trPr>
          <w:trHeight w:val="228"/>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Investments: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8"/>
        </w:trPr>
        <w:tc>
          <w:tcPr>
            <w:tcW w:w="4580" w:type="dxa"/>
            <w:vAlign w:val="bottom"/>
          </w:tcPr>
          <w:p>
            <w:pPr>
              <w:ind w:left="40"/>
              <w:spacing w:after="0"/>
              <w:rPr>
                <w:sz w:val="20"/>
                <w:szCs w:val="20"/>
                <w:color w:val="auto"/>
              </w:rPr>
            </w:pPr>
            <w:r>
              <w:rPr>
                <w:rFonts w:ascii="Arial" w:cs="Arial" w:eastAsia="Arial" w:hAnsi="Arial"/>
                <w:sz w:val="16"/>
                <w:szCs w:val="16"/>
                <w:color w:val="auto"/>
              </w:rPr>
              <w:t>Hedge fund</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2,000,000</w:t>
            </w:r>
          </w:p>
        </w:tc>
        <w:tc>
          <w:tcPr>
            <w:tcW w:w="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2,120,700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120,700</w:t>
            </w:r>
          </w:p>
        </w:tc>
        <w:tc>
          <w:tcPr>
            <w:tcW w:w="3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r>
      <w:tr>
        <w:trPr>
          <w:trHeight w:val="243"/>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2,000,000</w:t>
            </w:r>
          </w:p>
        </w:tc>
        <w:tc>
          <w:tcPr>
            <w:tcW w:w="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2,120,700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120,700</w:t>
            </w:r>
          </w:p>
        </w:tc>
        <w:tc>
          <w:tcPr>
            <w:tcW w:w="3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r>
    </w:tbl>
    <w:p>
      <w:pPr>
        <w:spacing w:after="0" w:line="194"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Held-to-Maturity Securities</w:t>
      </w:r>
    </w:p>
    <w:p>
      <w:pPr>
        <w:spacing w:after="0" w:line="221"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The following table presents a breakdown of the amortized cost, fair value, and unrealized gains and losses of investments in held-to-maturity securities as of June 30, 2018 and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309"/>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Cost or</w:t>
            </w:r>
          </w:p>
        </w:tc>
        <w:tc>
          <w:tcPr>
            <w:tcW w:w="340" w:type="dxa"/>
            <w:vAlign w:val="bottom"/>
          </w:tcPr>
          <w:p>
            <w:pPr>
              <w:spacing w:after="0"/>
              <w:rPr>
                <w:sz w:val="24"/>
                <w:szCs w:val="2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8"/>
              </w:rPr>
              <w:t>Gross Unrealized Losses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w w:val="97"/>
              </w:rPr>
              <w:t>Net</w:t>
            </w:r>
          </w:p>
        </w:tc>
      </w:tr>
      <w:tr>
        <w:trPr>
          <w:trHeight w:val="13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23"/>
              <w:spacing w:after="0" w:line="139" w:lineRule="exact"/>
              <w:rPr>
                <w:sz w:val="20"/>
                <w:szCs w:val="20"/>
                <w:color w:val="auto"/>
              </w:rPr>
            </w:pPr>
            <w:r>
              <w:rPr>
                <w:rFonts w:ascii="Arial" w:cs="Arial" w:eastAsia="Arial" w:hAnsi="Arial"/>
                <w:sz w:val="14"/>
                <w:szCs w:val="14"/>
                <w:b w:val="1"/>
                <w:bCs w:val="1"/>
                <w:color w:val="auto"/>
                <w:w w:val="93"/>
              </w:rPr>
              <w:t>Amortized</w:t>
            </w:r>
          </w:p>
        </w:tc>
        <w:tc>
          <w:tcPr>
            <w:tcW w:w="340" w:type="dxa"/>
            <w:vAlign w:val="bottom"/>
          </w:tcPr>
          <w:p>
            <w:pPr>
              <w:spacing w:after="0"/>
              <w:rPr>
                <w:sz w:val="12"/>
                <w:szCs w:val="12"/>
                <w:color w:val="auto"/>
              </w:rPr>
            </w:pPr>
          </w:p>
        </w:tc>
        <w:tc>
          <w:tcPr>
            <w:tcW w:w="900" w:type="dxa"/>
            <w:vAlign w:val="bottom"/>
          </w:tcPr>
          <w:p>
            <w:pPr>
              <w:jc w:val="center"/>
              <w:ind w:right="103"/>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right"/>
              <w:ind w:right="144"/>
              <w:spacing w:after="0" w:line="139" w:lineRule="exact"/>
              <w:rPr>
                <w:sz w:val="20"/>
                <w:szCs w:val="20"/>
                <w:color w:val="auto"/>
              </w:rPr>
            </w:pPr>
            <w:r>
              <w:rPr>
                <w:rFonts w:ascii="Arial" w:cs="Arial" w:eastAsia="Arial" w:hAnsi="Arial"/>
                <w:sz w:val="14"/>
                <w:szCs w:val="14"/>
                <w:b w:val="1"/>
                <w:bCs w:val="1"/>
                <w:color w:val="auto"/>
                <w:w w:val="84"/>
              </w:rPr>
              <w:t>Less than 12</w:t>
            </w:r>
          </w:p>
        </w:tc>
        <w:tc>
          <w:tcPr>
            <w:tcW w:w="1100" w:type="dxa"/>
            <w:vAlign w:val="bottom"/>
            <w:gridSpan w:val="2"/>
          </w:tcPr>
          <w:p>
            <w:pPr>
              <w:jc w:val="right"/>
              <w:ind w:right="60"/>
              <w:spacing w:after="0" w:line="139" w:lineRule="exact"/>
              <w:rPr>
                <w:sz w:val="20"/>
                <w:szCs w:val="20"/>
                <w:color w:val="auto"/>
              </w:rPr>
            </w:pPr>
            <w:r>
              <w:rPr>
                <w:rFonts w:ascii="Arial" w:cs="Arial" w:eastAsia="Arial" w:hAnsi="Arial"/>
                <w:sz w:val="14"/>
                <w:szCs w:val="14"/>
                <w:b w:val="1"/>
                <w:bCs w:val="1"/>
                <w:color w:val="auto"/>
              </w:rPr>
              <w:t>More than 12</w:t>
            </w:r>
          </w:p>
        </w:tc>
        <w:tc>
          <w:tcPr>
            <w:tcW w:w="280" w:type="dxa"/>
            <w:vAlign w:val="bottom"/>
          </w:tcPr>
          <w:p>
            <w:pPr>
              <w:spacing w:after="0"/>
              <w:rPr>
                <w:sz w:val="12"/>
                <w:szCs w:val="12"/>
                <w:color w:val="auto"/>
              </w:rPr>
            </w:pPr>
          </w:p>
        </w:tc>
        <w:tc>
          <w:tcPr>
            <w:tcW w:w="860" w:type="dxa"/>
            <w:vAlign w:val="bottom"/>
          </w:tcPr>
          <w:p>
            <w:pPr>
              <w:jc w:val="right"/>
              <w:ind w:right="342"/>
              <w:spacing w:after="0" w:line="13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00" w:type="dxa"/>
            <w:vAlign w:val="bottom"/>
          </w:tcPr>
          <w:p>
            <w:pPr>
              <w:jc w:val="center"/>
              <w:ind w:right="103"/>
              <w:spacing w:after="0" w:line="139" w:lineRule="exact"/>
              <w:rPr>
                <w:sz w:val="20"/>
                <w:szCs w:val="20"/>
                <w:color w:val="auto"/>
              </w:rPr>
            </w:pPr>
            <w:r>
              <w:rPr>
                <w:rFonts w:ascii="Arial" w:cs="Arial" w:eastAsia="Arial" w:hAnsi="Arial"/>
                <w:sz w:val="14"/>
                <w:szCs w:val="14"/>
                <w:b w:val="1"/>
                <w:bCs w:val="1"/>
                <w:color w:val="auto"/>
                <w:w w:val="90"/>
              </w:rPr>
              <w:t>Unrealized</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3"/>
              </w:rPr>
              <w:t>Cost</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Months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7"/>
              </w:rPr>
              <w:t>Gains</w:t>
            </w:r>
          </w:p>
        </w:tc>
      </w:tr>
      <w:tr>
        <w:trPr>
          <w:trHeight w:val="228"/>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Held-to-Maturity Securities: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U.S. Treasury securities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729,486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147,553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(5,934)</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871,105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141,619</w:t>
            </w:r>
          </w:p>
        </w:tc>
      </w:tr>
      <w:tr>
        <w:trPr>
          <w:trHeight w:val="203"/>
        </w:trPr>
        <w:tc>
          <w:tcPr>
            <w:tcW w:w="4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Political subdivisions of States,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Territories and Possessions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998,898</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32,522</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1,031,420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32,522</w:t>
            </w:r>
          </w:p>
        </w:tc>
      </w:tr>
      <w:tr>
        <w:trPr>
          <w:trHeight w:val="203"/>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other bonds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8"/>
        </w:trPr>
        <w:tc>
          <w:tcPr>
            <w:tcW w:w="4580" w:type="dxa"/>
            <w:vAlign w:val="bottom"/>
          </w:tcPr>
          <w:p>
            <w:pPr>
              <w:ind w:left="40"/>
              <w:spacing w:after="0"/>
              <w:rPr>
                <w:sz w:val="20"/>
                <w:szCs w:val="20"/>
                <w:color w:val="auto"/>
              </w:rPr>
            </w:pPr>
            <w:r>
              <w:rPr>
                <w:rFonts w:ascii="Arial" w:cs="Arial" w:eastAsia="Arial" w:hAnsi="Arial"/>
                <w:sz w:val="16"/>
                <w:szCs w:val="16"/>
                <w:color w:val="auto"/>
              </w:rPr>
              <w:t>Industrial and miscellaneous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3,142,359</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33,076</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(38,765)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3,131,020</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(11,339)</w:t>
            </w:r>
          </w:p>
        </w:tc>
      </w:tr>
      <w:tr>
        <w:trPr>
          <w:trHeight w:val="203"/>
        </w:trPr>
        <w:tc>
          <w:tcPr>
            <w:tcW w:w="4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4,870,743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213,151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(44,699)</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5,033,545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162,802</w:t>
            </w: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97"/>
        </w:trPr>
        <w:tc>
          <w:tcPr>
            <w:tcW w:w="4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65</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1"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309"/>
        </w:trPr>
        <w:tc>
          <w:tcPr>
            <w:tcW w:w="4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center"/>
              <w:ind w:right="123"/>
              <w:spacing w:after="0"/>
              <w:rPr>
                <w:sz w:val="20"/>
                <w:szCs w:val="20"/>
                <w:color w:val="auto"/>
              </w:rPr>
            </w:pPr>
            <w:r>
              <w:rPr>
                <w:rFonts w:ascii="Arial" w:cs="Arial" w:eastAsia="Arial" w:hAnsi="Arial"/>
                <w:sz w:val="14"/>
                <w:szCs w:val="14"/>
                <w:b w:val="1"/>
                <w:bCs w:val="1"/>
                <w:color w:val="auto"/>
                <w:w w:val="89"/>
              </w:rPr>
              <w:t>Cost or</w:t>
            </w:r>
          </w:p>
        </w:tc>
        <w:tc>
          <w:tcPr>
            <w:tcW w:w="240" w:type="dxa"/>
            <w:vAlign w:val="bottom"/>
          </w:tcPr>
          <w:p>
            <w:pPr>
              <w:spacing w:after="0"/>
              <w:rPr>
                <w:sz w:val="24"/>
                <w:szCs w:val="2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8"/>
              </w:rPr>
              <w:t>Gross Unrealized Losses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ind w:right="123"/>
              <w:spacing w:after="0"/>
              <w:rPr>
                <w:sz w:val="20"/>
                <w:szCs w:val="20"/>
                <w:color w:val="auto"/>
              </w:rPr>
            </w:pPr>
            <w:r>
              <w:rPr>
                <w:rFonts w:ascii="Arial" w:cs="Arial" w:eastAsia="Arial" w:hAnsi="Arial"/>
                <w:sz w:val="14"/>
                <w:szCs w:val="14"/>
                <w:b w:val="1"/>
                <w:bCs w:val="1"/>
                <w:color w:val="auto"/>
                <w:w w:val="97"/>
              </w:rPr>
              <w:t>Net</w:t>
            </w:r>
          </w:p>
        </w:tc>
      </w:tr>
      <w:tr>
        <w:trPr>
          <w:trHeight w:val="13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123"/>
              <w:spacing w:after="0" w:line="139" w:lineRule="exact"/>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2"/>
                <w:szCs w:val="12"/>
                <w:color w:val="auto"/>
              </w:rPr>
            </w:pPr>
          </w:p>
        </w:tc>
        <w:tc>
          <w:tcPr>
            <w:tcW w:w="900" w:type="dxa"/>
            <w:vAlign w:val="bottom"/>
          </w:tcPr>
          <w:p>
            <w:pPr>
              <w:jc w:val="center"/>
              <w:ind w:right="103"/>
              <w:spacing w:after="0" w:line="13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960" w:type="dxa"/>
            <w:vAlign w:val="bottom"/>
          </w:tcPr>
          <w:p>
            <w:pPr>
              <w:jc w:val="right"/>
              <w:ind w:right="144"/>
              <w:spacing w:after="0" w:line="139" w:lineRule="exact"/>
              <w:rPr>
                <w:sz w:val="20"/>
                <w:szCs w:val="20"/>
                <w:color w:val="auto"/>
              </w:rPr>
            </w:pPr>
            <w:r>
              <w:rPr>
                <w:rFonts w:ascii="Arial" w:cs="Arial" w:eastAsia="Arial" w:hAnsi="Arial"/>
                <w:sz w:val="14"/>
                <w:szCs w:val="14"/>
                <w:b w:val="1"/>
                <w:bCs w:val="1"/>
                <w:color w:val="auto"/>
                <w:w w:val="84"/>
              </w:rPr>
              <w:t>Less than 12</w:t>
            </w:r>
          </w:p>
        </w:tc>
        <w:tc>
          <w:tcPr>
            <w:tcW w:w="1100" w:type="dxa"/>
            <w:vAlign w:val="bottom"/>
            <w:gridSpan w:val="2"/>
          </w:tcPr>
          <w:p>
            <w:pPr>
              <w:jc w:val="right"/>
              <w:ind w:right="60"/>
              <w:spacing w:after="0" w:line="139" w:lineRule="exact"/>
              <w:rPr>
                <w:sz w:val="20"/>
                <w:szCs w:val="20"/>
                <w:color w:val="auto"/>
              </w:rPr>
            </w:pPr>
            <w:r>
              <w:rPr>
                <w:rFonts w:ascii="Arial" w:cs="Arial" w:eastAsia="Arial" w:hAnsi="Arial"/>
                <w:sz w:val="14"/>
                <w:szCs w:val="14"/>
                <w:b w:val="1"/>
                <w:bCs w:val="1"/>
                <w:color w:val="auto"/>
              </w:rPr>
              <w:t>More than 12</w:t>
            </w:r>
          </w:p>
        </w:tc>
        <w:tc>
          <w:tcPr>
            <w:tcW w:w="280" w:type="dxa"/>
            <w:vAlign w:val="bottom"/>
          </w:tcPr>
          <w:p>
            <w:pPr>
              <w:spacing w:after="0"/>
              <w:rPr>
                <w:sz w:val="12"/>
                <w:szCs w:val="12"/>
                <w:color w:val="auto"/>
              </w:rPr>
            </w:pPr>
          </w:p>
        </w:tc>
        <w:tc>
          <w:tcPr>
            <w:tcW w:w="860" w:type="dxa"/>
            <w:vAlign w:val="bottom"/>
          </w:tcPr>
          <w:p>
            <w:pPr>
              <w:jc w:val="right"/>
              <w:ind w:right="342"/>
              <w:spacing w:after="0" w:line="139"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00" w:type="dxa"/>
            <w:vAlign w:val="bottom"/>
          </w:tcPr>
          <w:p>
            <w:pPr>
              <w:jc w:val="center"/>
              <w:ind w:right="103"/>
              <w:spacing w:after="0" w:line="139" w:lineRule="exact"/>
              <w:rPr>
                <w:sz w:val="20"/>
                <w:szCs w:val="20"/>
                <w:color w:val="auto"/>
              </w:rPr>
            </w:pPr>
            <w:r>
              <w:rPr>
                <w:rFonts w:ascii="Arial" w:cs="Arial" w:eastAsia="Arial" w:hAnsi="Arial"/>
                <w:sz w:val="14"/>
                <w:szCs w:val="14"/>
                <w:b w:val="1"/>
                <w:bCs w:val="1"/>
                <w:color w:val="auto"/>
                <w:w w:val="90"/>
              </w:rPr>
              <w:t>Unrealized</w:t>
            </w:r>
          </w:p>
        </w:tc>
      </w:tr>
      <w:tr>
        <w:trPr>
          <w:trHeight w:val="17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Months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7"/>
              </w:rPr>
              <w:t>Gains</w:t>
            </w:r>
          </w:p>
        </w:tc>
      </w:tr>
      <w:tr>
        <w:trPr>
          <w:trHeight w:val="228"/>
        </w:trPr>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Held-to Maturity Securities: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U.S. Treasury securities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729,466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147,573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(1,729)</w:t>
            </w:r>
          </w:p>
        </w:tc>
        <w:tc>
          <w:tcPr>
            <w:tcW w:w="2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875,310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145,844</w:t>
            </w:r>
          </w:p>
        </w:tc>
      </w:tr>
      <w:tr>
        <w:trPr>
          <w:trHeight w:val="203"/>
        </w:trPr>
        <w:tc>
          <w:tcPr>
            <w:tcW w:w="4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Political subdivisions of States,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Territories and Possessions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998,984</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50,366</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1,049,350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50,366</w:t>
            </w:r>
          </w:p>
        </w:tc>
      </w:tr>
      <w:tr>
        <w:trPr>
          <w:trHeight w:val="203"/>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and other bonds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8"/>
        </w:trPr>
        <w:tc>
          <w:tcPr>
            <w:tcW w:w="4580" w:type="dxa"/>
            <w:vAlign w:val="bottom"/>
          </w:tcPr>
          <w:p>
            <w:pPr>
              <w:ind w:left="40"/>
              <w:spacing w:after="0"/>
              <w:rPr>
                <w:sz w:val="20"/>
                <w:szCs w:val="20"/>
                <w:color w:val="auto"/>
              </w:rPr>
            </w:pPr>
            <w:r>
              <w:rPr>
                <w:rFonts w:ascii="Arial" w:cs="Arial" w:eastAsia="Arial" w:hAnsi="Arial"/>
                <w:sz w:val="16"/>
                <w:szCs w:val="16"/>
                <w:color w:val="auto"/>
              </w:rPr>
              <w:t>Industrial and miscellaneous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3,141,358</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90,358</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(6,300)</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3,225,416</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84,058</w:t>
            </w:r>
          </w:p>
        </w:tc>
      </w:tr>
      <w:tr>
        <w:trPr>
          <w:trHeight w:val="203"/>
        </w:trPr>
        <w:tc>
          <w:tcPr>
            <w:tcW w:w="4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458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4,869,808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288,297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(1,729)</w:t>
            </w: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5,150,076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280,268</w:t>
            </w: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Held-to-maturity U.S. Treasury securities are held in trust pursuant to various states’ minimum fund requirements.</w:t>
      </w:r>
    </w:p>
    <w:p>
      <w:pPr>
        <w:spacing w:after="0" w:line="2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summary of the amortized cost and fair value of our investments in held-to-maturity securities by contractual maturity as of June 30, 2018 and December 31, 2017 is shown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June 30, 2018</w:t>
            </w:r>
          </w:p>
        </w:tc>
        <w:tc>
          <w:tcPr>
            <w:tcW w:w="27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December 31, 2017</w:t>
            </w:r>
          </w:p>
        </w:tc>
      </w:tr>
      <w:tr>
        <w:trPr>
          <w:trHeight w:val="139"/>
        </w:trPr>
        <w:tc>
          <w:tcPr>
            <w:tcW w:w="5960" w:type="dxa"/>
            <w:vAlign w:val="bottom"/>
          </w:tcPr>
          <w:p>
            <w:pPr>
              <w:spacing w:after="0"/>
              <w:rPr>
                <w:sz w:val="12"/>
                <w:szCs w:val="12"/>
                <w:color w:val="auto"/>
              </w:rPr>
            </w:pPr>
          </w:p>
        </w:tc>
        <w:tc>
          <w:tcPr>
            <w:tcW w:w="2720" w:type="dxa"/>
            <w:vAlign w:val="bottom"/>
            <w:gridSpan w:val="2"/>
          </w:tcPr>
          <w:p>
            <w:pPr>
              <w:jc w:val="center"/>
              <w:ind w:right="1284"/>
              <w:spacing w:after="0" w:line="139" w:lineRule="exact"/>
              <w:rPr>
                <w:sz w:val="20"/>
                <w:szCs w:val="20"/>
                <w:color w:val="auto"/>
              </w:rPr>
            </w:pPr>
            <w:r>
              <w:rPr>
                <w:rFonts w:ascii="Arial" w:cs="Arial" w:eastAsia="Arial" w:hAnsi="Arial"/>
                <w:sz w:val="14"/>
                <w:szCs w:val="14"/>
                <w:b w:val="1"/>
                <w:bCs w:val="1"/>
                <w:color w:val="auto"/>
                <w:w w:val="93"/>
              </w:rPr>
              <w:t>Amortized</w:t>
            </w:r>
          </w:p>
        </w:tc>
        <w:tc>
          <w:tcPr>
            <w:tcW w:w="13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Amortized</w:t>
            </w:r>
          </w:p>
        </w:tc>
        <w:tc>
          <w:tcPr>
            <w:tcW w:w="1360" w:type="dxa"/>
            <w:vAlign w:val="bottom"/>
          </w:tcPr>
          <w:p>
            <w:pPr>
              <w:spacing w:after="0"/>
              <w:rPr>
                <w:sz w:val="12"/>
                <w:szCs w:val="12"/>
                <w:color w:val="auto"/>
              </w:rPr>
            </w:pPr>
          </w:p>
        </w:tc>
      </w:tr>
      <w:tr>
        <w:trPr>
          <w:trHeight w:val="171"/>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840" w:type="dxa"/>
            <w:vAlign w:val="bottom"/>
            <w:tcBorders>
              <w:bottom w:val="single" w:sz="8" w:color="auto"/>
            </w:tcBorders>
          </w:tcPr>
          <w:p>
            <w:pPr>
              <w:jc w:val="center"/>
              <w:ind w:left="450"/>
              <w:spacing w:after="0"/>
              <w:rPr>
                <w:sz w:val="20"/>
                <w:szCs w:val="20"/>
                <w:color w:val="auto"/>
              </w:rPr>
            </w:pPr>
            <w:r>
              <w:rPr>
                <w:rFonts w:ascii="Arial" w:cs="Arial" w:eastAsia="Arial" w:hAnsi="Arial"/>
                <w:sz w:val="14"/>
                <w:szCs w:val="14"/>
                <w:b w:val="1"/>
                <w:bCs w:val="1"/>
                <w:color w:val="auto"/>
                <w:w w:val="89"/>
              </w:rPr>
              <w:t>Cost</w:t>
            </w:r>
          </w:p>
        </w:tc>
        <w:tc>
          <w:tcPr>
            <w:tcW w:w="188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Fair Value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Fair Value</w:t>
            </w:r>
          </w:p>
        </w:tc>
      </w:tr>
    </w:tbl>
    <w:p>
      <w:pPr>
        <w:spacing w:after="0" w:line="200" w:lineRule="exact"/>
        <w:rPr>
          <w:sz w:val="20"/>
          <w:szCs w:val="20"/>
          <w:color w:val="auto"/>
        </w:rPr>
      </w:pPr>
    </w:p>
    <w:p>
      <w:pPr>
        <w:sectPr>
          <w:pgSz w:w="11900" w:h="16838" w:orient="portrait"/>
          <w:cols w:equalWidth="0" w:num="1">
            <w:col w:w="11420"/>
          </w:cols>
          <w:pgMar w:left="240" w:top="531" w:right="239" w:bottom="1440" w:gutter="0" w:footer="0" w:header="0"/>
        </w:sectPr>
      </w:pPr>
    </w:p>
    <w:p>
      <w:pPr>
        <w:spacing w:after="0" w:line="19" w:lineRule="exact"/>
        <w:rPr>
          <w:sz w:val="20"/>
          <w:szCs w:val="20"/>
          <w:color w:val="auto"/>
        </w:rPr>
      </w:pPr>
    </w:p>
    <w:p>
      <w:pPr>
        <w:ind w:left="40"/>
        <w:spacing w:after="0"/>
        <w:rPr>
          <w:sz w:val="20"/>
          <w:szCs w:val="20"/>
          <w:color w:val="auto"/>
        </w:rPr>
      </w:pPr>
      <w:r>
        <w:rPr>
          <w:rFonts w:ascii="Arial" w:cs="Arial" w:eastAsia="Arial" w:hAnsi="Arial"/>
          <w:sz w:val="15"/>
          <w:szCs w:val="15"/>
          <w:color w:val="auto"/>
        </w:rPr>
        <w:t>Less than one year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One to five years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Five to ten years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More than 10 years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w:t>
            </w:r>
          </w:p>
        </w:tc>
      </w:tr>
      <w:tr>
        <w:trPr>
          <w:trHeight w:val="203"/>
        </w:trPr>
        <w:tc>
          <w:tcPr>
            <w:tcW w:w="40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3,398,823</w:t>
            </w:r>
          </w:p>
        </w:tc>
        <w:tc>
          <w:tcPr>
            <w:tcW w:w="40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3,398,780</w:t>
            </w:r>
          </w:p>
        </w:tc>
        <w:tc>
          <w:tcPr>
            <w:tcW w:w="38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2,546,459</w:t>
            </w:r>
          </w:p>
        </w:tc>
        <w:tc>
          <w:tcPr>
            <w:tcW w:w="40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2,601,898</w:t>
            </w:r>
          </w:p>
        </w:tc>
      </w:tr>
      <w:tr>
        <w:trPr>
          <w:trHeight w:val="203"/>
        </w:trPr>
        <w:tc>
          <w:tcPr>
            <w:tcW w:w="40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865,434</w:t>
            </w:r>
          </w:p>
        </w:tc>
        <w:tc>
          <w:tcPr>
            <w:tcW w:w="40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880,726</w:t>
            </w:r>
          </w:p>
        </w:tc>
        <w:tc>
          <w:tcPr>
            <w:tcW w:w="380" w:type="dxa"/>
            <w:vAlign w:val="bottom"/>
          </w:tcPr>
          <w:p>
            <w:pPr>
              <w:spacing w:after="0"/>
              <w:rPr>
                <w:sz w:val="17"/>
                <w:szCs w:val="17"/>
                <w:color w:val="auto"/>
              </w:rPr>
            </w:pP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1,716,884</w:t>
            </w:r>
          </w:p>
        </w:tc>
        <w:tc>
          <w:tcPr>
            <w:tcW w:w="40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1,794,139</w:t>
            </w:r>
          </w:p>
        </w:tc>
      </w:tr>
      <w:tr>
        <w:trPr>
          <w:trHeight w:val="217"/>
        </w:trPr>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606,486</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754,039</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606,466</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754,039</w:t>
            </w:r>
          </w:p>
        </w:tc>
      </w:tr>
      <w:tr>
        <w:trPr>
          <w:trHeight w:val="203"/>
        </w:trPr>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4,870,743</w:t>
            </w: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5,033,545</w:t>
            </w:r>
          </w:p>
        </w:tc>
        <w:tc>
          <w:tcPr>
            <w:tcW w:w="3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4,869,808</w:t>
            </w: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5,150,076</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-690880</wp:posOffset>
            </wp:positionV>
            <wp:extent cx="7254875"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12890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-433705</wp:posOffset>
            </wp:positionV>
            <wp:extent cx="725487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12890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-160020</wp:posOffset>
            </wp:positionV>
            <wp:extent cx="7254875" cy="1606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160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531" w:right="239" w:bottom="1440" w:gutter="0" w:footer="0" w:header="0"/>
          <w:type w:val="continuous"/>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72548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type w:val="continuous"/>
        </w:sectPr>
      </w:pPr>
    </w:p>
    <w:bookmarkStart w:id="68" w:name="page69"/>
    <w:bookmarkEnd w:id="68"/>
    <w:p>
      <w:pPr>
        <w:ind w:left="600"/>
        <w:spacing w:after="0"/>
        <w:rPr>
          <w:sz w:val="20"/>
          <w:szCs w:val="20"/>
          <w:color w:val="auto"/>
        </w:rPr>
      </w:pPr>
      <w:r>
        <w:rPr>
          <w:rFonts w:ascii="Arial" w:cs="Arial" w:eastAsia="Arial" w:hAnsi="Arial"/>
          <w:sz w:val="16"/>
          <w:szCs w:val="16"/>
          <w:b w:val="1"/>
          <w:bCs w:val="1"/>
          <w:i w:val="1"/>
          <w:iCs w:val="1"/>
          <w:color w:val="auto"/>
        </w:rPr>
        <w:t>Credit Rating of Fixed-Maturity Securities</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table below summarizes the credit quality of our available-for-sale fixed-maturity securities as of June 30, 2018 and December 31, 2017 as rated by Standard &amp;</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Poor’s (or, if unavailable from Standard &amp; Poor’s, then Moody’s or Fitch):</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Pr>
          <w:p>
            <w:pPr>
              <w:spacing w:after="0"/>
              <w:rPr>
                <w:sz w:val="14"/>
                <w:szCs w:val="14"/>
                <w:color w:val="auto"/>
              </w:rPr>
            </w:pPr>
          </w:p>
        </w:tc>
        <w:tc>
          <w:tcPr>
            <w:tcW w:w="24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39"/>
        </w:trPr>
        <w:tc>
          <w:tcPr>
            <w:tcW w:w="4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40"/>
              <w:spacing w:after="0" w:line="139" w:lineRule="exact"/>
              <w:rPr>
                <w:sz w:val="20"/>
                <w:szCs w:val="20"/>
                <w:color w:val="auto"/>
              </w:rPr>
            </w:pPr>
            <w:r>
              <w:rPr>
                <w:rFonts w:ascii="Arial" w:cs="Arial" w:eastAsia="Arial" w:hAnsi="Arial"/>
                <w:sz w:val="14"/>
                <w:szCs w:val="14"/>
                <w:b w:val="1"/>
                <w:bCs w:val="1"/>
                <w:color w:val="auto"/>
                <w:w w:val="86"/>
              </w:rPr>
              <w:t>Percentage of</w:t>
            </w: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20"/>
              <w:spacing w:after="0" w:line="139" w:lineRule="exact"/>
              <w:rPr>
                <w:sz w:val="20"/>
                <w:szCs w:val="20"/>
                <w:color w:val="auto"/>
              </w:rPr>
            </w:pPr>
            <w:r>
              <w:rPr>
                <w:rFonts w:ascii="Arial" w:cs="Arial" w:eastAsia="Arial" w:hAnsi="Arial"/>
                <w:sz w:val="14"/>
                <w:szCs w:val="14"/>
                <w:b w:val="1"/>
                <w:bCs w:val="1"/>
                <w:color w:val="auto"/>
                <w:w w:val="86"/>
              </w:rPr>
              <w:t>Percentage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00"/>
              <w:spacing w:after="0" w:line="152" w:lineRule="exact"/>
              <w:rPr>
                <w:sz w:val="20"/>
                <w:szCs w:val="20"/>
                <w:color w:val="auto"/>
              </w:rPr>
            </w:pPr>
            <w:r>
              <w:rPr>
                <w:rFonts w:ascii="Arial" w:cs="Arial" w:eastAsia="Arial" w:hAnsi="Arial"/>
                <w:sz w:val="14"/>
                <w:szCs w:val="14"/>
                <w:b w:val="1"/>
                <w:bCs w:val="1"/>
                <w:color w:val="auto"/>
              </w:rPr>
              <w:t>Fair Market</w:t>
            </w:r>
          </w:p>
        </w:tc>
        <w:tc>
          <w:tcPr>
            <w:tcW w:w="1360" w:type="dxa"/>
            <w:vAlign w:val="bottom"/>
          </w:tcPr>
          <w:p>
            <w:pPr>
              <w:jc w:val="center"/>
              <w:ind w:right="20"/>
              <w:spacing w:after="0" w:line="152" w:lineRule="exact"/>
              <w:rPr>
                <w:sz w:val="20"/>
                <w:szCs w:val="20"/>
                <w:color w:val="auto"/>
              </w:rPr>
            </w:pPr>
            <w:r>
              <w:rPr>
                <w:rFonts w:ascii="Arial" w:cs="Arial" w:eastAsia="Arial" w:hAnsi="Arial"/>
                <w:sz w:val="14"/>
                <w:szCs w:val="14"/>
                <w:b w:val="1"/>
                <w:bCs w:val="1"/>
                <w:color w:val="auto"/>
                <w:w w:val="99"/>
              </w:rPr>
              <w:t>Fair Market</w:t>
            </w:r>
          </w:p>
        </w:tc>
        <w:tc>
          <w:tcPr>
            <w:tcW w:w="200" w:type="dxa"/>
            <w:vAlign w:val="bottom"/>
          </w:tcPr>
          <w:p>
            <w:pPr>
              <w:spacing w:after="0"/>
              <w:rPr>
                <w:sz w:val="13"/>
                <w:szCs w:val="13"/>
                <w:color w:val="auto"/>
              </w:rPr>
            </w:pPr>
          </w:p>
        </w:tc>
        <w:tc>
          <w:tcPr>
            <w:tcW w:w="1240" w:type="dxa"/>
            <w:vAlign w:val="bottom"/>
          </w:tcPr>
          <w:p>
            <w:pPr>
              <w:jc w:val="center"/>
              <w:ind w:right="300"/>
              <w:spacing w:after="0" w:line="152" w:lineRule="exact"/>
              <w:rPr>
                <w:sz w:val="20"/>
                <w:szCs w:val="20"/>
                <w:color w:val="auto"/>
              </w:rPr>
            </w:pPr>
            <w:r>
              <w:rPr>
                <w:rFonts w:ascii="Arial" w:cs="Arial" w:eastAsia="Arial" w:hAnsi="Arial"/>
                <w:sz w:val="14"/>
                <w:szCs w:val="14"/>
                <w:b w:val="1"/>
                <w:bCs w:val="1"/>
                <w:color w:val="auto"/>
                <w:w w:val="99"/>
              </w:rPr>
              <w:t>Fair Market</w:t>
            </w:r>
          </w:p>
        </w:tc>
        <w:tc>
          <w:tcPr>
            <w:tcW w:w="124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96"/>
              </w:rPr>
              <w:t>Fair Market</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360" w:type="dxa"/>
            <w:vAlign w:val="bottom"/>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40" w:type="dxa"/>
            <w:vAlign w:val="bottom"/>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28"/>
        </w:trPr>
        <w:tc>
          <w:tcPr>
            <w:tcW w:w="46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Rating</w:t>
            </w: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640" w:type="dxa"/>
            <w:vAlign w:val="bottom"/>
          </w:tcPr>
          <w:p>
            <w:pPr>
              <w:spacing w:after="0"/>
              <w:rPr>
                <w:sz w:val="20"/>
                <w:szCs w:val="20"/>
                <w:color w:val="auto"/>
              </w:rPr>
            </w:pPr>
            <w:r>
              <w:rPr>
                <w:rFonts w:ascii="Arial" w:cs="Arial" w:eastAsia="Arial" w:hAnsi="Arial"/>
                <w:sz w:val="16"/>
                <w:szCs w:val="16"/>
                <w:color w:val="auto"/>
              </w:rPr>
              <w:t>U.S. Treasury securities</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4,927,910</w:t>
            </w: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tcPr>
          <w:p>
            <w:pPr>
              <w:spacing w:after="0"/>
              <w:rPr>
                <w:sz w:val="20"/>
                <w:szCs w:val="20"/>
                <w:color w:val="auto"/>
              </w:rPr>
            </w:pPr>
            <w:r>
              <w:rPr>
                <w:rFonts w:ascii="Arial" w:cs="Arial" w:eastAsia="Arial" w:hAnsi="Arial"/>
                <w:sz w:val="16"/>
                <w:szCs w:val="16"/>
                <w:color w:val="auto"/>
              </w:rPr>
              <w:t>Corporate and municipal bonds</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AAA</w:t>
            </w: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982,921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1,358,143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80"/>
              <w:spacing w:after="0"/>
              <w:rPr>
                <w:sz w:val="20"/>
                <w:szCs w:val="20"/>
                <w:color w:val="auto"/>
              </w:rPr>
            </w:pPr>
            <w:r>
              <w:rPr>
                <w:rFonts w:ascii="Arial" w:cs="Arial" w:eastAsia="Arial" w:hAnsi="Arial"/>
                <w:sz w:val="16"/>
                <w:szCs w:val="16"/>
                <w:color w:val="auto"/>
              </w:rPr>
              <w:t>AA</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10,772,162</w:t>
            </w:r>
          </w:p>
        </w:tc>
        <w:tc>
          <w:tcPr>
            <w:tcW w:w="1360" w:type="dxa"/>
            <w:vAlign w:val="bottom"/>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19"/>
                <w:szCs w:val="19"/>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11,319,057</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w:t>
            </w: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16,419,305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17,199,631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40" w:type="dxa"/>
            <w:vAlign w:val="bottom"/>
          </w:tcPr>
          <w:p>
            <w:pPr>
              <w:ind w:left="100"/>
              <w:spacing w:after="0"/>
              <w:rPr>
                <w:sz w:val="20"/>
                <w:szCs w:val="20"/>
                <w:color w:val="auto"/>
              </w:rPr>
            </w:pPr>
            <w:r>
              <w:rPr>
                <w:rFonts w:ascii="Arial" w:cs="Arial" w:eastAsia="Arial" w:hAnsi="Arial"/>
                <w:sz w:val="16"/>
                <w:szCs w:val="16"/>
                <w:color w:val="auto"/>
              </w:rPr>
              <w:t>BBB</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85,737,942</w:t>
            </w:r>
          </w:p>
        </w:tc>
        <w:tc>
          <w:tcPr>
            <w:tcW w:w="1360" w:type="dxa"/>
            <w:vAlign w:val="bottom"/>
          </w:tcPr>
          <w:p>
            <w:pPr>
              <w:jc w:val="right"/>
              <w:spacing w:after="0"/>
              <w:rPr>
                <w:sz w:val="20"/>
                <w:szCs w:val="20"/>
                <w:color w:val="auto"/>
              </w:rPr>
            </w:pPr>
            <w:r>
              <w:rPr>
                <w:rFonts w:ascii="Arial" w:cs="Arial" w:eastAsia="Arial" w:hAnsi="Arial"/>
                <w:sz w:val="16"/>
                <w:szCs w:val="16"/>
                <w:color w:val="auto"/>
              </w:rPr>
              <w:t>60.1%</w:t>
            </w:r>
          </w:p>
        </w:tc>
        <w:tc>
          <w:tcPr>
            <w:tcW w:w="200" w:type="dxa"/>
            <w:vAlign w:val="bottom"/>
          </w:tcPr>
          <w:p>
            <w:pPr>
              <w:spacing w:after="0"/>
              <w:rPr>
                <w:sz w:val="19"/>
                <w:szCs w:val="19"/>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68,704,768</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35"/>
        </w:trPr>
        <w:tc>
          <w:tcPr>
            <w:tcW w:w="4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BB</w:t>
            </w:r>
          </w:p>
        </w:tc>
        <w:tc>
          <w:tcPr>
            <w:tcW w:w="1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875,310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640" w:type="dxa"/>
            <w:vAlign w:val="bottom"/>
          </w:tcPr>
          <w:p>
            <w:pPr>
              <w:ind w:left="460"/>
              <w:spacing w:after="0"/>
              <w:rPr>
                <w:sz w:val="20"/>
                <w:szCs w:val="20"/>
                <w:color w:val="auto"/>
              </w:rPr>
            </w:pPr>
            <w:r>
              <w:rPr>
                <w:rFonts w:ascii="Arial" w:cs="Arial" w:eastAsia="Arial" w:hAnsi="Arial"/>
                <w:sz w:val="16"/>
                <w:szCs w:val="16"/>
                <w:color w:val="auto"/>
              </w:rPr>
              <w:t>Total corporate and municipal bonds</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113,912,330</w:t>
            </w:r>
          </w:p>
        </w:tc>
        <w:tc>
          <w:tcPr>
            <w:tcW w:w="1360" w:type="dxa"/>
            <w:vAlign w:val="bottom"/>
          </w:tcPr>
          <w:p>
            <w:pPr>
              <w:jc w:val="right"/>
              <w:spacing w:after="0"/>
              <w:rPr>
                <w:sz w:val="20"/>
                <w:szCs w:val="20"/>
                <w:color w:val="auto"/>
              </w:rPr>
            </w:pPr>
            <w:r>
              <w:rPr>
                <w:rFonts w:ascii="Arial" w:cs="Arial" w:eastAsia="Arial" w:hAnsi="Arial"/>
                <w:sz w:val="16"/>
                <w:szCs w:val="16"/>
                <w:color w:val="auto"/>
              </w:rPr>
              <w:t>79.9%</w:t>
            </w:r>
          </w:p>
        </w:tc>
        <w:tc>
          <w:tcPr>
            <w:tcW w:w="200" w:type="dxa"/>
            <w:vAlign w:val="bottom"/>
          </w:tcPr>
          <w:p>
            <w:pPr>
              <w:spacing w:after="0"/>
              <w:rPr>
                <w:sz w:val="20"/>
                <w:szCs w:val="20"/>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99,456,909</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40" w:type="dxa"/>
            <w:vAlign w:val="bottom"/>
          </w:tcPr>
          <w:p>
            <w:pPr>
              <w:spacing w:after="0"/>
              <w:rPr>
                <w:sz w:val="20"/>
                <w:szCs w:val="20"/>
                <w:color w:val="auto"/>
              </w:rPr>
            </w:pPr>
            <w:r>
              <w:rPr>
                <w:rFonts w:ascii="Arial" w:cs="Arial" w:eastAsia="Arial" w:hAnsi="Arial"/>
                <w:sz w:val="16"/>
                <w:szCs w:val="16"/>
                <w:color w:val="auto"/>
              </w:rPr>
              <w:t>Residential mortgage backed securities</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AAA</w:t>
            </w: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2,004,800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2,013,010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tcPr>
          <w:p>
            <w:pPr>
              <w:ind w:left="80"/>
              <w:spacing w:after="0"/>
              <w:rPr>
                <w:sz w:val="20"/>
                <w:szCs w:val="20"/>
                <w:color w:val="auto"/>
              </w:rPr>
            </w:pPr>
            <w:r>
              <w:rPr>
                <w:rFonts w:ascii="Arial" w:cs="Arial" w:eastAsia="Arial" w:hAnsi="Arial"/>
                <w:sz w:val="16"/>
                <w:szCs w:val="16"/>
                <w:color w:val="auto"/>
              </w:rPr>
              <w:t>AA</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13,535,715</w:t>
            </w:r>
          </w:p>
        </w:tc>
        <w:tc>
          <w:tcPr>
            <w:tcW w:w="1360" w:type="dxa"/>
            <w:vAlign w:val="bottom"/>
          </w:tcPr>
          <w:p>
            <w:pPr>
              <w:jc w:val="right"/>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19"/>
                <w:szCs w:val="19"/>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11,021,144</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w:t>
            </w: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4,870,309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3,902,768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tcPr>
          <w:p>
            <w:pPr>
              <w:ind w:left="100"/>
              <w:spacing w:after="0"/>
              <w:rPr>
                <w:sz w:val="20"/>
                <w:szCs w:val="20"/>
                <w:color w:val="auto"/>
              </w:rPr>
            </w:pPr>
            <w:r>
              <w:rPr>
                <w:rFonts w:ascii="Arial" w:cs="Arial" w:eastAsia="Arial" w:hAnsi="Arial"/>
                <w:sz w:val="16"/>
                <w:szCs w:val="16"/>
                <w:color w:val="auto"/>
              </w:rPr>
              <w:t>CCC</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2,083,369</w:t>
            </w: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9"/>
                <w:szCs w:val="19"/>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1,420,296</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CC</w:t>
            </w: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120,742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tcPr>
          <w:p>
            <w:pPr>
              <w:ind w:left="140"/>
              <w:spacing w:after="0"/>
              <w:rPr>
                <w:sz w:val="20"/>
                <w:szCs w:val="20"/>
                <w:color w:val="auto"/>
              </w:rPr>
            </w:pPr>
            <w:r>
              <w:rPr>
                <w:rFonts w:ascii="Arial" w:cs="Arial" w:eastAsia="Arial" w:hAnsi="Arial"/>
                <w:sz w:val="16"/>
                <w:szCs w:val="16"/>
                <w:color w:val="auto"/>
              </w:rPr>
              <w:t>C</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27,709</w:t>
            </w:r>
          </w:p>
        </w:tc>
        <w:tc>
          <w:tcPr>
            <w:tcW w:w="1360" w:type="dxa"/>
            <w:vAlign w:val="bottom"/>
          </w:tcPr>
          <w:p>
            <w:pPr>
              <w:jc w:val="right"/>
              <w:spacing w:after="0"/>
              <w:rPr>
                <w:sz w:val="20"/>
                <w:szCs w:val="20"/>
                <w:color w:val="auto"/>
              </w:rPr>
            </w:pPr>
            <w:r>
              <w:rPr>
                <w:rFonts w:ascii="Arial" w:cs="Arial" w:eastAsia="Arial" w:hAnsi="Arial"/>
                <w:sz w:val="16"/>
                <w:szCs w:val="16"/>
                <w:color w:val="auto"/>
              </w:rPr>
              <w:t>0.0%</w:t>
            </w:r>
          </w:p>
        </w:tc>
        <w:tc>
          <w:tcPr>
            <w:tcW w:w="200" w:type="dxa"/>
            <w:vAlign w:val="bottom"/>
          </w:tcPr>
          <w:p>
            <w:pPr>
              <w:spacing w:after="0"/>
              <w:rPr>
                <w:sz w:val="19"/>
                <w:szCs w:val="19"/>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28,963</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w:t>
            </w: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848,040</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1,659,479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640" w:type="dxa"/>
            <w:vAlign w:val="bottom"/>
          </w:tcPr>
          <w:p>
            <w:pPr>
              <w:ind w:left="360"/>
              <w:spacing w:after="0"/>
              <w:rPr>
                <w:sz w:val="20"/>
                <w:szCs w:val="20"/>
                <w:color w:val="auto"/>
              </w:rPr>
            </w:pPr>
            <w:r>
              <w:rPr>
                <w:rFonts w:ascii="Arial" w:cs="Arial" w:eastAsia="Arial" w:hAnsi="Arial"/>
                <w:sz w:val="16"/>
                <w:szCs w:val="16"/>
                <w:color w:val="auto"/>
              </w:rPr>
              <w:t>Non rated</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335,351</w:t>
            </w: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c>
          <w:tcPr>
            <w:tcW w:w="200" w:type="dxa"/>
            <w:vAlign w:val="bottom"/>
          </w:tcPr>
          <w:p>
            <w:pPr>
              <w:spacing w:after="0"/>
              <w:rPr>
                <w:sz w:val="20"/>
                <w:szCs w:val="20"/>
                <w:color w:val="auto"/>
              </w:rPr>
            </w:pPr>
          </w:p>
        </w:tc>
        <w:tc>
          <w:tcPr>
            <w:tcW w:w="1240" w:type="dxa"/>
            <w:vAlign w:val="bottom"/>
          </w:tcPr>
          <w:p>
            <w:pPr>
              <w:jc w:val="right"/>
              <w:ind w:right="200"/>
              <w:spacing w:after="0"/>
              <w:rPr>
                <w:sz w:val="20"/>
                <w:szCs w:val="20"/>
                <w:color w:val="auto"/>
              </w:rPr>
            </w:pPr>
            <w:r>
              <w:rPr>
                <w:rFonts w:ascii="Arial" w:cs="Arial" w:eastAsia="Arial" w:hAnsi="Arial"/>
                <w:sz w:val="16"/>
                <w:szCs w:val="16"/>
                <w:color w:val="auto"/>
              </w:rPr>
              <w:t>364,945</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8"/>
        </w:trPr>
        <w:tc>
          <w:tcPr>
            <w:tcW w:w="4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residential mortgage backed securities</w:t>
            </w:r>
          </w:p>
        </w:tc>
        <w:tc>
          <w:tcPr>
            <w:tcW w:w="1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23,705,293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20,531,347</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w:t>
            </w:r>
          </w:p>
        </w:tc>
        <w:tc>
          <w:tcPr>
            <w:tcW w:w="1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142,545,533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119,988,256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5"/>
        </w:trPr>
        <w:tc>
          <w:tcPr>
            <w:tcW w:w="8960" w:type="dxa"/>
            <w:vAlign w:val="bottom"/>
            <w:gridSpan w:val="6"/>
          </w:tcPr>
          <w:p>
            <w:pPr>
              <w:jc w:val="right"/>
              <w:spacing w:after="0"/>
              <w:rPr>
                <w:sz w:val="20"/>
                <w:szCs w:val="20"/>
                <w:color w:val="auto"/>
              </w:rPr>
            </w:pPr>
            <w:r>
              <w:rPr>
                <w:rFonts w:ascii="Arial" w:cs="Arial" w:eastAsia="Arial" w:hAnsi="Arial"/>
                <w:sz w:val="16"/>
                <w:szCs w:val="16"/>
                <w:color w:val="auto"/>
                <w:w w:val="99"/>
              </w:rPr>
              <w:t>The table below summarizes the average yield by type of fixed-maturity security as of June 30, 2018 and December 31, 2017:</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1"/>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1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w w:val="89"/>
              </w:rPr>
              <w:t>2018</w:t>
            </w: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Treasury securities and</w:t>
            </w: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40"/>
              <w:spacing w:after="0"/>
              <w:rPr>
                <w:sz w:val="20"/>
                <w:szCs w:val="20"/>
                <w:color w:val="auto"/>
              </w:rPr>
            </w:pPr>
            <w:r>
              <w:rPr>
                <w:rFonts w:ascii="Arial" w:cs="Arial" w:eastAsia="Arial" w:hAnsi="Arial"/>
                <w:sz w:val="16"/>
                <w:szCs w:val="16"/>
                <w:color w:val="auto"/>
              </w:rPr>
              <w:t>obligations of U.S. government</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corporations and agencies</w:t>
            </w: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Political subdivisions of States,</w:t>
            </w: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40"/>
              <w:spacing w:after="0"/>
              <w:rPr>
                <w:sz w:val="20"/>
                <w:szCs w:val="20"/>
                <w:color w:val="auto"/>
              </w:rPr>
            </w:pPr>
            <w:r>
              <w:rPr>
                <w:rFonts w:ascii="Arial" w:cs="Arial" w:eastAsia="Arial" w:hAnsi="Arial"/>
                <w:sz w:val="16"/>
                <w:szCs w:val="16"/>
                <w:color w:val="auto"/>
              </w:rPr>
              <w:t>Territories and Possessions</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3.64%</w:t>
            </w:r>
          </w:p>
        </w:tc>
        <w:tc>
          <w:tcPr>
            <w:tcW w:w="1220" w:type="dxa"/>
            <w:vAlign w:val="bottom"/>
          </w:tcPr>
          <w:p>
            <w:pPr>
              <w:jc w:val="right"/>
              <w:spacing w:after="0"/>
              <w:rPr>
                <w:sz w:val="20"/>
                <w:szCs w:val="20"/>
                <w:color w:val="auto"/>
              </w:rPr>
            </w:pPr>
            <w:r>
              <w:rPr>
                <w:rFonts w:ascii="Arial" w:cs="Arial" w:eastAsia="Arial" w:hAnsi="Arial"/>
                <w:sz w:val="16"/>
                <w:szCs w:val="16"/>
                <w:color w:val="auto"/>
              </w:rPr>
              <w:t>3.49%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40"/>
              <w:spacing w:after="0"/>
              <w:rPr>
                <w:sz w:val="20"/>
                <w:szCs w:val="20"/>
                <w:color w:val="auto"/>
              </w:rPr>
            </w:pPr>
            <w:r>
              <w:rPr>
                <w:rFonts w:ascii="Arial" w:cs="Arial" w:eastAsia="Arial" w:hAnsi="Arial"/>
                <w:sz w:val="16"/>
                <w:szCs w:val="16"/>
                <w:color w:val="auto"/>
              </w:rPr>
              <w:t>Corporate and other bonds</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Industrial and miscellaneous</w:t>
            </w: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4.15%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mortgage and other asset backed securities</w:t>
            </w: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1.99%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3.64%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7"/>
        </w:trPr>
        <w:tc>
          <w:tcPr>
            <w:tcW w:w="46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67</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6" w:right="239" w:bottom="1440" w:gutter="0" w:footer="0" w:header="0"/>
        </w:sectPr>
      </w:pPr>
    </w:p>
    <w:bookmarkStart w:id="69" w:name="page70"/>
    <w:bookmarkEnd w:id="69"/>
    <w:p>
      <w:pPr>
        <w:ind w:left="600"/>
        <w:spacing w:after="0"/>
        <w:rPr>
          <w:sz w:val="20"/>
          <w:szCs w:val="20"/>
          <w:color w:val="auto"/>
        </w:rPr>
      </w:pPr>
      <w:r>
        <w:rPr>
          <w:rFonts w:ascii="Arial" w:cs="Arial" w:eastAsia="Arial" w:hAnsi="Arial"/>
          <w:sz w:val="15"/>
          <w:szCs w:val="15"/>
          <w:color w:val="auto"/>
        </w:rPr>
        <w:t>The table below lists the weighted average maturity and effective duration in years on our fixed-maturity securities as of June 30, 2018 and December 31,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tcPr>
          <w:p>
            <w:pPr>
              <w:jc w:val="center"/>
              <w:ind w:left="9003"/>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Pr>
          <w:p>
            <w:pPr>
              <w:spacing w:after="0"/>
              <w:rPr>
                <w:sz w:val="14"/>
                <w:szCs w:val="14"/>
                <w:color w:val="auto"/>
              </w:rPr>
            </w:pPr>
          </w:p>
        </w:tc>
        <w:tc>
          <w:tcPr>
            <w:tcW w:w="1300" w:type="dxa"/>
            <w:vAlign w:val="bottom"/>
          </w:tcPr>
          <w:p>
            <w:pPr>
              <w:jc w:val="right"/>
              <w:ind w:right="203"/>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6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2017</w:t>
            </w:r>
          </w:p>
        </w:tc>
      </w:tr>
      <w:tr>
        <w:trPr>
          <w:trHeight w:val="203"/>
        </w:trPr>
        <w:tc>
          <w:tcPr>
            <w:tcW w:w="9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effective maturity</w:t>
            </w:r>
          </w:p>
        </w:tc>
        <w:tc>
          <w:tcPr>
            <w:tcW w:w="4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6.2</w:t>
            </w:r>
          </w:p>
        </w:tc>
        <w:tc>
          <w:tcPr>
            <w:tcW w:w="13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5.7</w:t>
            </w:r>
          </w:p>
        </w:tc>
      </w:tr>
      <w:tr>
        <w:trPr>
          <w:trHeight w:val="203"/>
        </w:trPr>
        <w:tc>
          <w:tcPr>
            <w:tcW w:w="9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9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final maturity</w:t>
            </w:r>
          </w:p>
        </w:tc>
        <w:tc>
          <w:tcPr>
            <w:tcW w:w="4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7.8</w:t>
            </w:r>
          </w:p>
        </w:tc>
        <w:tc>
          <w:tcPr>
            <w:tcW w:w="13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7.8</w:t>
            </w:r>
          </w:p>
        </w:tc>
      </w:tr>
      <w:tr>
        <w:trPr>
          <w:trHeight w:val="203"/>
        </w:trPr>
        <w:tc>
          <w:tcPr>
            <w:tcW w:w="9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9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duration</w:t>
            </w:r>
          </w:p>
        </w:tc>
        <w:tc>
          <w:tcPr>
            <w:tcW w:w="4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5.1</w:t>
            </w:r>
          </w:p>
        </w:tc>
        <w:tc>
          <w:tcPr>
            <w:tcW w:w="13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4.9</w:t>
            </w:r>
          </w:p>
        </w:tc>
      </w:tr>
    </w:tbl>
    <w:p>
      <w:pPr>
        <w:spacing w:after="0" w:line="131"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Fair Value Consideration</w:t>
      </w:r>
    </w:p>
    <w:p>
      <w:pPr>
        <w:spacing w:after="0" w:line="158" w:lineRule="exact"/>
        <w:rPr>
          <w:sz w:val="20"/>
          <w:szCs w:val="20"/>
          <w:color w:val="auto"/>
        </w:rPr>
      </w:pPr>
    </w:p>
    <w:p>
      <w:pPr>
        <w:jc w:val="both"/>
        <w:ind w:firstLine="608"/>
        <w:spacing w:after="0" w:line="289" w:lineRule="auto"/>
        <w:rPr>
          <w:sz w:val="20"/>
          <w:szCs w:val="20"/>
          <w:color w:val="auto"/>
        </w:rPr>
      </w:pPr>
      <w:r>
        <w:rPr>
          <w:rFonts w:ascii="Arial" w:cs="Arial" w:eastAsia="Arial" w:hAnsi="Arial"/>
          <w:sz w:val="15"/>
          <w:szCs w:val="15"/>
          <w:color w:val="auto"/>
        </w:rPr>
        <w:t>As disclosed in Note 4 to the condensed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2018 and December 31, 2017, 79% and 73%, respectively, of the investment portfolio recorded at fair value was priced based upon quoted market prices.</w:t>
      </w:r>
    </w:p>
    <w:p>
      <w:pPr>
        <w:spacing w:after="0" w:line="99" w:lineRule="exact"/>
        <w:rPr>
          <w:sz w:val="20"/>
          <w:szCs w:val="20"/>
          <w:color w:val="auto"/>
        </w:rPr>
      </w:pPr>
    </w:p>
    <w:p>
      <w:pPr>
        <w:ind w:right="220" w:firstLine="608"/>
        <w:spacing w:after="0" w:line="296" w:lineRule="auto"/>
        <w:rPr>
          <w:sz w:val="20"/>
          <w:szCs w:val="20"/>
          <w:color w:val="auto"/>
        </w:rPr>
      </w:pPr>
      <w:r>
        <w:rPr>
          <w:rFonts w:ascii="Arial" w:cs="Arial" w:eastAsia="Arial" w:hAnsi="Arial"/>
          <w:sz w:val="16"/>
          <w:szCs w:val="16"/>
          <w:color w:val="auto"/>
        </w:rPr>
        <w:t>The table below summarizes the gross unrealized losses of our fixed-maturity securities available-for-sale and equity securities by length of time the security has continuously been in an unrealized loss position as of June 30, 2018 and December 31, 2017:</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4"/>
                <w:szCs w:val="14"/>
                <w:b w:val="1"/>
                <w:bCs w:val="1"/>
                <w:color w:val="auto"/>
              </w:rPr>
              <w:t>June 30, 2018</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7"/>
        </w:trPr>
        <w:tc>
          <w:tcPr>
            <w:tcW w:w="2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70"/>
              <w:spacing w:after="0" w:line="152" w:lineRule="exact"/>
              <w:rPr>
                <w:sz w:val="20"/>
                <w:szCs w:val="20"/>
                <w:color w:val="auto"/>
              </w:rPr>
            </w:pPr>
            <w:r>
              <w:rPr>
                <w:rFonts w:ascii="Arial" w:cs="Arial" w:eastAsia="Arial" w:hAnsi="Arial"/>
                <w:sz w:val="14"/>
                <w:szCs w:val="14"/>
                <w:b w:val="1"/>
                <w:bCs w:val="1"/>
                <w:color w:val="auto"/>
                <w:w w:val="89"/>
              </w:rPr>
              <w:t>Less than 12 months</w:t>
            </w:r>
          </w:p>
        </w:tc>
        <w:tc>
          <w:tcPr>
            <w:tcW w:w="9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90"/>
              <w:spacing w:after="0" w:line="152" w:lineRule="exact"/>
              <w:rPr>
                <w:sz w:val="20"/>
                <w:szCs w:val="20"/>
                <w:color w:val="auto"/>
              </w:rPr>
            </w:pPr>
            <w:r>
              <w:rPr>
                <w:rFonts w:ascii="Arial" w:cs="Arial" w:eastAsia="Arial" w:hAnsi="Arial"/>
                <w:sz w:val="14"/>
                <w:szCs w:val="14"/>
                <w:b w:val="1"/>
                <w:bCs w:val="1"/>
                <w:color w:val="auto"/>
                <w:w w:val="88"/>
              </w:rPr>
              <w:t>12 months or more</w:t>
            </w: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80"/>
              <w:spacing w:after="0" w:line="152" w:lineRule="exact"/>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tcPr>
          <w:p>
            <w:pPr>
              <w:spacing w:after="0"/>
              <w:rPr>
                <w:sz w:val="13"/>
                <w:szCs w:val="13"/>
                <w:color w:val="auto"/>
              </w:rPr>
            </w:pPr>
          </w:p>
        </w:tc>
      </w:tr>
      <w:tr>
        <w:trPr>
          <w:trHeight w:val="139"/>
        </w:trPr>
        <w:tc>
          <w:tcPr>
            <w:tcW w:w="2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jc w:val="center"/>
              <w:ind w:right="50"/>
              <w:spacing w:after="0" w:line="139" w:lineRule="exact"/>
              <w:rPr>
                <w:sz w:val="20"/>
                <w:szCs w:val="20"/>
                <w:color w:val="auto"/>
              </w:rPr>
            </w:pPr>
            <w:r>
              <w:rPr>
                <w:rFonts w:ascii="Arial" w:cs="Arial" w:eastAsia="Arial" w:hAnsi="Arial"/>
                <w:sz w:val="14"/>
                <w:szCs w:val="14"/>
                <w:b w:val="1"/>
                <w:bCs w:val="1"/>
                <w:color w:val="auto"/>
                <w:w w:val="90"/>
              </w:rPr>
              <w:t>No. of</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jc w:val="center"/>
              <w:ind w:right="30"/>
              <w:spacing w:after="0" w:line="139" w:lineRule="exact"/>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2"/>
                <w:szCs w:val="12"/>
                <w:color w:val="auto"/>
              </w:rPr>
            </w:pPr>
          </w:p>
        </w:tc>
        <w:tc>
          <w:tcPr>
            <w:tcW w:w="860" w:type="dxa"/>
            <w:vAlign w:val="bottom"/>
          </w:tcPr>
          <w:p>
            <w:pPr>
              <w:jc w:val="center"/>
              <w:ind w:right="90"/>
              <w:spacing w:after="0" w:line="139" w:lineRule="exact"/>
              <w:rPr>
                <w:sz w:val="20"/>
                <w:szCs w:val="20"/>
                <w:color w:val="auto"/>
              </w:rPr>
            </w:pPr>
            <w:r>
              <w:rPr>
                <w:rFonts w:ascii="Arial" w:cs="Arial" w:eastAsia="Arial" w:hAnsi="Arial"/>
                <w:sz w:val="14"/>
                <w:szCs w:val="14"/>
                <w:b w:val="1"/>
                <w:bCs w:val="1"/>
                <w:color w:val="auto"/>
                <w:w w:val="89"/>
              </w:rPr>
              <w:t>Aggregate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2"/>
        </w:trPr>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ind w:right="270"/>
              <w:spacing w:after="0" w:line="152"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3"/>
                <w:szCs w:val="13"/>
                <w:color w:val="auto"/>
              </w:rPr>
            </w:pPr>
          </w:p>
        </w:tc>
        <w:tc>
          <w:tcPr>
            <w:tcW w:w="1080" w:type="dxa"/>
            <w:vAlign w:val="bottom"/>
          </w:tcPr>
          <w:p>
            <w:pPr>
              <w:jc w:val="right"/>
              <w:ind w:right="330"/>
              <w:spacing w:after="0" w:line="152" w:lineRule="exact"/>
              <w:rPr>
                <w:sz w:val="20"/>
                <w:szCs w:val="20"/>
                <w:color w:val="auto"/>
              </w:rPr>
            </w:pPr>
            <w:r>
              <w:rPr>
                <w:rFonts w:ascii="Arial" w:cs="Arial" w:eastAsia="Arial" w:hAnsi="Arial"/>
                <w:sz w:val="14"/>
                <w:szCs w:val="14"/>
                <w:b w:val="1"/>
                <w:bCs w:val="1"/>
                <w:color w:val="auto"/>
                <w:w w:val="93"/>
              </w:rPr>
              <w:t>Unrealized</w:t>
            </w:r>
          </w:p>
        </w:tc>
        <w:tc>
          <w:tcPr>
            <w:tcW w:w="960" w:type="dxa"/>
            <w:vAlign w:val="bottom"/>
          </w:tcPr>
          <w:p>
            <w:pPr>
              <w:jc w:val="center"/>
              <w:ind w:right="70"/>
              <w:spacing w:after="0" w:line="152" w:lineRule="exact"/>
              <w:rPr>
                <w:sz w:val="20"/>
                <w:szCs w:val="20"/>
                <w:color w:val="auto"/>
              </w:rPr>
            </w:pPr>
            <w:r>
              <w:rPr>
                <w:rFonts w:ascii="Arial" w:cs="Arial" w:eastAsia="Arial" w:hAnsi="Arial"/>
                <w:sz w:val="14"/>
                <w:szCs w:val="14"/>
                <w:b w:val="1"/>
                <w:bCs w:val="1"/>
                <w:color w:val="auto"/>
                <w:w w:val="85"/>
              </w:rPr>
              <w:t>Positions</w:t>
            </w:r>
          </w:p>
        </w:tc>
        <w:tc>
          <w:tcPr>
            <w:tcW w:w="300" w:type="dxa"/>
            <w:vAlign w:val="bottom"/>
          </w:tcPr>
          <w:p>
            <w:pPr>
              <w:spacing w:after="0"/>
              <w:rPr>
                <w:sz w:val="13"/>
                <w:szCs w:val="13"/>
                <w:color w:val="auto"/>
              </w:rPr>
            </w:pPr>
          </w:p>
        </w:tc>
        <w:tc>
          <w:tcPr>
            <w:tcW w:w="800" w:type="dxa"/>
            <w:vAlign w:val="bottom"/>
          </w:tcPr>
          <w:p>
            <w:pPr>
              <w:jc w:val="right"/>
              <w:ind w:right="310"/>
              <w:spacing w:after="0" w:line="152"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310"/>
              <w:spacing w:after="0" w:line="152" w:lineRule="exact"/>
              <w:rPr>
                <w:sz w:val="20"/>
                <w:szCs w:val="20"/>
                <w:color w:val="auto"/>
              </w:rPr>
            </w:pPr>
            <w:r>
              <w:rPr>
                <w:rFonts w:ascii="Arial" w:cs="Arial" w:eastAsia="Arial" w:hAnsi="Arial"/>
                <w:sz w:val="14"/>
                <w:szCs w:val="14"/>
                <w:b w:val="1"/>
                <w:bCs w:val="1"/>
                <w:color w:val="auto"/>
                <w:w w:val="93"/>
              </w:rPr>
              <w:t>Unrealized</w:t>
            </w:r>
          </w:p>
        </w:tc>
        <w:tc>
          <w:tcPr>
            <w:tcW w:w="980" w:type="dxa"/>
            <w:vAlign w:val="bottom"/>
          </w:tcPr>
          <w:p>
            <w:pPr>
              <w:jc w:val="center"/>
              <w:ind w:right="50"/>
              <w:spacing w:after="0" w:line="152" w:lineRule="exact"/>
              <w:rPr>
                <w:sz w:val="20"/>
                <w:szCs w:val="20"/>
                <w:color w:val="auto"/>
              </w:rPr>
            </w:pPr>
            <w:r>
              <w:rPr>
                <w:rFonts w:ascii="Arial" w:cs="Arial" w:eastAsia="Arial" w:hAnsi="Arial"/>
                <w:sz w:val="14"/>
                <w:szCs w:val="14"/>
                <w:b w:val="1"/>
                <w:bCs w:val="1"/>
                <w:color w:val="auto"/>
                <w:w w:val="85"/>
              </w:rPr>
              <w:t>Positions</w:t>
            </w:r>
          </w:p>
        </w:tc>
        <w:tc>
          <w:tcPr>
            <w:tcW w:w="240" w:type="dxa"/>
            <w:vAlign w:val="bottom"/>
          </w:tcPr>
          <w:p>
            <w:pPr>
              <w:spacing w:after="0"/>
              <w:rPr>
                <w:sz w:val="13"/>
                <w:szCs w:val="13"/>
                <w:color w:val="auto"/>
              </w:rPr>
            </w:pPr>
          </w:p>
        </w:tc>
        <w:tc>
          <w:tcPr>
            <w:tcW w:w="860" w:type="dxa"/>
            <w:vAlign w:val="bottom"/>
          </w:tcPr>
          <w:p>
            <w:pPr>
              <w:jc w:val="center"/>
              <w:ind w:right="90"/>
              <w:spacing w:after="0" w:line="152"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150"/>
              <w:spacing w:after="0" w:line="152" w:lineRule="exact"/>
              <w:rPr>
                <w:sz w:val="20"/>
                <w:szCs w:val="20"/>
                <w:color w:val="auto"/>
              </w:rPr>
            </w:pPr>
            <w:r>
              <w:rPr>
                <w:rFonts w:ascii="Arial" w:cs="Arial" w:eastAsia="Arial" w:hAnsi="Arial"/>
                <w:sz w:val="14"/>
                <w:szCs w:val="14"/>
                <w:b w:val="1"/>
                <w:bCs w:val="1"/>
                <w:color w:val="auto"/>
                <w:w w:val="93"/>
              </w:rPr>
              <w:t>Unrealized</w:t>
            </w:r>
          </w:p>
        </w:tc>
      </w:tr>
      <w:tr>
        <w:trPr>
          <w:trHeight w:val="171"/>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Losses</w:t>
            </w: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2"/>
              </w:rPr>
              <w:t>Held</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Losses</w:t>
            </w: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Losses</w:t>
            </w:r>
          </w:p>
        </w:tc>
      </w:tr>
      <w:tr>
        <w:trPr>
          <w:trHeight w:val="228"/>
        </w:trPr>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Fixed-Maturity Securities: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8"/>
        </w:trPr>
        <w:tc>
          <w:tcPr>
            <w:tcW w:w="2300" w:type="dxa"/>
            <w:vAlign w:val="bottom"/>
          </w:tcPr>
          <w:p>
            <w:pPr>
              <w:ind w:left="40"/>
              <w:spacing w:after="0"/>
              <w:rPr>
                <w:sz w:val="20"/>
                <w:szCs w:val="20"/>
                <w:color w:val="auto"/>
              </w:rPr>
            </w:pPr>
            <w:r>
              <w:rPr>
                <w:rFonts w:ascii="Arial" w:cs="Arial" w:eastAsia="Arial" w:hAnsi="Arial"/>
                <w:sz w:val="14"/>
                <w:szCs w:val="14"/>
                <w:color w:val="auto"/>
              </w:rPr>
              <w:t>U.S. Treasury securities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obligations of U.S.</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8"/>
        </w:trPr>
        <w:tc>
          <w:tcPr>
            <w:tcW w:w="2300" w:type="dxa"/>
            <w:vAlign w:val="bottom"/>
          </w:tcPr>
          <w:p>
            <w:pPr>
              <w:ind w:left="40"/>
              <w:spacing w:after="0"/>
              <w:rPr>
                <w:sz w:val="20"/>
                <w:szCs w:val="20"/>
                <w:color w:val="auto"/>
              </w:rPr>
            </w:pPr>
            <w:r>
              <w:rPr>
                <w:rFonts w:ascii="Arial" w:cs="Arial" w:eastAsia="Arial" w:hAnsi="Arial"/>
                <w:sz w:val="14"/>
                <w:szCs w:val="14"/>
                <w:color w:val="auto"/>
              </w:rPr>
              <w:t>government corporations</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and agencies</w:t>
            </w:r>
          </w:p>
        </w:tc>
        <w:tc>
          <w:tcPr>
            <w:tcW w:w="260" w:type="dxa"/>
            <w:vAlign w:val="bottom"/>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4,927,910</w:t>
            </w:r>
          </w:p>
        </w:tc>
        <w:tc>
          <w:tcPr>
            <w:tcW w:w="3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(40,264)</w:t>
            </w:r>
          </w:p>
        </w:tc>
        <w:tc>
          <w:tcPr>
            <w:tcW w:w="96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90"/>
              <w:spacing w:after="0" w:line="15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4,927,910</w:t>
            </w:r>
          </w:p>
        </w:tc>
        <w:tc>
          <w:tcPr>
            <w:tcW w:w="280" w:type="dxa"/>
            <w:vAlign w:val="bottom"/>
            <w:gridSpan w:val="2"/>
            <w:shd w:val="clear" w:color="auto" w:fill="CCEEFF"/>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(40,264)</w:t>
            </w:r>
          </w:p>
        </w:tc>
      </w:tr>
      <w:tr>
        <w:trPr>
          <w:trHeight w:val="152"/>
        </w:trPr>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Political subdivisions of</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States, Territories and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Possessions</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3,524,361</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(55,324)</w:t>
            </w:r>
          </w:p>
        </w:tc>
        <w:tc>
          <w:tcPr>
            <w:tcW w:w="96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7</w:t>
            </w: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616,383</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(28,074)</w:t>
            </w:r>
          </w:p>
        </w:tc>
        <w:tc>
          <w:tcPr>
            <w:tcW w:w="98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4,140,744</w:t>
            </w: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(83,398)</w:t>
            </w:r>
          </w:p>
        </w:tc>
      </w:tr>
      <w:tr>
        <w:trPr>
          <w:trHeight w:val="152"/>
        </w:trPr>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Corporate and other</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bonds industrial and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30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85,149,695</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(2,617,680)</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107</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6,491,755</w:t>
            </w: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(377,166)</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91,641,540</w:t>
            </w: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(2,994,846)</w:t>
            </w:r>
          </w:p>
        </w:tc>
      </w:tr>
      <w:tr>
        <w:trPr>
          <w:trHeight w:val="152"/>
        </w:trPr>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Residential mortgage and other</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7"/>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asset backed securities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11,139,070</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70"/>
              <w:spacing w:after="0" w:line="152" w:lineRule="exact"/>
              <w:rPr>
                <w:sz w:val="20"/>
                <w:szCs w:val="20"/>
                <w:color w:val="auto"/>
              </w:rPr>
            </w:pPr>
            <w:r>
              <w:rPr>
                <w:rFonts w:ascii="Arial" w:cs="Arial" w:eastAsia="Arial" w:hAnsi="Arial"/>
                <w:sz w:val="14"/>
                <w:szCs w:val="14"/>
                <w:color w:val="auto"/>
              </w:rPr>
              <w:t>(159,886)</w:t>
            </w:r>
          </w:p>
        </w:tc>
        <w:tc>
          <w:tcPr>
            <w:tcW w:w="96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13</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20"/>
              <w:spacing w:after="0" w:line="152" w:lineRule="exact"/>
              <w:rPr>
                <w:sz w:val="20"/>
                <w:szCs w:val="20"/>
                <w:color w:val="auto"/>
              </w:rPr>
            </w:pPr>
            <w:r>
              <w:rPr>
                <w:rFonts w:ascii="Arial" w:cs="Arial" w:eastAsia="Arial" w:hAnsi="Arial"/>
                <w:sz w:val="14"/>
                <w:szCs w:val="14"/>
                <w:color w:val="auto"/>
              </w:rPr>
              <w:t>9,439,267</w:t>
            </w: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50"/>
              <w:spacing w:after="0" w:line="152" w:lineRule="exact"/>
              <w:rPr>
                <w:sz w:val="20"/>
                <w:szCs w:val="20"/>
                <w:color w:val="auto"/>
              </w:rPr>
            </w:pPr>
            <w:r>
              <w:rPr>
                <w:rFonts w:ascii="Arial" w:cs="Arial" w:eastAsia="Arial" w:hAnsi="Arial"/>
                <w:sz w:val="14"/>
                <w:szCs w:val="14"/>
                <w:color w:val="auto"/>
              </w:rPr>
              <w:t>(351,224)</w:t>
            </w:r>
          </w:p>
        </w:tc>
        <w:tc>
          <w:tcPr>
            <w:tcW w:w="98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15</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0"/>
              <w:spacing w:after="0" w:line="152" w:lineRule="exact"/>
              <w:rPr>
                <w:sz w:val="20"/>
                <w:szCs w:val="20"/>
                <w:color w:val="auto"/>
              </w:rPr>
            </w:pPr>
            <w:r>
              <w:rPr>
                <w:rFonts w:ascii="Arial" w:cs="Arial" w:eastAsia="Arial" w:hAnsi="Arial"/>
                <w:sz w:val="14"/>
                <w:szCs w:val="14"/>
                <w:color w:val="auto"/>
              </w:rPr>
              <w:t>20,578,337</w:t>
            </w: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(511,110)</w:t>
            </w:r>
          </w:p>
        </w:tc>
      </w:tr>
      <w:tr>
        <w:trPr>
          <w:trHeight w:val="152"/>
        </w:trPr>
        <w:tc>
          <w:tcPr>
            <w:tcW w:w="2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Total fixed-maturity</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2"/>
        </w:trPr>
        <w:tc>
          <w:tcPr>
            <w:tcW w:w="2300" w:type="dxa"/>
            <w:vAlign w:val="bottom"/>
            <w:tcBorders>
              <w:bottom w:val="single" w:sz="8" w:color="CCEEFF"/>
            </w:tcBorders>
            <w:shd w:val="clear" w:color="auto" w:fill="CCEEFF"/>
          </w:tcPr>
          <w:p>
            <w:pPr>
              <w:ind w:left="40"/>
              <w:spacing w:after="0" w:line="152" w:lineRule="exact"/>
              <w:rPr>
                <w:sz w:val="20"/>
                <w:szCs w:val="20"/>
                <w:color w:val="auto"/>
              </w:rPr>
            </w:pPr>
            <w:r>
              <w:rPr>
                <w:rFonts w:ascii="Arial" w:cs="Arial" w:eastAsia="Arial" w:hAnsi="Arial"/>
                <w:sz w:val="14"/>
                <w:szCs w:val="14"/>
                <w:color w:val="auto"/>
              </w:rPr>
              <w:t>securities</w:t>
            </w:r>
          </w:p>
        </w:tc>
        <w:tc>
          <w:tcPr>
            <w:tcW w:w="260" w:type="dxa"/>
            <w:vAlign w:val="bottom"/>
            <w:tcBorders>
              <w:bottom w:val="single" w:sz="8" w:color="auto"/>
            </w:tcBorders>
            <w:shd w:val="clear" w:color="auto" w:fill="CCEEFF"/>
          </w:tcPr>
          <w:p>
            <w:pPr>
              <w:jc w:val="right"/>
              <w:ind w:right="10"/>
              <w:spacing w:after="0" w:line="15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w w:val="97"/>
              </w:rPr>
              <w:t>104,741,036</w:t>
            </w:r>
          </w:p>
        </w:tc>
        <w:tc>
          <w:tcPr>
            <w:tcW w:w="3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(2,873,154)</w:t>
            </w:r>
          </w:p>
        </w:tc>
        <w:tc>
          <w:tcPr>
            <w:tcW w:w="96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130</w:t>
            </w:r>
          </w:p>
        </w:tc>
        <w:tc>
          <w:tcPr>
            <w:tcW w:w="3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16,547,405</w:t>
            </w:r>
          </w:p>
        </w:tc>
        <w:tc>
          <w:tcPr>
            <w:tcW w:w="280" w:type="dxa"/>
            <w:vAlign w:val="bottom"/>
            <w:tcBorders>
              <w:bottom w:val="single" w:sz="8" w:color="auto"/>
            </w:tcBorders>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(756,464)</w:t>
            </w:r>
          </w:p>
        </w:tc>
        <w:tc>
          <w:tcPr>
            <w:tcW w:w="98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29</w:t>
            </w:r>
          </w:p>
        </w:tc>
        <w:tc>
          <w:tcPr>
            <w:tcW w:w="2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121,288,441</w:t>
            </w:r>
          </w:p>
        </w:tc>
        <w:tc>
          <w:tcPr>
            <w:tcW w:w="280" w:type="dxa"/>
            <w:vAlign w:val="bottom"/>
            <w:tcBorders>
              <w:bottom w:val="single" w:sz="8" w:color="auto"/>
            </w:tcBorders>
            <w:gridSpan w:val="2"/>
            <w:shd w:val="clear" w:color="auto" w:fill="CCEEFF"/>
          </w:tcPr>
          <w:p>
            <w:pPr>
              <w:jc w:val="right"/>
              <w:ind w:right="40"/>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(3,629,618)</w:t>
            </w: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December 31, 2017</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57"/>
        </w:trPr>
        <w:tc>
          <w:tcPr>
            <w:tcW w:w="2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70"/>
              <w:spacing w:after="0" w:line="152" w:lineRule="exact"/>
              <w:rPr>
                <w:sz w:val="20"/>
                <w:szCs w:val="20"/>
                <w:color w:val="auto"/>
              </w:rPr>
            </w:pPr>
            <w:r>
              <w:rPr>
                <w:rFonts w:ascii="Arial" w:cs="Arial" w:eastAsia="Arial" w:hAnsi="Arial"/>
                <w:sz w:val="14"/>
                <w:szCs w:val="14"/>
                <w:b w:val="1"/>
                <w:bCs w:val="1"/>
                <w:color w:val="auto"/>
                <w:w w:val="89"/>
              </w:rPr>
              <w:t>Less than 12 months</w:t>
            </w:r>
          </w:p>
        </w:tc>
        <w:tc>
          <w:tcPr>
            <w:tcW w:w="9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90"/>
              <w:spacing w:after="0" w:line="152" w:lineRule="exact"/>
              <w:rPr>
                <w:sz w:val="20"/>
                <w:szCs w:val="20"/>
                <w:color w:val="auto"/>
              </w:rPr>
            </w:pPr>
            <w:r>
              <w:rPr>
                <w:rFonts w:ascii="Arial" w:cs="Arial" w:eastAsia="Arial" w:hAnsi="Arial"/>
                <w:sz w:val="14"/>
                <w:szCs w:val="14"/>
                <w:b w:val="1"/>
                <w:bCs w:val="1"/>
                <w:color w:val="auto"/>
                <w:w w:val="92"/>
              </w:rPr>
              <w:t>12 months or more</w:t>
            </w: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0"/>
              <w:spacing w:after="0" w:line="152" w:lineRule="exact"/>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auto"/>
            </w:tcBorders>
          </w:tcPr>
          <w:p>
            <w:pPr>
              <w:spacing w:after="0"/>
              <w:rPr>
                <w:sz w:val="13"/>
                <w:szCs w:val="13"/>
                <w:color w:val="auto"/>
              </w:rPr>
            </w:pPr>
          </w:p>
        </w:tc>
      </w:tr>
      <w:tr>
        <w:trPr>
          <w:trHeight w:val="139"/>
        </w:trPr>
        <w:tc>
          <w:tcPr>
            <w:tcW w:w="2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60" w:type="dxa"/>
            <w:vAlign w:val="bottom"/>
          </w:tcPr>
          <w:p>
            <w:pPr>
              <w:jc w:val="center"/>
              <w:ind w:right="50"/>
              <w:spacing w:after="0" w:line="139" w:lineRule="exact"/>
              <w:rPr>
                <w:sz w:val="20"/>
                <w:szCs w:val="20"/>
                <w:color w:val="auto"/>
              </w:rPr>
            </w:pPr>
            <w:r>
              <w:rPr>
                <w:rFonts w:ascii="Arial" w:cs="Arial" w:eastAsia="Arial" w:hAnsi="Arial"/>
                <w:sz w:val="14"/>
                <w:szCs w:val="14"/>
                <w:b w:val="1"/>
                <w:bCs w:val="1"/>
                <w:color w:val="auto"/>
                <w:w w:val="90"/>
              </w:rPr>
              <w:t>No. of</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jc w:val="center"/>
              <w:ind w:right="30"/>
              <w:spacing w:after="0" w:line="139" w:lineRule="exact"/>
              <w:rPr>
                <w:sz w:val="20"/>
                <w:szCs w:val="20"/>
                <w:color w:val="auto"/>
              </w:rPr>
            </w:pPr>
            <w:r>
              <w:rPr>
                <w:rFonts w:ascii="Arial" w:cs="Arial" w:eastAsia="Arial" w:hAnsi="Arial"/>
                <w:sz w:val="14"/>
                <w:szCs w:val="14"/>
                <w:b w:val="1"/>
                <w:bCs w:val="1"/>
                <w:color w:val="auto"/>
                <w:w w:val="90"/>
              </w:rPr>
              <w:t>No. of</w:t>
            </w:r>
          </w:p>
        </w:tc>
        <w:tc>
          <w:tcPr>
            <w:tcW w:w="240" w:type="dxa"/>
            <w:vAlign w:val="bottom"/>
          </w:tcPr>
          <w:p>
            <w:pPr>
              <w:spacing w:after="0"/>
              <w:rPr>
                <w:sz w:val="12"/>
                <w:szCs w:val="12"/>
                <w:color w:val="auto"/>
              </w:rPr>
            </w:pPr>
          </w:p>
        </w:tc>
        <w:tc>
          <w:tcPr>
            <w:tcW w:w="900" w:type="dxa"/>
            <w:vAlign w:val="bottom"/>
          </w:tcPr>
          <w:p>
            <w:pPr>
              <w:jc w:val="center"/>
              <w:ind w:right="130"/>
              <w:spacing w:after="0" w:line="139" w:lineRule="exact"/>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2"/>
        </w:trPr>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270"/>
              <w:spacing w:after="0" w:line="152"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3"/>
                <w:szCs w:val="13"/>
                <w:color w:val="auto"/>
              </w:rPr>
            </w:pPr>
          </w:p>
        </w:tc>
        <w:tc>
          <w:tcPr>
            <w:tcW w:w="1080" w:type="dxa"/>
            <w:vAlign w:val="bottom"/>
          </w:tcPr>
          <w:p>
            <w:pPr>
              <w:jc w:val="right"/>
              <w:ind w:right="330"/>
              <w:spacing w:after="0" w:line="152" w:lineRule="exact"/>
              <w:rPr>
                <w:sz w:val="20"/>
                <w:szCs w:val="20"/>
                <w:color w:val="auto"/>
              </w:rPr>
            </w:pPr>
            <w:r>
              <w:rPr>
                <w:rFonts w:ascii="Arial" w:cs="Arial" w:eastAsia="Arial" w:hAnsi="Arial"/>
                <w:sz w:val="14"/>
                <w:szCs w:val="14"/>
                <w:b w:val="1"/>
                <w:bCs w:val="1"/>
                <w:color w:val="auto"/>
                <w:w w:val="93"/>
              </w:rPr>
              <w:t>Unrealized</w:t>
            </w:r>
          </w:p>
        </w:tc>
        <w:tc>
          <w:tcPr>
            <w:tcW w:w="960" w:type="dxa"/>
            <w:vAlign w:val="bottom"/>
          </w:tcPr>
          <w:p>
            <w:pPr>
              <w:jc w:val="center"/>
              <w:ind w:right="70"/>
              <w:spacing w:after="0" w:line="152" w:lineRule="exact"/>
              <w:rPr>
                <w:sz w:val="20"/>
                <w:szCs w:val="20"/>
                <w:color w:val="auto"/>
              </w:rPr>
            </w:pPr>
            <w:r>
              <w:rPr>
                <w:rFonts w:ascii="Arial" w:cs="Arial" w:eastAsia="Arial" w:hAnsi="Arial"/>
                <w:sz w:val="14"/>
                <w:szCs w:val="14"/>
                <w:b w:val="1"/>
                <w:bCs w:val="1"/>
                <w:color w:val="auto"/>
                <w:w w:val="85"/>
              </w:rPr>
              <w:t>Positions</w:t>
            </w:r>
          </w:p>
        </w:tc>
        <w:tc>
          <w:tcPr>
            <w:tcW w:w="300" w:type="dxa"/>
            <w:vAlign w:val="bottom"/>
          </w:tcPr>
          <w:p>
            <w:pPr>
              <w:spacing w:after="0"/>
              <w:rPr>
                <w:sz w:val="13"/>
                <w:szCs w:val="13"/>
                <w:color w:val="auto"/>
              </w:rPr>
            </w:pPr>
          </w:p>
        </w:tc>
        <w:tc>
          <w:tcPr>
            <w:tcW w:w="800" w:type="dxa"/>
            <w:vAlign w:val="bottom"/>
          </w:tcPr>
          <w:p>
            <w:pPr>
              <w:jc w:val="right"/>
              <w:ind w:right="310"/>
              <w:spacing w:after="0" w:line="152"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3"/>
                <w:szCs w:val="13"/>
                <w:color w:val="auto"/>
              </w:rPr>
            </w:pPr>
          </w:p>
        </w:tc>
        <w:tc>
          <w:tcPr>
            <w:tcW w:w="1060" w:type="dxa"/>
            <w:vAlign w:val="bottom"/>
          </w:tcPr>
          <w:p>
            <w:pPr>
              <w:jc w:val="right"/>
              <w:ind w:right="310"/>
              <w:spacing w:after="0" w:line="152" w:lineRule="exact"/>
              <w:rPr>
                <w:sz w:val="20"/>
                <w:szCs w:val="20"/>
                <w:color w:val="auto"/>
              </w:rPr>
            </w:pPr>
            <w:r>
              <w:rPr>
                <w:rFonts w:ascii="Arial" w:cs="Arial" w:eastAsia="Arial" w:hAnsi="Arial"/>
                <w:sz w:val="14"/>
                <w:szCs w:val="14"/>
                <w:b w:val="1"/>
                <w:bCs w:val="1"/>
                <w:color w:val="auto"/>
                <w:w w:val="93"/>
              </w:rPr>
              <w:t>Unrealized</w:t>
            </w:r>
          </w:p>
        </w:tc>
        <w:tc>
          <w:tcPr>
            <w:tcW w:w="980" w:type="dxa"/>
            <w:vAlign w:val="bottom"/>
          </w:tcPr>
          <w:p>
            <w:pPr>
              <w:jc w:val="center"/>
              <w:ind w:right="50"/>
              <w:spacing w:after="0" w:line="152" w:lineRule="exact"/>
              <w:rPr>
                <w:sz w:val="20"/>
                <w:szCs w:val="20"/>
                <w:color w:val="auto"/>
              </w:rPr>
            </w:pPr>
            <w:r>
              <w:rPr>
                <w:rFonts w:ascii="Arial" w:cs="Arial" w:eastAsia="Arial" w:hAnsi="Arial"/>
                <w:sz w:val="14"/>
                <w:szCs w:val="14"/>
                <w:b w:val="1"/>
                <w:bCs w:val="1"/>
                <w:color w:val="auto"/>
                <w:w w:val="85"/>
              </w:rPr>
              <w:t>Positions</w:t>
            </w:r>
          </w:p>
        </w:tc>
        <w:tc>
          <w:tcPr>
            <w:tcW w:w="240" w:type="dxa"/>
            <w:vAlign w:val="bottom"/>
          </w:tcPr>
          <w:p>
            <w:pPr>
              <w:spacing w:after="0"/>
              <w:rPr>
                <w:sz w:val="13"/>
                <w:szCs w:val="13"/>
                <w:color w:val="auto"/>
              </w:rPr>
            </w:pPr>
          </w:p>
        </w:tc>
        <w:tc>
          <w:tcPr>
            <w:tcW w:w="900" w:type="dxa"/>
            <w:vAlign w:val="bottom"/>
          </w:tcPr>
          <w:p>
            <w:pPr>
              <w:jc w:val="center"/>
              <w:ind w:right="130"/>
              <w:spacing w:after="0" w:line="152"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3"/>
                <w:szCs w:val="13"/>
                <w:color w:val="auto"/>
              </w:rPr>
            </w:pPr>
          </w:p>
        </w:tc>
        <w:tc>
          <w:tcPr>
            <w:tcW w:w="900" w:type="dxa"/>
            <w:vAlign w:val="bottom"/>
          </w:tcPr>
          <w:p>
            <w:pPr>
              <w:jc w:val="right"/>
              <w:ind w:right="150"/>
              <w:spacing w:after="0" w:line="152" w:lineRule="exact"/>
              <w:rPr>
                <w:sz w:val="20"/>
                <w:szCs w:val="20"/>
                <w:color w:val="auto"/>
              </w:rPr>
            </w:pPr>
            <w:r>
              <w:rPr>
                <w:rFonts w:ascii="Arial" w:cs="Arial" w:eastAsia="Arial" w:hAnsi="Arial"/>
                <w:sz w:val="14"/>
                <w:szCs w:val="14"/>
                <w:b w:val="1"/>
                <w:bCs w:val="1"/>
                <w:color w:val="auto"/>
                <w:w w:val="93"/>
              </w:rPr>
              <w:t>Unrealized</w:t>
            </w:r>
          </w:p>
        </w:tc>
      </w:tr>
      <w:tr>
        <w:trPr>
          <w:trHeight w:val="171"/>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Losses</w:t>
            </w: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2"/>
              </w:rPr>
              <w:t>Held</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Losses</w:t>
            </w: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2"/>
              </w:rPr>
              <w:t>Held</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Losses</w:t>
            </w:r>
          </w:p>
        </w:tc>
      </w:tr>
      <w:tr>
        <w:trPr>
          <w:trHeight w:val="228"/>
        </w:trPr>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Fixed-Maturity Securities:</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8"/>
        </w:trPr>
        <w:tc>
          <w:tcPr>
            <w:tcW w:w="2300" w:type="dxa"/>
            <w:vAlign w:val="bottom"/>
          </w:tcPr>
          <w:p>
            <w:pPr>
              <w:ind w:left="40"/>
              <w:spacing w:after="0"/>
              <w:rPr>
                <w:sz w:val="20"/>
                <w:szCs w:val="20"/>
                <w:color w:val="auto"/>
              </w:rPr>
            </w:pPr>
            <w:r>
              <w:rPr>
                <w:rFonts w:ascii="Arial" w:cs="Arial" w:eastAsia="Arial" w:hAnsi="Arial"/>
                <w:sz w:val="14"/>
                <w:szCs w:val="14"/>
                <w:color w:val="auto"/>
              </w:rPr>
              <w:t>Political subdivisions of</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8"/>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States, Territories and</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Possessions</w:t>
            </w:r>
          </w:p>
        </w:tc>
        <w:tc>
          <w:tcPr>
            <w:tcW w:w="300" w:type="dxa"/>
            <w:vAlign w:val="bottom"/>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2" w:lineRule="exact"/>
              <w:rPr>
                <w:sz w:val="20"/>
                <w:szCs w:val="20"/>
                <w:color w:val="auto"/>
              </w:rPr>
            </w:pPr>
            <w:r>
              <w:rPr>
                <w:rFonts w:ascii="Arial" w:cs="Arial" w:eastAsia="Arial" w:hAnsi="Arial"/>
                <w:sz w:val="14"/>
                <w:szCs w:val="14"/>
                <w:color w:val="auto"/>
              </w:rPr>
              <w:t>1,549,839</w:t>
            </w:r>
          </w:p>
        </w:tc>
        <w:tc>
          <w:tcPr>
            <w:tcW w:w="32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70"/>
              <w:spacing w:after="0" w:line="152" w:lineRule="exact"/>
              <w:rPr>
                <w:sz w:val="20"/>
                <w:szCs w:val="20"/>
                <w:color w:val="auto"/>
              </w:rPr>
            </w:pPr>
            <w:r>
              <w:rPr>
                <w:rFonts w:ascii="Arial" w:cs="Arial" w:eastAsia="Arial" w:hAnsi="Arial"/>
                <w:sz w:val="14"/>
                <w:szCs w:val="14"/>
                <w:color w:val="auto"/>
              </w:rPr>
              <w:t>(30,814)</w:t>
            </w:r>
          </w:p>
        </w:tc>
        <w:tc>
          <w:tcPr>
            <w:tcW w:w="960" w:type="dxa"/>
            <w:vAlign w:val="bottom"/>
          </w:tcPr>
          <w:p>
            <w:pPr>
              <w:jc w:val="right"/>
              <w:ind w:right="30"/>
              <w:spacing w:after="0" w:line="152" w:lineRule="exact"/>
              <w:rPr>
                <w:sz w:val="20"/>
                <w:szCs w:val="20"/>
                <w:color w:val="auto"/>
              </w:rPr>
            </w:pPr>
            <w:r>
              <w:rPr>
                <w:rFonts w:ascii="Arial" w:cs="Arial" w:eastAsia="Arial" w:hAnsi="Arial"/>
                <w:sz w:val="14"/>
                <w:szCs w:val="14"/>
                <w:color w:val="auto"/>
              </w:rPr>
              <w:t>4</w:t>
            </w:r>
          </w:p>
        </w:tc>
        <w:tc>
          <w:tcPr>
            <w:tcW w:w="300" w:type="dxa"/>
            <w:vAlign w:val="bottom"/>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190"/>
              <w:spacing w:after="0" w:line="152"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line="152" w:lineRule="exact"/>
              <w:rPr>
                <w:sz w:val="20"/>
                <w:szCs w:val="20"/>
                <w:color w:val="auto"/>
              </w:rPr>
            </w:pPr>
            <w:r>
              <w:rPr>
                <w:rFonts w:ascii="Arial" w:cs="Arial" w:eastAsia="Arial" w:hAnsi="Arial"/>
                <w:sz w:val="14"/>
                <w:szCs w:val="14"/>
                <w:color w:val="auto"/>
              </w:rPr>
              <w:t>1,549,839</w:t>
            </w:r>
          </w:p>
        </w:tc>
        <w:tc>
          <w:tcPr>
            <w:tcW w:w="24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52" w:lineRule="exact"/>
              <w:rPr>
                <w:sz w:val="20"/>
                <w:szCs w:val="20"/>
                <w:color w:val="auto"/>
              </w:rPr>
            </w:pPr>
            <w:r>
              <w:rPr>
                <w:rFonts w:ascii="Arial" w:cs="Arial" w:eastAsia="Arial" w:hAnsi="Arial"/>
                <w:sz w:val="14"/>
                <w:szCs w:val="14"/>
                <w:color w:val="auto"/>
              </w:rPr>
              <w:t>(30,814)</w:t>
            </w:r>
          </w:p>
        </w:tc>
      </w:tr>
      <w:tr>
        <w:trPr>
          <w:trHeight w:val="152"/>
        </w:trPr>
        <w:tc>
          <w:tcPr>
            <w:tcW w:w="2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Corporate and other</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bonds industrial and</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miscellaneous</w:t>
            </w:r>
          </w:p>
        </w:tc>
        <w:tc>
          <w:tcPr>
            <w:tcW w:w="300" w:type="dxa"/>
            <w:vAlign w:val="bottom"/>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Arial" w:cs="Arial" w:eastAsia="Arial" w:hAnsi="Arial"/>
                <w:sz w:val="14"/>
                <w:szCs w:val="14"/>
                <w:color w:val="auto"/>
              </w:rPr>
              <w:t>15,036,462</w:t>
            </w:r>
          </w:p>
        </w:tc>
        <w:tc>
          <w:tcPr>
            <w:tcW w:w="320" w:type="dxa"/>
            <w:vAlign w:val="bottom"/>
          </w:tcPr>
          <w:p>
            <w:pPr>
              <w:spacing w:after="0"/>
              <w:rPr>
                <w:sz w:val="13"/>
                <w:szCs w:val="13"/>
                <w:color w:val="auto"/>
              </w:rPr>
            </w:pPr>
          </w:p>
        </w:tc>
        <w:tc>
          <w:tcPr>
            <w:tcW w:w="1080" w:type="dxa"/>
            <w:vAlign w:val="bottom"/>
          </w:tcPr>
          <w:p>
            <w:pPr>
              <w:jc w:val="right"/>
              <w:ind w:right="170"/>
              <w:spacing w:after="0" w:line="152" w:lineRule="exact"/>
              <w:rPr>
                <w:sz w:val="20"/>
                <w:szCs w:val="20"/>
                <w:color w:val="auto"/>
              </w:rPr>
            </w:pPr>
            <w:r>
              <w:rPr>
                <w:rFonts w:ascii="Arial" w:cs="Arial" w:eastAsia="Arial" w:hAnsi="Arial"/>
                <w:sz w:val="14"/>
                <w:szCs w:val="14"/>
                <w:color w:val="auto"/>
              </w:rPr>
              <w:t>(269,857)</w:t>
            </w:r>
          </w:p>
        </w:tc>
        <w:tc>
          <w:tcPr>
            <w:tcW w:w="960" w:type="dxa"/>
            <w:vAlign w:val="bottom"/>
          </w:tcPr>
          <w:p>
            <w:pPr>
              <w:jc w:val="right"/>
              <w:ind w:right="30"/>
              <w:spacing w:after="0" w:line="152" w:lineRule="exact"/>
              <w:rPr>
                <w:sz w:val="20"/>
                <w:szCs w:val="20"/>
                <w:color w:val="auto"/>
              </w:rPr>
            </w:pPr>
            <w:r>
              <w:rPr>
                <w:rFonts w:ascii="Arial" w:cs="Arial" w:eastAsia="Arial" w:hAnsi="Arial"/>
                <w:sz w:val="14"/>
                <w:szCs w:val="14"/>
                <w:color w:val="auto"/>
              </w:rPr>
              <w:t>20</w:t>
            </w:r>
          </w:p>
        </w:tc>
        <w:tc>
          <w:tcPr>
            <w:tcW w:w="300" w:type="dxa"/>
            <w:vAlign w:val="bottom"/>
          </w:tcPr>
          <w:p>
            <w:pPr>
              <w:spacing w:after="0"/>
              <w:rPr>
                <w:sz w:val="13"/>
                <w:szCs w:val="13"/>
                <w:color w:val="auto"/>
              </w:rPr>
            </w:pPr>
          </w:p>
        </w:tc>
        <w:tc>
          <w:tcPr>
            <w:tcW w:w="800" w:type="dxa"/>
            <w:vAlign w:val="bottom"/>
          </w:tcPr>
          <w:p>
            <w:pPr>
              <w:jc w:val="right"/>
              <w:spacing w:after="0" w:line="152" w:lineRule="exact"/>
              <w:rPr>
                <w:sz w:val="20"/>
                <w:szCs w:val="20"/>
                <w:color w:val="auto"/>
              </w:rPr>
            </w:pPr>
            <w:r>
              <w:rPr>
                <w:rFonts w:ascii="Arial" w:cs="Arial" w:eastAsia="Arial" w:hAnsi="Arial"/>
                <w:sz w:val="14"/>
                <w:szCs w:val="14"/>
                <w:color w:val="auto"/>
              </w:rPr>
              <w:t>9,113,924</w:t>
            </w:r>
          </w:p>
        </w:tc>
        <w:tc>
          <w:tcPr>
            <w:tcW w:w="280" w:type="dxa"/>
            <w:vAlign w:val="bottom"/>
          </w:tcPr>
          <w:p>
            <w:pPr>
              <w:spacing w:after="0"/>
              <w:rPr>
                <w:sz w:val="13"/>
                <w:szCs w:val="13"/>
                <w:color w:val="auto"/>
              </w:rPr>
            </w:pPr>
          </w:p>
        </w:tc>
        <w:tc>
          <w:tcPr>
            <w:tcW w:w="1060" w:type="dxa"/>
            <w:vAlign w:val="bottom"/>
          </w:tcPr>
          <w:p>
            <w:pPr>
              <w:jc w:val="right"/>
              <w:ind w:right="150"/>
              <w:spacing w:after="0" w:line="152" w:lineRule="exact"/>
              <w:rPr>
                <w:sz w:val="20"/>
                <w:szCs w:val="20"/>
                <w:color w:val="auto"/>
              </w:rPr>
            </w:pPr>
            <w:r>
              <w:rPr>
                <w:rFonts w:ascii="Arial" w:cs="Arial" w:eastAsia="Arial" w:hAnsi="Arial"/>
                <w:sz w:val="14"/>
                <w:szCs w:val="14"/>
                <w:color w:val="auto"/>
              </w:rPr>
              <w:t>(340,516)</w:t>
            </w:r>
          </w:p>
        </w:tc>
        <w:tc>
          <w:tcPr>
            <w:tcW w:w="980" w:type="dxa"/>
            <w:vAlign w:val="bottom"/>
          </w:tcPr>
          <w:p>
            <w:pPr>
              <w:jc w:val="right"/>
              <w:ind w:right="30"/>
              <w:spacing w:after="0" w:line="152"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3"/>
                <w:szCs w:val="13"/>
                <w:color w:val="auto"/>
              </w:rPr>
            </w:pPr>
          </w:p>
        </w:tc>
        <w:tc>
          <w:tcPr>
            <w:tcW w:w="900" w:type="dxa"/>
            <w:vAlign w:val="bottom"/>
          </w:tcPr>
          <w:p>
            <w:pPr>
              <w:jc w:val="right"/>
              <w:ind w:right="30"/>
              <w:spacing w:after="0" w:line="152" w:lineRule="exact"/>
              <w:rPr>
                <w:sz w:val="20"/>
                <w:szCs w:val="20"/>
                <w:color w:val="auto"/>
              </w:rPr>
            </w:pPr>
            <w:r>
              <w:rPr>
                <w:rFonts w:ascii="Arial" w:cs="Arial" w:eastAsia="Arial" w:hAnsi="Arial"/>
                <w:sz w:val="14"/>
                <w:szCs w:val="14"/>
                <w:color w:val="auto"/>
              </w:rPr>
              <w:t>24,150,386</w:t>
            </w:r>
          </w:p>
        </w:tc>
        <w:tc>
          <w:tcPr>
            <w:tcW w:w="240" w:type="dxa"/>
            <w:vAlign w:val="bottom"/>
          </w:tcPr>
          <w:p>
            <w:pPr>
              <w:spacing w:after="0"/>
              <w:rPr>
                <w:sz w:val="13"/>
                <w:szCs w:val="13"/>
                <w:color w:val="auto"/>
              </w:rPr>
            </w:pPr>
          </w:p>
        </w:tc>
        <w:tc>
          <w:tcPr>
            <w:tcW w:w="900" w:type="dxa"/>
            <w:vAlign w:val="bottom"/>
          </w:tcPr>
          <w:p>
            <w:pPr>
              <w:jc w:val="right"/>
              <w:spacing w:after="0" w:line="152" w:lineRule="exact"/>
              <w:rPr>
                <w:sz w:val="20"/>
                <w:szCs w:val="20"/>
                <w:color w:val="auto"/>
              </w:rPr>
            </w:pPr>
            <w:r>
              <w:rPr>
                <w:rFonts w:ascii="Arial" w:cs="Arial" w:eastAsia="Arial" w:hAnsi="Arial"/>
                <w:sz w:val="14"/>
                <w:szCs w:val="14"/>
                <w:color w:val="auto"/>
              </w:rPr>
              <w:t>(610,373)</w:t>
            </w:r>
          </w:p>
        </w:tc>
      </w:tr>
      <w:tr>
        <w:trPr>
          <w:trHeight w:val="152"/>
        </w:trPr>
        <w:tc>
          <w:tcPr>
            <w:tcW w:w="2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Residential mortgage and other</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2300" w:type="dxa"/>
            <w:vAlign w:val="bottom"/>
            <w:tcBorders>
              <w:bottom w:val="single" w:sz="8" w:color="CCEEFF"/>
            </w:tcBorders>
            <w:shd w:val="clear" w:color="auto" w:fill="CCEEFF"/>
          </w:tcPr>
          <w:p>
            <w:pPr>
              <w:ind w:left="40"/>
              <w:spacing w:after="0" w:line="152" w:lineRule="exact"/>
              <w:rPr>
                <w:sz w:val="20"/>
                <w:szCs w:val="20"/>
                <w:color w:val="auto"/>
              </w:rPr>
            </w:pPr>
            <w:r>
              <w:rPr>
                <w:rFonts w:ascii="Arial" w:cs="Arial" w:eastAsia="Arial" w:hAnsi="Arial"/>
                <w:sz w:val="14"/>
                <w:szCs w:val="14"/>
                <w:color w:val="auto"/>
              </w:rPr>
              <w:t>asset backed securities</w:t>
            </w: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6,956,371</w:t>
            </w: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(48,482)</w:t>
            </w:r>
          </w:p>
        </w:tc>
        <w:tc>
          <w:tcPr>
            <w:tcW w:w="96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6</w:t>
            </w: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7,867,572</w:t>
            </w:r>
          </w:p>
        </w:tc>
        <w:tc>
          <w:tcPr>
            <w:tcW w:w="2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(189,022)</w:t>
            </w:r>
          </w:p>
        </w:tc>
        <w:tc>
          <w:tcPr>
            <w:tcW w:w="98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15</w:t>
            </w: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14,823,943</w:t>
            </w: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(237,504)</w:t>
            </w:r>
          </w:p>
        </w:tc>
      </w:tr>
      <w:tr>
        <w:trPr>
          <w:trHeight w:val="152"/>
        </w:trPr>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Total fixed-maturity</w:t>
            </w: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7"/>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securities</w:t>
            </w:r>
          </w:p>
        </w:tc>
        <w:tc>
          <w:tcPr>
            <w:tcW w:w="300" w:type="dxa"/>
            <w:vAlign w:val="bottom"/>
            <w:tcBorders>
              <w:bottom w:val="single" w:sz="8" w:color="auto"/>
            </w:tcBorders>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23,542,672</w:t>
            </w:r>
          </w:p>
        </w:tc>
        <w:tc>
          <w:tcPr>
            <w:tcW w:w="3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70"/>
              <w:spacing w:after="0" w:line="152" w:lineRule="exact"/>
              <w:rPr>
                <w:sz w:val="20"/>
                <w:szCs w:val="20"/>
                <w:color w:val="auto"/>
              </w:rPr>
            </w:pPr>
            <w:r>
              <w:rPr>
                <w:rFonts w:ascii="Arial" w:cs="Arial" w:eastAsia="Arial" w:hAnsi="Arial"/>
                <w:sz w:val="14"/>
                <w:szCs w:val="14"/>
                <w:color w:val="auto"/>
              </w:rPr>
              <w:t>(349,153)</w:t>
            </w:r>
          </w:p>
        </w:tc>
        <w:tc>
          <w:tcPr>
            <w:tcW w:w="96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30</w:t>
            </w:r>
          </w:p>
        </w:tc>
        <w:tc>
          <w:tcPr>
            <w:tcW w:w="30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16,981,496</w:t>
            </w:r>
          </w:p>
        </w:tc>
        <w:tc>
          <w:tcPr>
            <w:tcW w:w="2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50"/>
              <w:spacing w:after="0" w:line="152" w:lineRule="exact"/>
              <w:rPr>
                <w:sz w:val="20"/>
                <w:szCs w:val="20"/>
                <w:color w:val="auto"/>
              </w:rPr>
            </w:pPr>
            <w:r>
              <w:rPr>
                <w:rFonts w:ascii="Arial" w:cs="Arial" w:eastAsia="Arial" w:hAnsi="Arial"/>
                <w:sz w:val="14"/>
                <w:szCs w:val="14"/>
                <w:color w:val="auto"/>
              </w:rPr>
              <w:t>(529,538)</w:t>
            </w:r>
          </w:p>
        </w:tc>
        <w:tc>
          <w:tcPr>
            <w:tcW w:w="98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32</w:t>
            </w:r>
          </w:p>
        </w:tc>
        <w:tc>
          <w:tcPr>
            <w:tcW w:w="2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0"/>
              <w:spacing w:after="0" w:line="152" w:lineRule="exact"/>
              <w:rPr>
                <w:sz w:val="20"/>
                <w:szCs w:val="20"/>
                <w:color w:val="auto"/>
              </w:rPr>
            </w:pPr>
            <w:r>
              <w:rPr>
                <w:rFonts w:ascii="Arial" w:cs="Arial" w:eastAsia="Arial" w:hAnsi="Arial"/>
                <w:sz w:val="14"/>
                <w:szCs w:val="14"/>
                <w:color w:val="auto"/>
              </w:rPr>
              <w:t>40,524,168</w:t>
            </w:r>
          </w:p>
        </w:tc>
        <w:tc>
          <w:tcPr>
            <w:tcW w:w="2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(878,691)</w:t>
            </w:r>
          </w:p>
        </w:tc>
      </w:tr>
      <w:tr>
        <w:trPr>
          <w:trHeight w:val="152"/>
        </w:trPr>
        <w:tc>
          <w:tcPr>
            <w:tcW w:w="2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b w:val="1"/>
                <w:bCs w:val="1"/>
                <w:color w:val="auto"/>
              </w:rPr>
              <w:t>Equity Securities:</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2"/>
        </w:trPr>
        <w:tc>
          <w:tcPr>
            <w:tcW w:w="2300" w:type="dxa"/>
            <w:vAlign w:val="bottom"/>
            <w:shd w:val="clear" w:color="auto" w:fill="CCEEFF"/>
          </w:tcPr>
          <w:p>
            <w:pPr>
              <w:ind w:left="40"/>
              <w:spacing w:after="0" w:line="152" w:lineRule="exact"/>
              <w:rPr>
                <w:sz w:val="20"/>
                <w:szCs w:val="20"/>
                <w:color w:val="auto"/>
              </w:rPr>
            </w:pPr>
            <w:r>
              <w:rPr>
                <w:rFonts w:ascii="Arial" w:cs="Arial" w:eastAsia="Arial" w:hAnsi="Arial"/>
                <w:sz w:val="14"/>
                <w:szCs w:val="14"/>
                <w:color w:val="auto"/>
              </w:rPr>
              <w:t>Preferred stocks</w:t>
            </w:r>
          </w:p>
        </w:tc>
        <w:tc>
          <w:tcPr>
            <w:tcW w:w="300" w:type="dxa"/>
            <w:vAlign w:val="bottom"/>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1,605,217</w:t>
            </w:r>
          </w:p>
        </w:tc>
        <w:tc>
          <w:tcPr>
            <w:tcW w:w="3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(20,313)</w:t>
            </w:r>
          </w:p>
        </w:tc>
        <w:tc>
          <w:tcPr>
            <w:tcW w:w="96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5</w:t>
            </w:r>
          </w:p>
        </w:tc>
        <w:tc>
          <w:tcPr>
            <w:tcW w:w="3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1,776,675</w:t>
            </w:r>
          </w:p>
        </w:tc>
        <w:tc>
          <w:tcPr>
            <w:tcW w:w="28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(120,712)</w:t>
            </w:r>
          </w:p>
        </w:tc>
        <w:tc>
          <w:tcPr>
            <w:tcW w:w="98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3,381,892</w:t>
            </w:r>
          </w:p>
        </w:tc>
        <w:tc>
          <w:tcPr>
            <w:tcW w:w="2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(141,025)</w:t>
            </w:r>
          </w:p>
        </w:tc>
      </w:tr>
      <w:tr>
        <w:trPr>
          <w:trHeight w:val="152"/>
        </w:trPr>
        <w:tc>
          <w:tcPr>
            <w:tcW w:w="2300" w:type="dxa"/>
            <w:vAlign w:val="bottom"/>
          </w:tcPr>
          <w:p>
            <w:pPr>
              <w:ind w:left="40"/>
              <w:spacing w:after="0" w:line="152" w:lineRule="exact"/>
              <w:rPr>
                <w:sz w:val="20"/>
                <w:szCs w:val="20"/>
                <w:color w:val="auto"/>
              </w:rPr>
            </w:pPr>
            <w:r>
              <w:rPr>
                <w:rFonts w:ascii="Arial" w:cs="Arial" w:eastAsia="Arial" w:hAnsi="Arial"/>
                <w:sz w:val="14"/>
                <w:szCs w:val="14"/>
                <w:color w:val="auto"/>
              </w:rPr>
              <w:t>Common stocks and</w:t>
            </w: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2300" w:type="dxa"/>
            <w:vAlign w:val="bottom"/>
            <w:tcBorders>
              <w:bottom w:val="single" w:sz="8" w:color="CCEEFF"/>
            </w:tcBorders>
            <w:shd w:val="clear" w:color="auto" w:fill="CCEEFF"/>
          </w:tcPr>
          <w:p>
            <w:pPr>
              <w:ind w:left="40"/>
              <w:spacing w:after="0" w:line="132" w:lineRule="exact"/>
              <w:rPr>
                <w:sz w:val="20"/>
                <w:szCs w:val="20"/>
                <w:color w:val="auto"/>
              </w:rPr>
            </w:pPr>
            <w:r>
              <w:rPr>
                <w:rFonts w:ascii="Arial" w:cs="Arial" w:eastAsia="Arial" w:hAnsi="Arial"/>
                <w:sz w:val="14"/>
                <w:szCs w:val="14"/>
                <w:color w:val="auto"/>
              </w:rPr>
              <w:t>exchange traded mutual funds</w:t>
            </w: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4"/>
                <w:szCs w:val="14"/>
                <w:color w:val="auto"/>
              </w:rPr>
              <w:t>1,446,375</w:t>
            </w: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70"/>
              <w:spacing w:after="0" w:line="132" w:lineRule="exact"/>
              <w:rPr>
                <w:sz w:val="20"/>
                <w:szCs w:val="20"/>
                <w:color w:val="auto"/>
              </w:rPr>
            </w:pPr>
            <w:r>
              <w:rPr>
                <w:rFonts w:ascii="Arial" w:cs="Arial" w:eastAsia="Arial" w:hAnsi="Arial"/>
                <w:sz w:val="14"/>
                <w:szCs w:val="14"/>
                <w:color w:val="auto"/>
              </w:rPr>
              <w:t>(222,205)</w:t>
            </w:r>
          </w:p>
        </w:tc>
        <w:tc>
          <w:tcPr>
            <w:tcW w:w="960" w:type="dxa"/>
            <w:vAlign w:val="bottom"/>
            <w:tcBorders>
              <w:bottom w:val="single" w:sz="8" w:color="auto"/>
            </w:tcBorders>
            <w:shd w:val="clear" w:color="auto" w:fill="CCEEFF"/>
          </w:tcPr>
          <w:p>
            <w:pPr>
              <w:jc w:val="right"/>
              <w:ind w:right="30"/>
              <w:spacing w:after="0" w:line="132" w:lineRule="exact"/>
              <w:rPr>
                <w:sz w:val="20"/>
                <w:szCs w:val="20"/>
                <w:color w:val="auto"/>
              </w:rPr>
            </w:pPr>
            <w:r>
              <w:rPr>
                <w:rFonts w:ascii="Arial" w:cs="Arial" w:eastAsia="Arial" w:hAnsi="Arial"/>
                <w:sz w:val="14"/>
                <w:szCs w:val="14"/>
                <w:color w:val="auto"/>
              </w:rPr>
              <w:t>4</w:t>
            </w:r>
          </w:p>
        </w:tc>
        <w:tc>
          <w:tcPr>
            <w:tcW w:w="3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4"/>
                <w:szCs w:val="14"/>
                <w:color w:val="auto"/>
              </w:rPr>
              <w:t>124,900</w:t>
            </w:r>
          </w:p>
        </w:tc>
        <w:tc>
          <w:tcPr>
            <w:tcW w:w="2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50"/>
              <w:spacing w:after="0" w:line="132" w:lineRule="exact"/>
              <w:rPr>
                <w:sz w:val="20"/>
                <w:szCs w:val="20"/>
                <w:color w:val="auto"/>
              </w:rPr>
            </w:pPr>
            <w:r>
              <w:rPr>
                <w:rFonts w:ascii="Arial" w:cs="Arial" w:eastAsia="Arial" w:hAnsi="Arial"/>
                <w:sz w:val="14"/>
                <w:szCs w:val="14"/>
                <w:color w:val="auto"/>
              </w:rPr>
              <w:t>(14,530)</w:t>
            </w:r>
          </w:p>
        </w:tc>
        <w:tc>
          <w:tcPr>
            <w:tcW w:w="980" w:type="dxa"/>
            <w:vAlign w:val="bottom"/>
            <w:tcBorders>
              <w:bottom w:val="single" w:sz="8" w:color="auto"/>
            </w:tcBorders>
            <w:shd w:val="clear" w:color="auto" w:fill="CCEEFF"/>
          </w:tcPr>
          <w:p>
            <w:pPr>
              <w:jc w:val="right"/>
              <w:ind w:right="30"/>
              <w:spacing w:after="0" w:line="132" w:lineRule="exact"/>
              <w:rPr>
                <w:sz w:val="20"/>
                <w:szCs w:val="20"/>
                <w:color w:val="auto"/>
              </w:rPr>
            </w:pPr>
            <w:r>
              <w:rPr>
                <w:rFonts w:ascii="Arial" w:cs="Arial" w:eastAsia="Arial" w:hAnsi="Arial"/>
                <w:sz w:val="14"/>
                <w:szCs w:val="14"/>
                <w:color w:val="auto"/>
              </w:rPr>
              <w:t>1</w:t>
            </w: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30"/>
              <w:spacing w:after="0" w:line="132" w:lineRule="exact"/>
              <w:rPr>
                <w:sz w:val="20"/>
                <w:szCs w:val="20"/>
                <w:color w:val="auto"/>
              </w:rPr>
            </w:pPr>
            <w:r>
              <w:rPr>
                <w:rFonts w:ascii="Arial" w:cs="Arial" w:eastAsia="Arial" w:hAnsi="Arial"/>
                <w:sz w:val="14"/>
                <w:szCs w:val="14"/>
                <w:color w:val="auto"/>
              </w:rPr>
              <w:t>1,571,275</w:t>
            </w:r>
          </w:p>
        </w:tc>
        <w:tc>
          <w:tcPr>
            <w:tcW w:w="2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4"/>
                <w:szCs w:val="14"/>
                <w:color w:val="auto"/>
              </w:rPr>
              <w:t>(236,735)</w:t>
            </w:r>
          </w:p>
        </w:tc>
      </w:tr>
      <w:tr>
        <w:trPr>
          <w:trHeight w:val="152"/>
        </w:trPr>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7"/>
        </w:trPr>
        <w:tc>
          <w:tcPr>
            <w:tcW w:w="2300" w:type="dxa"/>
            <w:vAlign w:val="bottom"/>
            <w:tcBorders>
              <w:bottom w:val="single" w:sz="8" w:color="CCEEFF"/>
            </w:tcBorders>
            <w:shd w:val="clear" w:color="auto" w:fill="CCEEFF"/>
          </w:tcPr>
          <w:p>
            <w:pPr>
              <w:ind w:left="40"/>
              <w:spacing w:after="0" w:line="152" w:lineRule="exact"/>
              <w:rPr>
                <w:sz w:val="20"/>
                <w:szCs w:val="20"/>
                <w:color w:val="auto"/>
              </w:rPr>
            </w:pPr>
            <w:r>
              <w:rPr>
                <w:rFonts w:ascii="Arial" w:cs="Arial" w:eastAsia="Arial" w:hAnsi="Arial"/>
                <w:sz w:val="14"/>
                <w:szCs w:val="14"/>
                <w:color w:val="auto"/>
              </w:rPr>
              <w:t>Total equity securities</w:t>
            </w:r>
          </w:p>
        </w:tc>
        <w:tc>
          <w:tcPr>
            <w:tcW w:w="300" w:type="dxa"/>
            <w:vAlign w:val="bottom"/>
            <w:tcBorders>
              <w:bottom w:val="single" w:sz="8" w:color="auto"/>
            </w:tcBorders>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3,051,592</w:t>
            </w:r>
          </w:p>
        </w:tc>
        <w:tc>
          <w:tcPr>
            <w:tcW w:w="3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(242,518)</w:t>
            </w:r>
          </w:p>
        </w:tc>
        <w:tc>
          <w:tcPr>
            <w:tcW w:w="96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9</w:t>
            </w:r>
          </w:p>
        </w:tc>
        <w:tc>
          <w:tcPr>
            <w:tcW w:w="3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1,901,575</w:t>
            </w:r>
          </w:p>
        </w:tc>
        <w:tc>
          <w:tcPr>
            <w:tcW w:w="2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(135,242)</w:t>
            </w:r>
          </w:p>
        </w:tc>
        <w:tc>
          <w:tcPr>
            <w:tcW w:w="98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4</w:t>
            </w:r>
          </w:p>
        </w:tc>
        <w:tc>
          <w:tcPr>
            <w:tcW w:w="2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4,953,167</w:t>
            </w:r>
          </w:p>
        </w:tc>
        <w:tc>
          <w:tcPr>
            <w:tcW w:w="2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(377,760)</w:t>
            </w:r>
          </w:p>
        </w:tc>
      </w:tr>
      <w:tr>
        <w:trPr>
          <w:trHeight w:val="152"/>
        </w:trPr>
        <w:tc>
          <w:tcPr>
            <w:tcW w:w="2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2"/>
        </w:trPr>
        <w:tc>
          <w:tcPr>
            <w:tcW w:w="2300" w:type="dxa"/>
            <w:vAlign w:val="bottom"/>
            <w:tcBorders>
              <w:bottom w:val="single" w:sz="8" w:color="CCEEFF"/>
            </w:tcBorders>
            <w:shd w:val="clear" w:color="auto" w:fill="CCEEFF"/>
          </w:tcPr>
          <w:p>
            <w:pPr>
              <w:ind w:left="40"/>
              <w:spacing w:after="0" w:line="152" w:lineRule="exact"/>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50"/>
              <w:spacing w:after="0" w:line="152"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26,594,264</w:t>
            </w:r>
          </w:p>
        </w:tc>
        <w:tc>
          <w:tcPr>
            <w:tcW w:w="3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70"/>
              <w:spacing w:after="0" w:line="152" w:lineRule="exact"/>
              <w:rPr>
                <w:sz w:val="20"/>
                <w:szCs w:val="20"/>
                <w:color w:val="auto"/>
              </w:rPr>
            </w:pPr>
            <w:r>
              <w:rPr>
                <w:rFonts w:ascii="Arial" w:cs="Arial" w:eastAsia="Arial" w:hAnsi="Arial"/>
                <w:sz w:val="14"/>
                <w:szCs w:val="14"/>
                <w:color w:val="auto"/>
              </w:rPr>
              <w:t>(591,671)</w:t>
            </w:r>
          </w:p>
        </w:tc>
        <w:tc>
          <w:tcPr>
            <w:tcW w:w="96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39</w:t>
            </w:r>
          </w:p>
        </w:tc>
        <w:tc>
          <w:tcPr>
            <w:tcW w:w="3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18,883,071</w:t>
            </w:r>
          </w:p>
        </w:tc>
        <w:tc>
          <w:tcPr>
            <w:tcW w:w="2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50"/>
              <w:spacing w:after="0" w:line="152" w:lineRule="exact"/>
              <w:rPr>
                <w:sz w:val="20"/>
                <w:szCs w:val="20"/>
                <w:color w:val="auto"/>
              </w:rPr>
            </w:pPr>
            <w:r>
              <w:rPr>
                <w:rFonts w:ascii="Arial" w:cs="Arial" w:eastAsia="Arial" w:hAnsi="Arial"/>
                <w:sz w:val="14"/>
                <w:szCs w:val="14"/>
                <w:color w:val="auto"/>
              </w:rPr>
              <w:t>(664,780)</w:t>
            </w:r>
          </w:p>
        </w:tc>
        <w:tc>
          <w:tcPr>
            <w:tcW w:w="98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36</w:t>
            </w:r>
          </w:p>
        </w:tc>
        <w:tc>
          <w:tcPr>
            <w:tcW w:w="2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0"/>
              <w:spacing w:after="0" w:line="152" w:lineRule="exact"/>
              <w:rPr>
                <w:sz w:val="20"/>
                <w:szCs w:val="20"/>
                <w:color w:val="auto"/>
              </w:rPr>
            </w:pPr>
            <w:r>
              <w:rPr>
                <w:rFonts w:ascii="Arial" w:cs="Arial" w:eastAsia="Arial" w:hAnsi="Arial"/>
                <w:sz w:val="14"/>
                <w:szCs w:val="14"/>
                <w:color w:val="auto"/>
              </w:rPr>
              <w:t>45,477,335</w:t>
            </w:r>
          </w:p>
        </w:tc>
        <w:tc>
          <w:tcPr>
            <w:tcW w:w="2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(1,256,451)</w:t>
            </w: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72" w:name="page73"/>
    <w:bookmarkEnd w:id="72"/>
    <w:p>
      <w:pPr>
        <w:jc w:val="both"/>
        <w:ind w:firstLine="608"/>
        <w:spacing w:after="0" w:line="272" w:lineRule="auto"/>
        <w:rPr>
          <w:sz w:val="20"/>
          <w:szCs w:val="20"/>
          <w:color w:val="auto"/>
        </w:rPr>
      </w:pPr>
      <w:r>
        <w:rPr>
          <w:rFonts w:ascii="Arial" w:cs="Arial" w:eastAsia="Arial" w:hAnsi="Arial"/>
          <w:sz w:val="16"/>
          <w:szCs w:val="16"/>
          <w:color w:val="auto"/>
        </w:rPr>
        <w:t>There were 159 securities at June 30, 2018 that accounted for the gross unrealized loss, none of which were deemed by us to be other than temporarily impaired. There were 75 securities at December 31, 2017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Cash Flows</w:t>
      </w:r>
    </w:p>
    <w:p>
      <w:pPr>
        <w:spacing w:after="0" w:line="158" w:lineRule="exact"/>
        <w:rPr>
          <w:sz w:val="20"/>
          <w:szCs w:val="20"/>
          <w:color w:val="auto"/>
        </w:rPr>
      </w:pPr>
    </w:p>
    <w:p>
      <w:pPr>
        <w:jc w:val="both"/>
        <w:ind w:firstLine="608"/>
        <w:spacing w:after="0" w:line="272" w:lineRule="auto"/>
        <w:rPr>
          <w:sz w:val="20"/>
          <w:szCs w:val="20"/>
          <w:color w:val="auto"/>
        </w:rPr>
      </w:pPr>
      <w:r>
        <w:rPr>
          <w:rFonts w:ascii="Arial" w:cs="Arial" w:eastAsia="Arial" w:hAnsi="Arial"/>
          <w:sz w:val="16"/>
          <w:szCs w:val="16"/>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10" w:lineRule="exact"/>
        <w:rPr>
          <w:sz w:val="20"/>
          <w:szCs w:val="20"/>
          <w:color w:val="auto"/>
        </w:rPr>
      </w:pPr>
    </w:p>
    <w:p>
      <w:pPr>
        <w:jc w:val="both"/>
        <w:ind w:firstLine="608"/>
        <w:spacing w:after="0" w:line="298" w:lineRule="auto"/>
        <w:rPr>
          <w:sz w:val="20"/>
          <w:szCs w:val="20"/>
          <w:color w:val="auto"/>
        </w:rPr>
      </w:pPr>
      <w:r>
        <w:rPr>
          <w:rFonts w:ascii="Arial" w:cs="Arial" w:eastAsia="Arial" w:hAnsi="Arial"/>
          <w:sz w:val="15"/>
          <w:szCs w:val="15"/>
          <w:color w:val="auto"/>
        </w:rPr>
        <w:t>On January 31, 2017, we closed on an underwritten public offering of 2,500,000 shares of our common stock. On February 14, 2017, we closed on the underwriters’ purchase option for an additional 192,500 shares of our common stock. The public offering price for the 2,692,500 shares sold was $12.00 per share. The aggregate net proceeds to us were approximately $30,137,000. On March 1, 2017, we used $23,000,000 of the net proceeds of the offering to contribute capital to KICO, to support its ratings upgrade plan and additional growth. The remainder of the net proceeds will be used for general corporate purposes.</w:t>
      </w:r>
    </w:p>
    <w:p>
      <w:pPr>
        <w:spacing w:after="0" w:line="93"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On December 19, 2017, we issued $30 million of our 5.50% Senior Unsecured Notes due December 30, 2022 pursuant to an underwritten public offering. The net proceeds to us were approximately $29,121,000. On December 20, 2017, we used $25,000,000 of the net proceeds from the debt offering to contribute capital to KICO, to support additional growth. The remainder of the net proceeds will be used for general corporate purposes. Interest will be payable semi-annually in arrears on June 30 and December 30 of each year, which began on June 30 2018 at the rate of 5.50% per year from December 19, 2017.</w:t>
      </w:r>
    </w:p>
    <w:p>
      <w:pPr>
        <w:spacing w:after="0" w:line="107"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For the six months ended June 30, 2018, the primary source of cash flow for our holding company was the dividends received from KICO, subject to statutory restrictions. For the six months ended June 30, 2018, KICO paid dividends of $1,600,000 to us.</w:t>
      </w:r>
    </w:p>
    <w:p>
      <w:pPr>
        <w:spacing w:after="0" w:line="91"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6"/>
          <w:szCs w:val="16"/>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Consolidated Financial Statements, – “Investments”, for eligible collateral held in a designated custodian account available for future advances. Advances are limited to 5% of KICO’s net admitted assets as of December 31, 2017 and are due and payable within one year of borrowing. The maximum allowable advance as of June 30, 2018, based on the net admitted assets as of December 31, 2017 was approximately $9,849,000. Advances are limited to the amount of available collateral, which was approximately $6,083,000 as of June 30, 2018. There were no borrowings under this facility during the six months ended June 30, 2018.</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73" w:name="page74"/>
    <w:bookmarkEnd w:id="73"/>
    <w:p>
      <w:pPr>
        <w:jc w:val="both"/>
        <w:ind w:firstLine="608"/>
        <w:spacing w:after="0" w:line="296" w:lineRule="auto"/>
        <w:rPr>
          <w:sz w:val="20"/>
          <w:szCs w:val="20"/>
          <w:color w:val="auto"/>
        </w:rPr>
      </w:pPr>
      <w:r>
        <w:rPr>
          <w:rFonts w:ascii="Arial" w:cs="Arial" w:eastAsia="Arial" w:hAnsi="Arial"/>
          <w:sz w:val="16"/>
          <w:szCs w:val="16"/>
          <w:color w:val="auto"/>
        </w:rPr>
        <w:t>As of June 30, 2018, invested assets and cash in our holding company was approximately $6,936,000. If the aforementioned sources of cash flow currently available are insufficient to cover our holding company cash requirements, we will seek to obtain additional financing.</w:t>
      </w:r>
    </w:p>
    <w:p>
      <w:pPr>
        <w:spacing w:after="0" w:line="154"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91"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Cash flow and liquidity are categorized into three sources: (1) operating activities; (2) investing activities; and (3) financing activities, which are shown in the following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Six Months Ended June 30,</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228"/>
        </w:trPr>
        <w:tc>
          <w:tcPr>
            <w:tcW w:w="8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8"/>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provided by (used in):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3"/>
        </w:trPr>
        <w:tc>
          <w:tcPr>
            <w:tcW w:w="870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5,953,098</w:t>
            </w:r>
          </w:p>
        </w:tc>
        <w:tc>
          <w:tcPr>
            <w:tcW w:w="3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7,372,859</w:t>
            </w:r>
          </w:p>
        </w:tc>
      </w:tr>
      <w:tr>
        <w:trPr>
          <w:trHeight w:val="203"/>
        </w:trPr>
        <w:tc>
          <w:tcPr>
            <w:tcW w:w="87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(31,955,368)</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(33,665,057)</w:t>
            </w:r>
          </w:p>
        </w:tc>
      </w:tr>
      <w:tr>
        <w:trPr>
          <w:trHeight w:val="208"/>
        </w:trPr>
        <w:tc>
          <w:tcPr>
            <w:tcW w:w="870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(2,991,392)</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28,605,143</w:t>
            </w:r>
          </w:p>
        </w:tc>
      </w:tr>
      <w:tr>
        <w:trPr>
          <w:trHeight w:val="20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(28,993,662)</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2,312,945</w:t>
            </w:r>
          </w:p>
        </w:tc>
      </w:tr>
      <w:tr>
        <w:trPr>
          <w:trHeight w:val="208"/>
        </w:trPr>
        <w:tc>
          <w:tcPr>
            <w:tcW w:w="87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48,381,633</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12,044,520</w:t>
            </w:r>
          </w:p>
        </w:tc>
      </w:tr>
      <w:tr>
        <w:trPr>
          <w:trHeight w:val="24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19,387,971</w:t>
            </w:r>
          </w:p>
        </w:tc>
        <w:tc>
          <w:tcPr>
            <w:tcW w:w="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14,357,465</w:t>
            </w:r>
          </w:p>
        </w:tc>
      </w:tr>
    </w:tbl>
    <w:p>
      <w:pPr>
        <w:spacing w:after="0" w:line="194" w:lineRule="exact"/>
        <w:rPr>
          <w:sz w:val="20"/>
          <w:szCs w:val="20"/>
          <w:color w:val="auto"/>
        </w:rPr>
      </w:pPr>
    </w:p>
    <w:p>
      <w:pPr>
        <w:jc w:val="both"/>
        <w:ind w:firstLine="608"/>
        <w:spacing w:after="0" w:line="307" w:lineRule="auto"/>
        <w:rPr>
          <w:sz w:val="20"/>
          <w:szCs w:val="20"/>
          <w:color w:val="auto"/>
        </w:rPr>
      </w:pPr>
      <w:r>
        <w:rPr>
          <w:rFonts w:ascii="Arial" w:cs="Arial" w:eastAsia="Arial" w:hAnsi="Arial"/>
          <w:sz w:val="15"/>
          <w:szCs w:val="15"/>
          <w:color w:val="auto"/>
        </w:rPr>
        <w:t>Net cash provided by operating activities was $5,953,000 in 2018 as compared to $7,373,000 in 2017. The $1,420,000 decrease in cash flows provided by operating activities in 2018 was primarily a result of a decrease in net income (adjusted for non-cash items) of $2,775,000, partially offset by an increase in cash arising from net fluctuations in assets and liabilities relating to operating activities of KICO as affected by the growth in its operations which are described above.</w:t>
      </w:r>
    </w:p>
    <w:p>
      <w:pPr>
        <w:spacing w:after="0" w:line="85"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Net cash used in investing activities was $31,955,000 in 2018 compared to $33,665,000 in 2017. The $1,710,000 decrease in net cash used in investing activities was the result of a $13,189,000 increase in sales or maturities of invested assets, which offset the $11,433,000 increase in acquisitions of invested assets and the $46,000 increase in fixed asset acquisitions in 2018.</w:t>
      </w:r>
    </w:p>
    <w:p>
      <w:pPr>
        <w:spacing w:after="0" w:line="103" w:lineRule="exact"/>
        <w:rPr>
          <w:sz w:val="20"/>
          <w:szCs w:val="20"/>
          <w:color w:val="auto"/>
        </w:rPr>
      </w:pPr>
    </w:p>
    <w:p>
      <w:pPr>
        <w:jc w:val="both"/>
        <w:ind w:firstLine="608"/>
        <w:spacing w:after="0" w:line="332" w:lineRule="auto"/>
        <w:rPr>
          <w:sz w:val="20"/>
          <w:szCs w:val="20"/>
          <w:color w:val="auto"/>
        </w:rPr>
      </w:pPr>
      <w:r>
        <w:rPr>
          <w:rFonts w:ascii="Arial" w:cs="Arial" w:eastAsia="Arial" w:hAnsi="Arial"/>
          <w:sz w:val="15"/>
          <w:szCs w:val="15"/>
          <w:color w:val="auto"/>
        </w:rPr>
        <w:t>Net cash used in financing activities was $2,991,000 in 2018 compared to $28,605,000 provided in 2017. The $31,596,000 decrease in net cash provided by financing activities was the result of the $30,137,000 net proceeds we received from the public offering of our common stock in January/February 2017.</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Reinsurance</w:t>
      </w:r>
    </w:p>
    <w:p>
      <w:pPr>
        <w:spacing w:after="0" w:line="162"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Our quota share reinsurance treaties are on a July 1 through June 30 fiscal year basis; therefore, for year to date fiscal periods after June 30, two separate treaties will be included in such periods.</w:t>
      </w:r>
    </w:p>
    <w:p>
      <w:pPr>
        <w:spacing w:after="0" w:line="154"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Our quota share reinsurance treaty in effect for 2018 for our personal lines business, which primarily consists of homeowners policies, was covered under the 2017/2019 Treaty. Our quota share reinsurance treaty in effect for 2017 for our personal lines business, which primarily consists of homeowners policies, was covered under the 2016/2017 Treaty.</w:t>
      </w:r>
    </w:p>
    <w:p>
      <w:pPr>
        <w:spacing w:after="0" w:line="167"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In March 2017, we bound our personal lines quota share reinsurance treaty effective July 1, 2017. The treaty provides for a reduction in the quota share ceding rate to 20%, from the 40% in the 2016/2017 Treaty, and an increase in the provisional ceding commission rate to 53%, from the 52% in the 2016/2017 Treaty. The 2017/2019 Treaty covers a two year period from July 1, 2017 through June 30, 2019.</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74" w:name="page75"/>
    <w:bookmarkEnd w:id="74"/>
    <w:p>
      <w:pPr>
        <w:ind w:firstLine="608"/>
        <w:spacing w:after="0" w:line="296" w:lineRule="auto"/>
        <w:rPr>
          <w:sz w:val="20"/>
          <w:szCs w:val="20"/>
          <w:color w:val="auto"/>
        </w:rPr>
      </w:pPr>
      <w:r>
        <w:rPr>
          <w:rFonts w:ascii="Arial" w:cs="Arial" w:eastAsia="Arial" w:hAnsi="Arial"/>
          <w:sz w:val="16"/>
          <w:szCs w:val="16"/>
          <w:color w:val="auto"/>
        </w:rPr>
        <w:t>We entered into new excess of loss and catastrophe reinsurance treaties effective July 1, 2018. Material terms for our reinsurance treaties in effect for the treaty years shown below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1"/>
              </w:rPr>
              <w:t>Treaty Year</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45"/>
        </w:trPr>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center"/>
              <w:ind w:right="199"/>
              <w:spacing w:after="0"/>
              <w:rPr>
                <w:sz w:val="20"/>
                <w:szCs w:val="20"/>
                <w:color w:val="auto"/>
              </w:rPr>
            </w:pPr>
            <w:r>
              <w:rPr>
                <w:rFonts w:ascii="Arial" w:cs="Arial" w:eastAsia="Arial" w:hAnsi="Arial"/>
                <w:sz w:val="14"/>
                <w:szCs w:val="14"/>
                <w:b w:val="1"/>
                <w:bCs w:val="1"/>
                <w:color w:val="auto"/>
                <w:w w:val="88"/>
              </w:rPr>
              <w:t>July 1, 2018</w:t>
            </w:r>
          </w:p>
        </w:tc>
        <w:tc>
          <w:tcPr>
            <w:tcW w:w="160" w:type="dxa"/>
            <w:vAlign w:val="bottom"/>
          </w:tcPr>
          <w:p>
            <w:pPr>
              <w:spacing w:after="0"/>
              <w:rPr>
                <w:sz w:val="21"/>
                <w:szCs w:val="21"/>
                <w:color w:val="auto"/>
              </w:rPr>
            </w:pPr>
          </w:p>
        </w:tc>
        <w:tc>
          <w:tcPr>
            <w:tcW w:w="1200" w:type="dxa"/>
            <w:vAlign w:val="bottom"/>
          </w:tcPr>
          <w:p>
            <w:pPr>
              <w:jc w:val="center"/>
              <w:ind w:right="219"/>
              <w:spacing w:after="0"/>
              <w:rPr>
                <w:sz w:val="20"/>
                <w:szCs w:val="20"/>
                <w:color w:val="auto"/>
              </w:rPr>
            </w:pPr>
            <w:r>
              <w:rPr>
                <w:rFonts w:ascii="Arial" w:cs="Arial" w:eastAsia="Arial" w:hAnsi="Arial"/>
                <w:sz w:val="14"/>
                <w:szCs w:val="14"/>
                <w:b w:val="1"/>
                <w:bCs w:val="1"/>
                <w:color w:val="auto"/>
                <w:w w:val="88"/>
              </w:rPr>
              <w:t>July 1, 2017</w:t>
            </w:r>
          </w:p>
        </w:tc>
        <w:tc>
          <w:tcPr>
            <w:tcW w:w="160" w:type="dxa"/>
            <w:vAlign w:val="bottom"/>
          </w:tcPr>
          <w:p>
            <w:pPr>
              <w:spacing w:after="0"/>
              <w:rPr>
                <w:sz w:val="21"/>
                <w:szCs w:val="21"/>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July 1, 2016</w:t>
            </w:r>
          </w:p>
        </w:tc>
      </w:tr>
      <w:tr>
        <w:trPr>
          <w:trHeight w:val="228"/>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219"/>
              <w:spacing w:after="0"/>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0"/>
              </w:rPr>
              <w:t>to</w:t>
            </w:r>
          </w:p>
        </w:tc>
        <w:tc>
          <w:tcPr>
            <w:tcW w:w="160" w:type="dxa"/>
            <w:vAlign w:val="bottom"/>
          </w:tcPr>
          <w:p>
            <w:pPr>
              <w:spacing w:after="0"/>
              <w:rPr>
                <w:sz w:val="19"/>
                <w:szCs w:val="19"/>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to</w:t>
            </w:r>
          </w:p>
        </w:tc>
      </w:tr>
      <w:tr>
        <w:trPr>
          <w:trHeight w:val="217"/>
        </w:trPr>
        <w:tc>
          <w:tcPr>
            <w:tcW w:w="7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Line of Busines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0"/>
              </w:rPr>
              <w:t>June 30, 2019</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7"/>
              </w:rPr>
              <w:t>June 30, 2018</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7"/>
              </w:rPr>
              <w:t>June 30, 2017</w:t>
            </w:r>
          </w:p>
        </w:tc>
      </w:tr>
      <w:tr>
        <w:trPr>
          <w:trHeight w:val="228"/>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0"/>
        </w:trPr>
        <w:tc>
          <w:tcPr>
            <w:tcW w:w="73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Personal Lines: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38"/>
        </w:trPr>
        <w:tc>
          <w:tcPr>
            <w:tcW w:w="102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r>
        <w:trPr>
          <w:trHeight w:val="227"/>
        </w:trPr>
        <w:tc>
          <w:tcPr>
            <w:tcW w:w="7320" w:type="dxa"/>
            <w:vAlign w:val="bottom"/>
            <w:gridSpan w:val="4"/>
          </w:tcPr>
          <w:p>
            <w:pPr>
              <w:spacing w:after="0"/>
              <w:rPr>
                <w:sz w:val="20"/>
                <w:szCs w:val="20"/>
                <w:color w:val="auto"/>
              </w:rPr>
            </w:pPr>
            <w:r>
              <w:rPr>
                <w:rFonts w:ascii="Arial" w:cs="Arial" w:eastAsia="Arial" w:hAnsi="Arial"/>
                <w:sz w:val="16"/>
                <w:szCs w:val="16"/>
                <w:color w:val="auto"/>
              </w:rPr>
              <w:t>Homeowners, dwelling fire and canine legal liability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3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Quota share treaty: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3"/>
        </w:trPr>
        <w:tc>
          <w:tcPr>
            <w:tcW w:w="7320" w:type="dxa"/>
            <w:vAlign w:val="bottom"/>
            <w:gridSpan w:val="4"/>
          </w:tcPr>
          <w:p>
            <w:pPr>
              <w:ind w:left="600"/>
              <w:spacing w:after="0"/>
              <w:rPr>
                <w:sz w:val="20"/>
                <w:szCs w:val="20"/>
                <w:color w:val="auto"/>
              </w:rPr>
            </w:pPr>
            <w:r>
              <w:rPr>
                <w:rFonts w:ascii="Arial" w:cs="Arial" w:eastAsia="Arial" w:hAnsi="Arial"/>
                <w:sz w:val="16"/>
                <w:szCs w:val="16"/>
                <w:color w:val="auto"/>
              </w:rPr>
              <w:t>Percent ceded</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03"/>
        </w:trPr>
        <w:tc>
          <w:tcPr>
            <w:tcW w:w="7320" w:type="dxa"/>
            <w:vAlign w:val="bottom"/>
            <w:gridSpan w:val="4"/>
            <w:shd w:val="clear" w:color="auto" w:fill="CCEEFF"/>
          </w:tcPr>
          <w:p>
            <w:pPr>
              <w:ind w:left="600"/>
              <w:spacing w:after="0"/>
              <w:rPr>
                <w:sz w:val="20"/>
                <w:szCs w:val="20"/>
                <w:color w:val="auto"/>
              </w:rPr>
            </w:pPr>
            <w:r>
              <w:rPr>
                <w:rFonts w:ascii="Arial" w:cs="Arial" w:eastAsia="Arial" w:hAnsi="Arial"/>
                <w:sz w:val="16"/>
                <w:szCs w:val="16"/>
                <w:color w:val="auto"/>
              </w:rPr>
              <w:t>Risk retained</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500,000</w:t>
            </w:r>
          </w:p>
        </w:tc>
      </w:tr>
      <w:tr>
        <w:trPr>
          <w:trHeight w:val="203"/>
        </w:trPr>
        <w:tc>
          <w:tcPr>
            <w:tcW w:w="7320" w:type="dxa"/>
            <w:vAlign w:val="bottom"/>
            <w:gridSpan w:val="4"/>
          </w:tcPr>
          <w:p>
            <w:pPr>
              <w:ind w:left="60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833,333</w:t>
            </w:r>
          </w:p>
        </w:tc>
      </w:tr>
      <w:tr>
        <w:trPr>
          <w:trHeight w:val="203"/>
        </w:trPr>
        <w:tc>
          <w:tcPr>
            <w:tcW w:w="73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Excess of loss coverage and facultative facility above quota share coverage (1)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3,666,667</w:t>
            </w:r>
          </w:p>
        </w:tc>
      </w:tr>
      <w:tr>
        <w:trPr>
          <w:trHeight w:val="227"/>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59"/>
              <w:spacing w:after="0"/>
              <w:rPr>
                <w:sz w:val="20"/>
                <w:szCs w:val="20"/>
                <w:color w:val="auto"/>
              </w:rPr>
            </w:pPr>
            <w:r>
              <w:rPr>
                <w:rFonts w:ascii="Arial" w:cs="Arial" w:eastAsia="Arial" w:hAnsi="Arial"/>
                <w:sz w:val="16"/>
                <w:szCs w:val="16"/>
                <w:color w:val="auto"/>
              </w:rPr>
              <w:t>in excess of</w:t>
            </w:r>
          </w:p>
        </w:tc>
        <w:tc>
          <w:tcPr>
            <w:tcW w:w="16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color w:val="auto"/>
                <w:w w:val="92"/>
              </w:rPr>
              <w:t>in excess of</w:t>
            </w:r>
          </w:p>
        </w:tc>
        <w:tc>
          <w:tcPr>
            <w:tcW w:w="160" w:type="dxa"/>
            <w:vAlign w:val="bottom"/>
          </w:tcPr>
          <w:p>
            <w:pPr>
              <w:spacing w:after="0"/>
              <w:rPr>
                <w:sz w:val="19"/>
                <w:szCs w:val="19"/>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in excess of</w:t>
            </w:r>
          </w:p>
        </w:tc>
      </w:tr>
      <w:tr>
        <w:trPr>
          <w:trHeight w:val="204"/>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833,333</w:t>
            </w:r>
          </w:p>
        </w:tc>
      </w:tr>
      <w:tr>
        <w:trPr>
          <w:trHeight w:val="203"/>
        </w:trPr>
        <w:tc>
          <w:tcPr>
            <w:tcW w:w="7320" w:type="dxa"/>
            <w:vAlign w:val="bottom"/>
            <w:gridSpan w:val="4"/>
          </w:tcPr>
          <w:p>
            <w:pPr>
              <w:ind w:left="160"/>
              <w:spacing w:after="0"/>
              <w:rPr>
                <w:sz w:val="20"/>
                <w:szCs w:val="20"/>
                <w:color w:val="auto"/>
              </w:rPr>
            </w:pPr>
            <w:r>
              <w:rPr>
                <w:rFonts w:ascii="Arial" w:cs="Arial" w:eastAsia="Arial" w:hAnsi="Arial"/>
                <w:sz w:val="16"/>
                <w:szCs w:val="16"/>
                <w:color w:val="auto"/>
              </w:rPr>
              <w:t>Total reinsurance coverage per occurrence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9,200,000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9,200,000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4,000,000</w:t>
            </w:r>
          </w:p>
        </w:tc>
      </w:tr>
      <w:tr>
        <w:trPr>
          <w:trHeight w:val="203"/>
        </w:trPr>
        <w:tc>
          <w:tcPr>
            <w:tcW w:w="73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Losses per occurrence subject to reinsurance coverage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4,500,000</w:t>
            </w:r>
          </w:p>
        </w:tc>
      </w:tr>
      <w:tr>
        <w:trPr>
          <w:trHeight w:val="203"/>
        </w:trPr>
        <w:tc>
          <w:tcPr>
            <w:tcW w:w="7320" w:type="dxa"/>
            <w:vAlign w:val="bottom"/>
            <w:gridSpan w:val="4"/>
          </w:tcPr>
          <w:p>
            <w:pPr>
              <w:ind w:left="160"/>
              <w:spacing w:after="0"/>
              <w:rPr>
                <w:sz w:val="20"/>
                <w:szCs w:val="20"/>
                <w:color w:val="auto"/>
              </w:rPr>
            </w:pPr>
            <w:r>
              <w:rPr>
                <w:rFonts w:ascii="Arial" w:cs="Arial" w:eastAsia="Arial" w:hAnsi="Arial"/>
                <w:sz w:val="16"/>
                <w:szCs w:val="16"/>
                <w:color w:val="auto"/>
              </w:rPr>
              <w:t>Expiration date</w:t>
            </w:r>
          </w:p>
        </w:tc>
        <w:tc>
          <w:tcPr>
            <w:tcW w:w="220" w:type="dxa"/>
            <w:vAlign w:val="bottom"/>
          </w:tcPr>
          <w:p>
            <w:pPr>
              <w:spacing w:after="0"/>
              <w:rPr>
                <w:sz w:val="17"/>
                <w:szCs w:val="17"/>
                <w:color w:val="auto"/>
              </w:rPr>
            </w:pPr>
          </w:p>
        </w:tc>
        <w:tc>
          <w:tcPr>
            <w:tcW w:w="1220" w:type="dxa"/>
            <w:vAlign w:val="bottom"/>
          </w:tcPr>
          <w:p>
            <w:pPr>
              <w:jc w:val="center"/>
              <w:ind w:right="219"/>
              <w:spacing w:after="0"/>
              <w:rPr>
                <w:sz w:val="20"/>
                <w:szCs w:val="20"/>
                <w:color w:val="auto"/>
              </w:rPr>
            </w:pPr>
            <w:r>
              <w:rPr>
                <w:rFonts w:ascii="Arial" w:cs="Arial" w:eastAsia="Arial" w:hAnsi="Arial"/>
                <w:sz w:val="16"/>
                <w:szCs w:val="16"/>
                <w:color w:val="auto"/>
                <w:w w:val="90"/>
              </w:rPr>
              <w:t>June 30, 2019</w:t>
            </w:r>
          </w:p>
        </w:tc>
        <w:tc>
          <w:tcPr>
            <w:tcW w:w="160" w:type="dxa"/>
            <w:vAlign w:val="bottom"/>
          </w:tcPr>
          <w:p>
            <w:pPr>
              <w:spacing w:after="0"/>
              <w:rPr>
                <w:sz w:val="17"/>
                <w:szCs w:val="17"/>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90"/>
              </w:rPr>
              <w:t>June 30, 2019</w:t>
            </w:r>
          </w:p>
        </w:tc>
        <w:tc>
          <w:tcPr>
            <w:tcW w:w="16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color w:val="auto"/>
                <w:w w:val="90"/>
              </w:rPr>
              <w:t>June 30, 2017</w:t>
            </w:r>
          </w:p>
        </w:tc>
      </w:tr>
      <w:tr>
        <w:trPr>
          <w:trHeight w:val="203"/>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7320" w:type="dxa"/>
            <w:vAlign w:val="bottom"/>
            <w:gridSpan w:val="4"/>
          </w:tcPr>
          <w:p>
            <w:pPr>
              <w:ind w:left="40"/>
              <w:spacing w:after="0"/>
              <w:rPr>
                <w:sz w:val="20"/>
                <w:szCs w:val="20"/>
                <w:color w:val="auto"/>
              </w:rPr>
            </w:pPr>
            <w:r>
              <w:rPr>
                <w:rFonts w:ascii="Arial" w:cs="Arial" w:eastAsia="Arial" w:hAnsi="Arial"/>
                <w:sz w:val="16"/>
                <w:szCs w:val="16"/>
                <w:color w:val="auto"/>
              </w:rPr>
              <w:t>Personal Umbrella</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Quota share treaty:</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7320" w:type="dxa"/>
            <w:vAlign w:val="bottom"/>
            <w:gridSpan w:val="4"/>
          </w:tcPr>
          <w:p>
            <w:pPr>
              <w:ind w:left="600"/>
              <w:spacing w:after="0"/>
              <w:rPr>
                <w:sz w:val="20"/>
                <w:szCs w:val="20"/>
                <w:color w:val="auto"/>
              </w:rPr>
            </w:pPr>
            <w:r>
              <w:rPr>
                <w:rFonts w:ascii="Arial" w:cs="Arial" w:eastAsia="Arial" w:hAnsi="Arial"/>
                <w:sz w:val="16"/>
                <w:szCs w:val="16"/>
                <w:color w:val="auto"/>
              </w:rPr>
              <w:t>Percent ceded - first $1,000,000 of coverage</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03"/>
        </w:trPr>
        <w:tc>
          <w:tcPr>
            <w:tcW w:w="7320" w:type="dxa"/>
            <w:vAlign w:val="bottom"/>
            <w:gridSpan w:val="4"/>
            <w:shd w:val="clear" w:color="auto" w:fill="CCEEFF"/>
          </w:tcPr>
          <w:p>
            <w:pPr>
              <w:ind w:left="600"/>
              <w:spacing w:after="0"/>
              <w:rPr>
                <w:sz w:val="20"/>
                <w:szCs w:val="20"/>
                <w:color w:val="auto"/>
              </w:rPr>
            </w:pPr>
            <w:r>
              <w:rPr>
                <w:rFonts w:ascii="Arial" w:cs="Arial" w:eastAsia="Arial" w:hAnsi="Arial"/>
                <w:sz w:val="16"/>
                <w:szCs w:val="16"/>
                <w:color w:val="auto"/>
              </w:rPr>
              <w:t>Percent ceded - excess of $1,000,000 dollars of coverage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3"/>
        </w:trPr>
        <w:tc>
          <w:tcPr>
            <w:tcW w:w="7320" w:type="dxa"/>
            <w:vAlign w:val="bottom"/>
            <w:gridSpan w:val="4"/>
          </w:tcPr>
          <w:p>
            <w:pPr>
              <w:ind w:left="600"/>
              <w:spacing w:after="0"/>
              <w:rPr>
                <w:sz w:val="20"/>
                <w:szCs w:val="20"/>
                <w:color w:val="auto"/>
              </w:rPr>
            </w:pPr>
            <w:r>
              <w:rPr>
                <w:rFonts w:ascii="Arial" w:cs="Arial" w:eastAsia="Arial" w:hAnsi="Arial"/>
                <w:sz w:val="16"/>
                <w:szCs w:val="16"/>
                <w:color w:val="auto"/>
              </w:rPr>
              <w:t>Risk retained</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100,000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100,000</w:t>
            </w:r>
          </w:p>
        </w:tc>
      </w:tr>
      <w:tr>
        <w:trPr>
          <w:trHeight w:val="203"/>
        </w:trPr>
        <w:tc>
          <w:tcPr>
            <w:tcW w:w="7320" w:type="dxa"/>
            <w:vAlign w:val="bottom"/>
            <w:gridSpan w:val="4"/>
            <w:shd w:val="clear" w:color="auto" w:fill="CCEEFF"/>
          </w:tcPr>
          <w:p>
            <w:pPr>
              <w:ind w:left="600"/>
              <w:spacing w:after="0"/>
              <w:rPr>
                <w:sz w:val="20"/>
                <w:szCs w:val="20"/>
                <w:color w:val="auto"/>
              </w:rPr>
            </w:pPr>
            <w:r>
              <w:rPr>
                <w:rFonts w:ascii="Arial" w:cs="Arial" w:eastAsia="Arial" w:hAnsi="Arial"/>
                <w:sz w:val="16"/>
                <w:szCs w:val="16"/>
                <w:color w:val="auto"/>
              </w:rPr>
              <w:t>Total reinsurance coverage per occurrence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4,900,000</w:t>
            </w:r>
          </w:p>
        </w:tc>
      </w:tr>
      <w:tr>
        <w:trPr>
          <w:trHeight w:val="203"/>
        </w:trPr>
        <w:tc>
          <w:tcPr>
            <w:tcW w:w="7320" w:type="dxa"/>
            <w:vAlign w:val="bottom"/>
            <w:gridSpan w:val="4"/>
          </w:tcPr>
          <w:p>
            <w:pPr>
              <w:ind w:left="60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5,000,000</w:t>
            </w:r>
          </w:p>
        </w:tc>
      </w:tr>
      <w:tr>
        <w:trPr>
          <w:trHeight w:val="228"/>
        </w:trPr>
        <w:tc>
          <w:tcPr>
            <w:tcW w:w="73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Expiration date</w:t>
            </w:r>
          </w:p>
        </w:tc>
        <w:tc>
          <w:tcPr>
            <w:tcW w:w="1440" w:type="dxa"/>
            <w:vAlign w:val="bottom"/>
            <w:gridSpan w:val="2"/>
            <w:shd w:val="clear" w:color="auto" w:fill="CCEEFF"/>
          </w:tcPr>
          <w:p>
            <w:pPr>
              <w:jc w:val="center"/>
              <w:ind w:right="39"/>
              <w:spacing w:after="0"/>
              <w:rPr>
                <w:sz w:val="20"/>
                <w:szCs w:val="20"/>
                <w:color w:val="auto"/>
              </w:rPr>
            </w:pPr>
            <w:r>
              <w:rPr>
                <w:rFonts w:ascii="Arial" w:cs="Arial" w:eastAsia="Arial" w:hAnsi="Arial"/>
                <w:sz w:val="16"/>
                <w:szCs w:val="16"/>
                <w:color w:val="auto"/>
                <w:w w:val="90"/>
              </w:rPr>
              <w:t>June 30, 2019</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0"/>
              </w:rPr>
              <w:t>June 30, 2018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0"/>
              </w:rPr>
              <w:t>June 30, 2017</w:t>
            </w: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65"/>
        </w:trPr>
        <w:tc>
          <w:tcPr>
            <w:tcW w:w="7320" w:type="dxa"/>
            <w:vAlign w:val="bottom"/>
            <w:gridSpan w:val="4"/>
            <w:shd w:val="clear" w:color="auto" w:fill="CCEEFF"/>
          </w:tcPr>
          <w:p>
            <w:pPr>
              <w:spacing w:after="0" w:line="165" w:lineRule="exact"/>
              <w:rPr>
                <w:sz w:val="20"/>
                <w:szCs w:val="20"/>
                <w:color w:val="auto"/>
              </w:rPr>
            </w:pPr>
            <w:r>
              <w:rPr>
                <w:rFonts w:ascii="Arial" w:cs="Arial" w:eastAsia="Arial" w:hAnsi="Arial"/>
                <w:sz w:val="16"/>
                <w:szCs w:val="16"/>
                <w:color w:val="auto"/>
              </w:rPr>
              <w:t>Commercial Lines:</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38"/>
        </w:trPr>
        <w:tc>
          <w:tcPr>
            <w:tcW w:w="102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6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r>
        <w:trPr>
          <w:trHeight w:val="203"/>
        </w:trPr>
        <w:tc>
          <w:tcPr>
            <w:tcW w:w="7320" w:type="dxa"/>
            <w:vAlign w:val="bottom"/>
            <w:gridSpan w:val="4"/>
          </w:tcPr>
          <w:p>
            <w:pPr>
              <w:ind w:left="40"/>
              <w:spacing w:after="0"/>
              <w:rPr>
                <w:sz w:val="20"/>
                <w:szCs w:val="20"/>
                <w:color w:val="auto"/>
              </w:rPr>
            </w:pPr>
            <w:r>
              <w:rPr>
                <w:rFonts w:ascii="Arial" w:cs="Arial" w:eastAsia="Arial" w:hAnsi="Arial"/>
                <w:sz w:val="16"/>
                <w:szCs w:val="16"/>
                <w:color w:val="auto"/>
              </w:rPr>
              <w:t>General liability commercial policies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8"/>
        </w:trPr>
        <w:tc>
          <w:tcPr>
            <w:tcW w:w="73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Quota share treaty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259"/>
              <w:spacing w:after="0"/>
              <w:rPr>
                <w:sz w:val="20"/>
                <w:szCs w:val="20"/>
                <w:color w:val="auto"/>
              </w:rPr>
            </w:pPr>
            <w:r>
              <w:rPr>
                <w:rFonts w:ascii="Arial" w:cs="Arial" w:eastAsia="Arial" w:hAnsi="Arial"/>
                <w:sz w:val="16"/>
                <w:szCs w:val="16"/>
                <w:color w:val="auto"/>
                <w:w w:val="94"/>
              </w:rPr>
              <w:t>None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4"/>
              </w:rPr>
              <w:t>None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w w:val="94"/>
              </w:rPr>
              <w:t>None</w:t>
            </w:r>
          </w:p>
        </w:tc>
      </w:tr>
      <w:tr>
        <w:trPr>
          <w:trHeight w:val="203"/>
        </w:trPr>
        <w:tc>
          <w:tcPr>
            <w:tcW w:w="7320" w:type="dxa"/>
            <w:vAlign w:val="bottom"/>
            <w:gridSpan w:val="4"/>
          </w:tcPr>
          <w:p>
            <w:pPr>
              <w:ind w:left="160"/>
              <w:spacing w:after="0"/>
              <w:rPr>
                <w:sz w:val="20"/>
                <w:szCs w:val="20"/>
                <w:color w:val="auto"/>
              </w:rPr>
            </w:pPr>
            <w:r>
              <w:rPr>
                <w:rFonts w:ascii="Arial" w:cs="Arial" w:eastAsia="Arial" w:hAnsi="Arial"/>
                <w:sz w:val="16"/>
                <w:szCs w:val="16"/>
                <w:color w:val="auto"/>
              </w:rPr>
              <w:t>Risk retained</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750,000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750,000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500,000</w:t>
            </w:r>
          </w:p>
        </w:tc>
      </w:tr>
      <w:tr>
        <w:trPr>
          <w:trHeight w:val="203"/>
        </w:trPr>
        <w:tc>
          <w:tcPr>
            <w:tcW w:w="73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Excess of loss coverage above risk retained</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3,750,000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3,750,000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4,000,000</w:t>
            </w:r>
          </w:p>
        </w:tc>
      </w:tr>
      <w:tr>
        <w:trPr>
          <w:trHeight w:val="227"/>
        </w:trPr>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right="199"/>
              <w:spacing w:after="0"/>
              <w:rPr>
                <w:sz w:val="20"/>
                <w:szCs w:val="20"/>
                <w:color w:val="auto"/>
              </w:rPr>
            </w:pPr>
            <w:r>
              <w:rPr>
                <w:rFonts w:ascii="Arial" w:cs="Arial" w:eastAsia="Arial" w:hAnsi="Arial"/>
                <w:sz w:val="16"/>
                <w:szCs w:val="16"/>
                <w:color w:val="auto"/>
                <w:w w:val="92"/>
              </w:rPr>
              <w:t>in excess of</w:t>
            </w:r>
          </w:p>
        </w:tc>
        <w:tc>
          <w:tcPr>
            <w:tcW w:w="160" w:type="dxa"/>
            <w:vAlign w:val="bottom"/>
          </w:tcPr>
          <w:p>
            <w:pPr>
              <w:spacing w:after="0"/>
              <w:rPr>
                <w:sz w:val="19"/>
                <w:szCs w:val="19"/>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color w:val="auto"/>
                <w:w w:val="92"/>
              </w:rPr>
              <w:t>in excess of</w:t>
            </w:r>
          </w:p>
        </w:tc>
        <w:tc>
          <w:tcPr>
            <w:tcW w:w="160" w:type="dxa"/>
            <w:vAlign w:val="bottom"/>
          </w:tcPr>
          <w:p>
            <w:pPr>
              <w:spacing w:after="0"/>
              <w:rPr>
                <w:sz w:val="19"/>
                <w:szCs w:val="19"/>
                <w:color w:val="auto"/>
              </w:rPr>
            </w:pP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in excess of</w:t>
            </w:r>
          </w:p>
        </w:tc>
      </w:tr>
      <w:tr>
        <w:trPr>
          <w:trHeight w:val="204"/>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500,000</w:t>
            </w:r>
          </w:p>
        </w:tc>
      </w:tr>
      <w:tr>
        <w:trPr>
          <w:trHeight w:val="203"/>
        </w:trPr>
        <w:tc>
          <w:tcPr>
            <w:tcW w:w="7320" w:type="dxa"/>
            <w:vAlign w:val="bottom"/>
            <w:gridSpan w:val="4"/>
          </w:tcPr>
          <w:p>
            <w:pPr>
              <w:ind w:left="160"/>
              <w:spacing w:after="0"/>
              <w:rPr>
                <w:sz w:val="20"/>
                <w:szCs w:val="20"/>
                <w:color w:val="auto"/>
              </w:rPr>
            </w:pPr>
            <w:r>
              <w:rPr>
                <w:rFonts w:ascii="Arial" w:cs="Arial" w:eastAsia="Arial" w:hAnsi="Arial"/>
                <w:sz w:val="16"/>
                <w:szCs w:val="16"/>
                <w:color w:val="auto"/>
              </w:rPr>
              <w:t>Total reinsurance coverage per occurrence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3,750,000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3,750,000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4,000,000</w:t>
            </w:r>
          </w:p>
        </w:tc>
      </w:tr>
      <w:tr>
        <w:trPr>
          <w:trHeight w:val="203"/>
        </w:trPr>
        <w:tc>
          <w:tcPr>
            <w:tcW w:w="73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Losses per occurrence subject to reinsurance coverage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4,500,000</w:t>
            </w:r>
          </w:p>
        </w:tc>
      </w:tr>
      <w:tr>
        <w:trPr>
          <w:trHeight w:val="203"/>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Commercial Umbrella</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3"/>
        </w:trPr>
        <w:tc>
          <w:tcPr>
            <w:tcW w:w="7320" w:type="dxa"/>
            <w:vAlign w:val="bottom"/>
            <w:gridSpan w:val="4"/>
          </w:tcPr>
          <w:p>
            <w:pPr>
              <w:ind w:left="160"/>
              <w:spacing w:after="0"/>
              <w:rPr>
                <w:sz w:val="20"/>
                <w:szCs w:val="20"/>
                <w:color w:val="auto"/>
              </w:rPr>
            </w:pPr>
            <w:r>
              <w:rPr>
                <w:rFonts w:ascii="Arial" w:cs="Arial" w:eastAsia="Arial" w:hAnsi="Arial"/>
                <w:sz w:val="16"/>
                <w:szCs w:val="16"/>
                <w:color w:val="auto"/>
              </w:rPr>
              <w:t>Quota share treaty:</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7320" w:type="dxa"/>
            <w:vAlign w:val="bottom"/>
            <w:gridSpan w:val="4"/>
            <w:shd w:val="clear" w:color="auto" w:fill="CCEEFF"/>
          </w:tcPr>
          <w:p>
            <w:pPr>
              <w:ind w:left="600"/>
              <w:spacing w:after="0"/>
              <w:rPr>
                <w:sz w:val="20"/>
                <w:szCs w:val="20"/>
                <w:color w:val="auto"/>
              </w:rPr>
            </w:pPr>
            <w:r>
              <w:rPr>
                <w:rFonts w:ascii="Arial" w:cs="Arial" w:eastAsia="Arial" w:hAnsi="Arial"/>
                <w:sz w:val="16"/>
                <w:szCs w:val="16"/>
                <w:color w:val="auto"/>
              </w:rPr>
              <w:t>Percent ceded - first $1,000,000 of coverage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3"/>
        </w:trPr>
        <w:tc>
          <w:tcPr>
            <w:tcW w:w="7320" w:type="dxa"/>
            <w:vAlign w:val="bottom"/>
            <w:gridSpan w:val="4"/>
          </w:tcPr>
          <w:p>
            <w:pPr>
              <w:ind w:left="600"/>
              <w:spacing w:after="0"/>
              <w:rPr>
                <w:sz w:val="20"/>
                <w:szCs w:val="20"/>
                <w:color w:val="auto"/>
              </w:rPr>
            </w:pPr>
            <w:r>
              <w:rPr>
                <w:rFonts w:ascii="Arial" w:cs="Arial" w:eastAsia="Arial" w:hAnsi="Arial"/>
                <w:sz w:val="16"/>
                <w:szCs w:val="16"/>
                <w:color w:val="auto"/>
              </w:rPr>
              <w:t>Percent ceded - excess of $1,000,000 of coverage</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03"/>
        </w:trPr>
        <w:tc>
          <w:tcPr>
            <w:tcW w:w="7320" w:type="dxa"/>
            <w:vAlign w:val="bottom"/>
            <w:gridSpan w:val="4"/>
            <w:shd w:val="clear" w:color="auto" w:fill="CCEEFF"/>
          </w:tcPr>
          <w:p>
            <w:pPr>
              <w:ind w:left="600"/>
              <w:spacing w:after="0"/>
              <w:rPr>
                <w:sz w:val="20"/>
                <w:szCs w:val="20"/>
                <w:color w:val="auto"/>
              </w:rPr>
            </w:pPr>
            <w:r>
              <w:rPr>
                <w:rFonts w:ascii="Arial" w:cs="Arial" w:eastAsia="Arial" w:hAnsi="Arial"/>
                <w:sz w:val="16"/>
                <w:szCs w:val="16"/>
                <w:color w:val="auto"/>
              </w:rPr>
              <w:t>Risk retained</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100,000</w:t>
            </w:r>
          </w:p>
        </w:tc>
      </w:tr>
      <w:tr>
        <w:trPr>
          <w:trHeight w:val="203"/>
        </w:trPr>
        <w:tc>
          <w:tcPr>
            <w:tcW w:w="7320" w:type="dxa"/>
            <w:vAlign w:val="bottom"/>
            <w:gridSpan w:val="4"/>
          </w:tcPr>
          <w:p>
            <w:pPr>
              <w:ind w:left="600"/>
              <w:spacing w:after="0"/>
              <w:rPr>
                <w:sz w:val="20"/>
                <w:szCs w:val="20"/>
                <w:color w:val="auto"/>
              </w:rPr>
            </w:pPr>
            <w:r>
              <w:rPr>
                <w:rFonts w:ascii="Arial" w:cs="Arial" w:eastAsia="Arial" w:hAnsi="Arial"/>
                <w:sz w:val="16"/>
                <w:szCs w:val="16"/>
                <w:color w:val="auto"/>
              </w:rPr>
              <w:t>Total reinsurance coverage per occurrence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4,900,000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4,900,000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4,900,000</w:t>
            </w:r>
          </w:p>
        </w:tc>
      </w:tr>
      <w:tr>
        <w:trPr>
          <w:trHeight w:val="203"/>
        </w:trPr>
        <w:tc>
          <w:tcPr>
            <w:tcW w:w="7320" w:type="dxa"/>
            <w:vAlign w:val="bottom"/>
            <w:gridSpan w:val="4"/>
            <w:shd w:val="clear" w:color="auto" w:fill="CCEEFF"/>
          </w:tcPr>
          <w:p>
            <w:pPr>
              <w:ind w:left="600"/>
              <w:spacing w:after="0"/>
              <w:rPr>
                <w:sz w:val="20"/>
                <w:szCs w:val="20"/>
                <w:color w:val="auto"/>
              </w:rPr>
            </w:pPr>
            <w:r>
              <w:rPr>
                <w:rFonts w:ascii="Arial" w:cs="Arial" w:eastAsia="Arial" w:hAnsi="Arial"/>
                <w:sz w:val="16"/>
                <w:szCs w:val="16"/>
                <w:color w:val="auto"/>
              </w:rPr>
              <w:t>Losses per occurrence subject to quota share reinsurance coverage</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5,000,000</w:t>
            </w:r>
          </w:p>
        </w:tc>
      </w:tr>
      <w:tr>
        <w:trPr>
          <w:trHeight w:val="227"/>
        </w:trPr>
        <w:tc>
          <w:tcPr>
            <w:tcW w:w="7320" w:type="dxa"/>
            <w:vAlign w:val="bottom"/>
            <w:gridSpan w:val="4"/>
          </w:tcPr>
          <w:p>
            <w:pPr>
              <w:ind w:left="160"/>
              <w:spacing w:after="0"/>
              <w:rPr>
                <w:sz w:val="20"/>
                <w:szCs w:val="20"/>
                <w:color w:val="auto"/>
              </w:rPr>
            </w:pPr>
            <w:r>
              <w:rPr>
                <w:rFonts w:ascii="Arial" w:cs="Arial" w:eastAsia="Arial" w:hAnsi="Arial"/>
                <w:sz w:val="16"/>
                <w:szCs w:val="16"/>
                <w:color w:val="auto"/>
              </w:rPr>
              <w:t>Expiration date</w:t>
            </w:r>
          </w:p>
        </w:tc>
        <w:tc>
          <w:tcPr>
            <w:tcW w:w="1440" w:type="dxa"/>
            <w:vAlign w:val="bottom"/>
            <w:gridSpan w:val="2"/>
          </w:tcPr>
          <w:p>
            <w:pPr>
              <w:jc w:val="center"/>
              <w:ind w:right="39"/>
              <w:spacing w:after="0"/>
              <w:rPr>
                <w:sz w:val="20"/>
                <w:szCs w:val="20"/>
                <w:color w:val="auto"/>
              </w:rPr>
            </w:pPr>
            <w:r>
              <w:rPr>
                <w:rFonts w:ascii="Arial" w:cs="Arial" w:eastAsia="Arial" w:hAnsi="Arial"/>
                <w:sz w:val="16"/>
                <w:szCs w:val="16"/>
                <w:color w:val="auto"/>
                <w:w w:val="90"/>
              </w:rPr>
              <w:t>June 30, 2019</w:t>
            </w:r>
          </w:p>
        </w:tc>
        <w:tc>
          <w:tcPr>
            <w:tcW w:w="16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color w:val="auto"/>
                <w:w w:val="90"/>
              </w:rPr>
              <w:t>June 30, 2018</w:t>
            </w:r>
          </w:p>
        </w:tc>
        <w:tc>
          <w:tcPr>
            <w:tcW w:w="160" w:type="dxa"/>
            <w:vAlign w:val="bottom"/>
          </w:tcPr>
          <w:p>
            <w:pPr>
              <w:spacing w:after="0"/>
              <w:rPr>
                <w:sz w:val="19"/>
                <w:szCs w:val="19"/>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color w:val="auto"/>
                <w:w w:val="90"/>
              </w:rPr>
              <w:t>June 30, 2017</w:t>
            </w:r>
          </w:p>
        </w:tc>
      </w:tr>
      <w:tr>
        <w:trPr>
          <w:trHeight w:val="204"/>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65"/>
        </w:trPr>
        <w:tc>
          <w:tcPr>
            <w:tcW w:w="7320" w:type="dxa"/>
            <w:vAlign w:val="bottom"/>
            <w:gridSpan w:val="4"/>
          </w:tcPr>
          <w:p>
            <w:pPr>
              <w:spacing w:after="0" w:line="165" w:lineRule="exact"/>
              <w:rPr>
                <w:sz w:val="20"/>
                <w:szCs w:val="20"/>
                <w:color w:val="auto"/>
              </w:rPr>
            </w:pPr>
            <w:r>
              <w:rPr>
                <w:rFonts w:ascii="Arial" w:cs="Arial" w:eastAsia="Arial" w:hAnsi="Arial"/>
                <w:sz w:val="16"/>
                <w:szCs w:val="16"/>
                <w:color w:val="auto"/>
              </w:rPr>
              <w:t>Catastrophe Reinsurance:</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9"/>
        </w:trPr>
        <w:tc>
          <w:tcPr>
            <w:tcW w:w="10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73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Initial loss subject to personal lines quota share treaty</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5,000,000</w:t>
            </w:r>
          </w:p>
        </w:tc>
      </w:tr>
      <w:tr>
        <w:trPr>
          <w:trHeight w:val="203"/>
        </w:trPr>
        <w:tc>
          <w:tcPr>
            <w:tcW w:w="7320" w:type="dxa"/>
            <w:vAlign w:val="bottom"/>
            <w:gridSpan w:val="4"/>
          </w:tcPr>
          <w:p>
            <w:pPr>
              <w:ind w:left="160"/>
              <w:spacing w:after="0"/>
              <w:rPr>
                <w:sz w:val="20"/>
                <w:szCs w:val="20"/>
                <w:color w:val="auto"/>
              </w:rPr>
            </w:pPr>
            <w:r>
              <w:rPr>
                <w:rFonts w:ascii="Arial" w:cs="Arial" w:eastAsia="Arial" w:hAnsi="Arial"/>
                <w:sz w:val="16"/>
                <w:szCs w:val="16"/>
                <w:color w:val="auto"/>
              </w:rPr>
              <w:t>Risk retained per catastrophe occurrence (2)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4,000,000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4,000,000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3,000,000</w:t>
            </w:r>
          </w:p>
        </w:tc>
      </w:tr>
      <w:tr>
        <w:trPr>
          <w:trHeight w:val="203"/>
        </w:trPr>
        <w:tc>
          <w:tcPr>
            <w:tcW w:w="7320" w:type="dxa"/>
            <w:vAlign w:val="bottom"/>
            <w:gridSpan w:val="4"/>
            <w:shd w:val="clear" w:color="auto" w:fill="CCEEFF"/>
          </w:tcPr>
          <w:p>
            <w:pPr>
              <w:ind w:left="160"/>
              <w:spacing w:after="0"/>
              <w:rPr>
                <w:sz w:val="20"/>
                <w:szCs w:val="20"/>
                <w:color w:val="auto"/>
              </w:rPr>
            </w:pPr>
            <w:r>
              <w:rPr>
                <w:rFonts w:ascii="Arial" w:cs="Arial" w:eastAsia="Arial" w:hAnsi="Arial"/>
                <w:sz w:val="16"/>
                <w:szCs w:val="16"/>
                <w:color w:val="auto"/>
              </w:rPr>
              <w:t>Catastrophe loss coverage in excess of quota share coverage (3) (4)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315,000,000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247,000,000</w:t>
            </w:r>
          </w:p>
        </w:tc>
      </w:tr>
      <w:tr>
        <w:trPr>
          <w:trHeight w:val="225"/>
        </w:trPr>
        <w:tc>
          <w:tcPr>
            <w:tcW w:w="7320" w:type="dxa"/>
            <w:vAlign w:val="bottom"/>
            <w:gridSpan w:val="4"/>
          </w:tcPr>
          <w:p>
            <w:pPr>
              <w:ind w:left="160"/>
              <w:spacing w:after="0"/>
              <w:rPr>
                <w:sz w:val="20"/>
                <w:szCs w:val="20"/>
                <w:color w:val="auto"/>
              </w:rPr>
            </w:pPr>
            <w:r>
              <w:rPr>
                <w:rFonts w:ascii="Arial" w:cs="Arial" w:eastAsia="Arial" w:hAnsi="Arial"/>
                <w:sz w:val="16"/>
                <w:szCs w:val="16"/>
                <w:color w:val="auto"/>
              </w:rPr>
              <w:t>Reinstatement premium protection (5)</w:t>
            </w:r>
          </w:p>
        </w:tc>
        <w:tc>
          <w:tcPr>
            <w:tcW w:w="220" w:type="dxa"/>
            <w:vAlign w:val="bottom"/>
          </w:tcPr>
          <w:p>
            <w:pPr>
              <w:spacing w:after="0"/>
              <w:rPr>
                <w:sz w:val="19"/>
                <w:szCs w:val="19"/>
                <w:color w:val="auto"/>
              </w:rPr>
            </w:pPr>
          </w:p>
        </w:tc>
        <w:tc>
          <w:tcPr>
            <w:tcW w:w="1220" w:type="dxa"/>
            <w:vAlign w:val="bottom"/>
          </w:tcPr>
          <w:p>
            <w:pPr>
              <w:jc w:val="center"/>
              <w:ind w:right="219"/>
              <w:spacing w:after="0"/>
              <w:rPr>
                <w:sz w:val="20"/>
                <w:szCs w:val="20"/>
                <w:color w:val="auto"/>
              </w:rPr>
            </w:pPr>
            <w:r>
              <w:rPr>
                <w:rFonts w:ascii="Arial" w:cs="Arial" w:eastAsia="Arial" w:hAnsi="Arial"/>
                <w:sz w:val="16"/>
                <w:szCs w:val="16"/>
                <w:color w:val="auto"/>
                <w:w w:val="86"/>
              </w:rPr>
              <w:t>Yes</w:t>
            </w:r>
          </w:p>
        </w:tc>
        <w:tc>
          <w:tcPr>
            <w:tcW w:w="160" w:type="dxa"/>
            <w:vAlign w:val="bottom"/>
          </w:tcPr>
          <w:p>
            <w:pPr>
              <w:spacing w:after="0"/>
              <w:rPr>
                <w:sz w:val="19"/>
                <w:szCs w:val="19"/>
                <w:color w:val="auto"/>
              </w:rPr>
            </w:pPr>
          </w:p>
        </w:tc>
        <w:tc>
          <w:tcPr>
            <w:tcW w:w="1200" w:type="dxa"/>
            <w:vAlign w:val="bottom"/>
          </w:tcPr>
          <w:p>
            <w:pPr>
              <w:jc w:val="center"/>
              <w:ind w:right="159"/>
              <w:spacing w:after="0"/>
              <w:rPr>
                <w:sz w:val="20"/>
                <w:szCs w:val="20"/>
                <w:color w:val="auto"/>
              </w:rPr>
            </w:pPr>
            <w:r>
              <w:rPr>
                <w:rFonts w:ascii="Arial" w:cs="Arial" w:eastAsia="Arial" w:hAnsi="Arial"/>
                <w:sz w:val="16"/>
                <w:szCs w:val="16"/>
                <w:color w:val="auto"/>
                <w:w w:val="86"/>
              </w:rPr>
              <w:t>Yes</w:t>
            </w:r>
          </w:p>
        </w:tc>
        <w:tc>
          <w:tcPr>
            <w:tcW w:w="160" w:type="dxa"/>
            <w:vAlign w:val="bottom"/>
          </w:tcPr>
          <w:p>
            <w:pPr>
              <w:spacing w:after="0"/>
              <w:rPr>
                <w:sz w:val="19"/>
                <w:szCs w:val="19"/>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color w:val="auto"/>
                <w:w w:val="86"/>
              </w:rPr>
              <w:t>Yes</w:t>
            </w:r>
          </w:p>
        </w:tc>
      </w:tr>
    </w:tbl>
    <w:p>
      <w:pPr>
        <w:spacing w:after="0" w:line="197" w:lineRule="exact"/>
        <w:rPr>
          <w:sz w:val="20"/>
          <w:szCs w:val="20"/>
          <w:color w:val="auto"/>
        </w:rPr>
      </w:pPr>
    </w:p>
    <w:p>
      <w:pPr>
        <w:ind w:left="300" w:hanging="299"/>
        <w:spacing w:after="0" w:line="268"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personal lines, the 2017/2019 Treaty includes the addition of an automatic facultative facility allowing KICO to obtain homeowners single risk coverage up to $10,000,000 in total insured value, which covers direct losses from $3,500,000 to $10,000,000.</w:t>
      </w:r>
    </w:p>
    <w:p>
      <w:pPr>
        <w:ind w:left="300" w:hanging="299"/>
        <w:spacing w:after="0"/>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Plus losses in excess of catastrophe coverage.</w:t>
      </w:r>
    </w:p>
    <w:p>
      <w:pPr>
        <w:spacing w:after="0" w:line="18" w:lineRule="exact"/>
        <w:rPr>
          <w:rFonts w:ascii="Arial" w:cs="Arial" w:eastAsia="Arial" w:hAnsi="Arial"/>
          <w:sz w:val="16"/>
          <w:szCs w:val="16"/>
          <w:color w:val="auto"/>
        </w:rPr>
      </w:pPr>
    </w:p>
    <w:p>
      <w:pPr>
        <w:ind w:left="300" w:hanging="299"/>
        <w:spacing w:after="0" w:line="288" w:lineRule="auto"/>
        <w:tabs>
          <w:tab w:leader="none" w:pos="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 Effective July 1, 2016, the duration of a catastrophe occurrence from windstorm, hail, tornado, hurricane and cyclone was extended to 168 consecutive hours from 120 consecutive hours.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75" w:name="page76"/>
    <w:bookmarkEnd w:id="75"/>
    <w:p>
      <w:pPr>
        <w:ind w:left="300" w:hanging="299"/>
        <w:spacing w:after="0"/>
        <w:tabs>
          <w:tab w:leader="none" w:pos="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Effective July 1, 2018, the top $50,000,000 layer of catastrophe reinsurance coverage has a two year term expiring on June 30, 2020.</w:t>
      </w:r>
    </w:p>
    <w:p>
      <w:pPr>
        <w:spacing w:after="0" w:line="24" w:lineRule="exact"/>
        <w:rPr>
          <w:rFonts w:ascii="Arial" w:cs="Arial" w:eastAsia="Arial" w:hAnsi="Arial"/>
          <w:sz w:val="16"/>
          <w:szCs w:val="16"/>
          <w:color w:val="auto"/>
        </w:rPr>
      </w:pPr>
    </w:p>
    <w:p>
      <w:pPr>
        <w:ind w:left="300" w:right="2920" w:hanging="299"/>
        <w:spacing w:after="0" w:line="333" w:lineRule="auto"/>
        <w:tabs>
          <w:tab w:leader="none" w:pos="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Effective July 1, 2016, reinstatement premium protection for $20,000,000 of catastrophe coverage in excess of $5,000,000. Effective July 1, 2017, reinstatement premium protection for $145,000,000 of catastrophe coverage in excess of $5,000,000. Effective July 1, 2018, reinstatement premium protection for $210,000,000 of catastrophe coverage in excess of $5,000,000.</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single maximum risks per occurrence to which we are subject to under the treaty years shown below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Treaty</w:t>
            </w:r>
          </w:p>
        </w:tc>
        <w:tc>
          <w:tcPr>
            <w:tcW w:w="120" w:type="dxa"/>
            <w:vAlign w:val="bottom"/>
            <w:vMerge w:val="restart"/>
          </w:tcPr>
          <w:p>
            <w:pPr>
              <w:spacing w:after="0"/>
              <w:rPr>
                <w:sz w:val="14"/>
                <w:szCs w:val="14"/>
                <w:color w:val="auto"/>
              </w:rPr>
            </w:pPr>
          </w:p>
        </w:tc>
        <w:tc>
          <w:tcPr>
            <w:tcW w:w="3300" w:type="dxa"/>
            <w:vAlign w:val="bottom"/>
            <w:tcBorders>
              <w:bottom w:val="single" w:sz="8" w:color="auto"/>
            </w:tcBorders>
            <w:gridSpan w:val="3"/>
          </w:tcPr>
          <w:p>
            <w:pPr>
              <w:ind w:left="1520"/>
              <w:spacing w:after="0"/>
              <w:rPr>
                <w:sz w:val="20"/>
                <w:szCs w:val="20"/>
                <w:color w:val="auto"/>
              </w:rPr>
            </w:pPr>
            <w:r>
              <w:rPr>
                <w:rFonts w:ascii="Arial" w:cs="Arial" w:eastAsia="Arial" w:hAnsi="Arial"/>
                <w:sz w:val="14"/>
                <w:szCs w:val="14"/>
                <w:b w:val="1"/>
                <w:bCs w:val="1"/>
                <w:color w:val="auto"/>
                <w:w w:val="96"/>
              </w:rPr>
              <w:t>July 1, 2017 - June 30, 2018</w:t>
            </w: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95"/>
              </w:rPr>
              <w:t>July 1, 2016 - June 30, 2017</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18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86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84"/>
              </w:rPr>
              <w:t>Range of Loss</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218"/>
              <w:spacing w:after="0" w:line="152" w:lineRule="exact"/>
              <w:rPr>
                <w:sz w:val="20"/>
                <w:szCs w:val="20"/>
                <w:color w:val="auto"/>
              </w:rPr>
            </w:pPr>
            <w:r>
              <w:rPr>
                <w:rFonts w:ascii="Arial" w:cs="Arial" w:eastAsia="Arial" w:hAnsi="Arial"/>
                <w:sz w:val="14"/>
                <w:szCs w:val="14"/>
                <w:b w:val="1"/>
                <w:bCs w:val="1"/>
                <w:color w:val="auto"/>
                <w:w w:val="90"/>
              </w:rPr>
              <w:t>Risk Retained</w:t>
            </w:r>
          </w:p>
        </w:tc>
        <w:tc>
          <w:tcPr>
            <w:tcW w:w="120" w:type="dxa"/>
            <w:vAlign w:val="bottom"/>
          </w:tcPr>
          <w:p>
            <w:pPr>
              <w:spacing w:after="0"/>
              <w:rPr>
                <w:sz w:val="13"/>
                <w:szCs w:val="13"/>
                <w:color w:val="auto"/>
              </w:rPr>
            </w:pPr>
          </w:p>
        </w:tc>
        <w:tc>
          <w:tcPr>
            <w:tcW w:w="284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87"/>
              </w:rPr>
              <w:t>Range of Loss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8"/>
              <w:spacing w:after="0" w:line="152" w:lineRule="exact"/>
              <w:rPr>
                <w:sz w:val="20"/>
                <w:szCs w:val="20"/>
                <w:color w:val="auto"/>
              </w:rPr>
            </w:pPr>
            <w:r>
              <w:rPr>
                <w:rFonts w:ascii="Arial" w:cs="Arial" w:eastAsia="Arial" w:hAnsi="Arial"/>
                <w:sz w:val="14"/>
                <w:szCs w:val="14"/>
                <w:b w:val="1"/>
                <w:bCs w:val="1"/>
                <w:color w:val="auto"/>
                <w:w w:val="90"/>
              </w:rPr>
              <w:t>Risk Retained</w:t>
            </w: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Personal Lines (1)</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6"/>
              </w:rPr>
              <w:t>Initial $1,000,000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$800,000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5"/>
              </w:rPr>
              <w:t>Initial $833,333</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$500,000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2"/>
              </w:rPr>
              <w:t>$1,000,000 - $10,000,000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198"/>
              <w:spacing w:after="0"/>
              <w:rPr>
                <w:sz w:val="20"/>
                <w:szCs w:val="20"/>
                <w:color w:val="auto"/>
              </w:rPr>
            </w:pPr>
            <w:r>
              <w:rPr>
                <w:rFonts w:ascii="Arial" w:cs="Arial" w:eastAsia="Arial" w:hAnsi="Arial"/>
                <w:sz w:val="16"/>
                <w:szCs w:val="16"/>
                <w:color w:val="auto"/>
                <w:w w:val="93"/>
              </w:rPr>
              <w:t>None(2)</w:t>
            </w:r>
          </w:p>
        </w:tc>
        <w:tc>
          <w:tcPr>
            <w:tcW w:w="2960" w:type="dxa"/>
            <w:vAlign w:val="bottom"/>
            <w:gridSpan w:val="2"/>
          </w:tcPr>
          <w:p>
            <w:pPr>
              <w:jc w:val="center"/>
              <w:ind w:left="78"/>
              <w:spacing w:after="0"/>
              <w:rPr>
                <w:sz w:val="20"/>
                <w:szCs w:val="20"/>
                <w:color w:val="auto"/>
              </w:rPr>
            </w:pPr>
            <w:r>
              <w:rPr>
                <w:rFonts w:ascii="Arial" w:cs="Arial" w:eastAsia="Arial" w:hAnsi="Arial"/>
                <w:sz w:val="16"/>
                <w:szCs w:val="16"/>
                <w:color w:val="auto"/>
                <w:w w:val="91"/>
              </w:rPr>
              <w:t>$833,333 - $4,500,000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18"/>
              <w:spacing w:after="0"/>
              <w:rPr>
                <w:sz w:val="20"/>
                <w:szCs w:val="20"/>
                <w:color w:val="auto"/>
              </w:rPr>
            </w:pPr>
            <w:r>
              <w:rPr>
                <w:rFonts w:ascii="Arial" w:cs="Arial" w:eastAsia="Arial" w:hAnsi="Arial"/>
                <w:sz w:val="16"/>
                <w:szCs w:val="16"/>
                <w:color w:val="auto"/>
                <w:w w:val="96"/>
              </w:rPr>
              <w:t>None(3)</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2"/>
              </w:rPr>
              <w:t>Over $10,000,000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3"/>
              </w:rPr>
              <w:t>Over $4,500,000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Personal Umbrella</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6"/>
              </w:rPr>
              <w:t>Initial $1,000,000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$100,000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5"/>
              </w:rPr>
              <w:t>Initial $1,000,000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$100,000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2"/>
              </w:rPr>
              <w:t>$1,000,000 - $5,000,000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218"/>
              <w:spacing w:after="0"/>
              <w:rPr>
                <w:sz w:val="20"/>
                <w:szCs w:val="20"/>
                <w:color w:val="auto"/>
              </w:rPr>
            </w:pPr>
            <w:r>
              <w:rPr>
                <w:rFonts w:ascii="Arial" w:cs="Arial" w:eastAsia="Arial" w:hAnsi="Arial"/>
                <w:sz w:val="16"/>
                <w:szCs w:val="16"/>
                <w:color w:val="auto"/>
                <w:w w:val="94"/>
              </w:rPr>
              <w:t>None</w:t>
            </w:r>
          </w:p>
        </w:tc>
        <w:tc>
          <w:tcPr>
            <w:tcW w:w="2960" w:type="dxa"/>
            <w:vAlign w:val="bottom"/>
            <w:gridSpan w:val="2"/>
          </w:tcPr>
          <w:p>
            <w:pPr>
              <w:jc w:val="center"/>
              <w:ind w:left="78"/>
              <w:spacing w:after="0"/>
              <w:rPr>
                <w:sz w:val="20"/>
                <w:szCs w:val="20"/>
                <w:color w:val="auto"/>
              </w:rPr>
            </w:pPr>
            <w:r>
              <w:rPr>
                <w:rFonts w:ascii="Arial" w:cs="Arial" w:eastAsia="Arial" w:hAnsi="Arial"/>
                <w:sz w:val="16"/>
                <w:szCs w:val="16"/>
                <w:color w:val="auto"/>
                <w:w w:val="91"/>
              </w:rPr>
              <w:t>$1,000,000 - $5,000,000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18"/>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2"/>
              </w:rPr>
              <w:t>Over $5,000,000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3"/>
              </w:rPr>
              <w:t>Over $5,000,000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Commercial Lines</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7"/>
              </w:rPr>
              <w:t>Initial $750,000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$750,000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5"/>
              </w:rPr>
              <w:t>Initial $500,000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$500,000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3"/>
              </w:rPr>
              <w:t>$750,000 - $4,500,000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198"/>
              <w:spacing w:after="0"/>
              <w:rPr>
                <w:sz w:val="20"/>
                <w:szCs w:val="20"/>
                <w:color w:val="auto"/>
              </w:rPr>
            </w:pPr>
            <w:r>
              <w:rPr>
                <w:rFonts w:ascii="Arial" w:cs="Arial" w:eastAsia="Arial" w:hAnsi="Arial"/>
                <w:sz w:val="16"/>
                <w:szCs w:val="16"/>
                <w:color w:val="auto"/>
                <w:w w:val="93"/>
              </w:rPr>
              <w:t>None(3)</w:t>
            </w:r>
          </w:p>
        </w:tc>
        <w:tc>
          <w:tcPr>
            <w:tcW w:w="2960" w:type="dxa"/>
            <w:vAlign w:val="bottom"/>
            <w:gridSpan w:val="2"/>
          </w:tcPr>
          <w:p>
            <w:pPr>
              <w:jc w:val="center"/>
              <w:ind w:left="78"/>
              <w:spacing w:after="0"/>
              <w:rPr>
                <w:sz w:val="20"/>
                <w:szCs w:val="20"/>
                <w:color w:val="auto"/>
              </w:rPr>
            </w:pPr>
            <w:r>
              <w:rPr>
                <w:rFonts w:ascii="Arial" w:cs="Arial" w:eastAsia="Arial" w:hAnsi="Arial"/>
                <w:sz w:val="16"/>
                <w:szCs w:val="16"/>
                <w:color w:val="auto"/>
                <w:w w:val="91"/>
              </w:rPr>
              <w:t>$500,000 - $4,500,000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8"/>
              <w:spacing w:after="0"/>
              <w:rPr>
                <w:sz w:val="20"/>
                <w:szCs w:val="20"/>
                <w:color w:val="auto"/>
              </w:rPr>
            </w:pPr>
            <w:r>
              <w:rPr>
                <w:rFonts w:ascii="Arial" w:cs="Arial" w:eastAsia="Arial" w:hAnsi="Arial"/>
                <w:sz w:val="16"/>
                <w:szCs w:val="16"/>
                <w:color w:val="auto"/>
                <w:w w:val="96"/>
              </w:rPr>
              <w:t>None(3)</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2"/>
              </w:rPr>
              <w:t>Over $4,500,000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3"/>
              </w:rPr>
              <w:t>Over $4,500,000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Commercial Umbrella</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6"/>
              </w:rPr>
              <w:t>Initial $1,000,000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$100,000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5"/>
              </w:rPr>
              <w:t>Initial $1,000,000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$100,000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6"/>
                <w:szCs w:val="16"/>
                <w:color w:val="auto"/>
                <w:w w:val="92"/>
              </w:rPr>
              <w:t>$1,000,000 - $5,000,000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218"/>
              <w:spacing w:after="0"/>
              <w:rPr>
                <w:sz w:val="20"/>
                <w:szCs w:val="20"/>
                <w:color w:val="auto"/>
              </w:rPr>
            </w:pPr>
            <w:r>
              <w:rPr>
                <w:rFonts w:ascii="Arial" w:cs="Arial" w:eastAsia="Arial" w:hAnsi="Arial"/>
                <w:sz w:val="16"/>
                <w:szCs w:val="16"/>
                <w:color w:val="auto"/>
                <w:w w:val="94"/>
              </w:rPr>
              <w:t>None</w:t>
            </w:r>
          </w:p>
        </w:tc>
        <w:tc>
          <w:tcPr>
            <w:tcW w:w="2960" w:type="dxa"/>
            <w:vAlign w:val="bottom"/>
            <w:gridSpan w:val="2"/>
          </w:tcPr>
          <w:p>
            <w:pPr>
              <w:jc w:val="center"/>
              <w:ind w:left="78"/>
              <w:spacing w:after="0"/>
              <w:rPr>
                <w:sz w:val="20"/>
                <w:szCs w:val="20"/>
                <w:color w:val="auto"/>
              </w:rPr>
            </w:pPr>
            <w:r>
              <w:rPr>
                <w:rFonts w:ascii="Arial" w:cs="Arial" w:eastAsia="Arial" w:hAnsi="Arial"/>
                <w:sz w:val="16"/>
                <w:szCs w:val="16"/>
                <w:color w:val="auto"/>
                <w:w w:val="91"/>
              </w:rPr>
              <w:t>$1,000,000 - $5,000,000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18"/>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2"/>
              </w:rPr>
              <w:t>Over $5,000,000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3"/>
              </w:rPr>
              <w:t>Over $5,000,000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Catastrophe (4)</w:t>
            </w:r>
          </w:p>
        </w:tc>
        <w:tc>
          <w:tcPr>
            <w:tcW w:w="3300" w:type="dxa"/>
            <w:vAlign w:val="bottom"/>
            <w:gridSpan w:val="3"/>
            <w:shd w:val="clear" w:color="auto" w:fill="CCEEFF"/>
          </w:tcPr>
          <w:p>
            <w:pPr>
              <w:jc w:val="center"/>
              <w:ind w:right="400"/>
              <w:spacing w:after="0"/>
              <w:rPr>
                <w:sz w:val="20"/>
                <w:szCs w:val="20"/>
                <w:color w:val="auto"/>
              </w:rPr>
            </w:pPr>
            <w:r>
              <w:rPr>
                <w:rFonts w:ascii="Arial" w:cs="Arial" w:eastAsia="Arial" w:hAnsi="Arial"/>
                <w:sz w:val="16"/>
                <w:szCs w:val="16"/>
                <w:color w:val="auto"/>
                <w:w w:val="96"/>
              </w:rPr>
              <w:t>Initial $5,000,000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$4,000,000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5"/>
              </w:rPr>
              <w:t>Initial $5,000,000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$3,000,000</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Pr>
          <w:p>
            <w:pPr>
              <w:jc w:val="right"/>
              <w:ind w:right="379"/>
              <w:spacing w:after="0"/>
              <w:rPr>
                <w:sz w:val="20"/>
                <w:szCs w:val="20"/>
                <w:color w:val="auto"/>
              </w:rPr>
            </w:pPr>
            <w:r>
              <w:rPr>
                <w:rFonts w:ascii="Arial" w:cs="Arial" w:eastAsia="Arial" w:hAnsi="Arial"/>
                <w:sz w:val="16"/>
                <w:szCs w:val="16"/>
                <w:color w:val="auto"/>
              </w:rPr>
              <w:t>$5,000,000 - $320,000,000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center"/>
              <w:ind w:right="218"/>
              <w:spacing w:after="0"/>
              <w:rPr>
                <w:sz w:val="20"/>
                <w:szCs w:val="20"/>
                <w:color w:val="auto"/>
              </w:rPr>
            </w:pPr>
            <w:r>
              <w:rPr>
                <w:rFonts w:ascii="Arial" w:cs="Arial" w:eastAsia="Arial" w:hAnsi="Arial"/>
                <w:sz w:val="16"/>
                <w:szCs w:val="16"/>
                <w:color w:val="auto"/>
                <w:w w:val="94"/>
              </w:rPr>
              <w:t>None</w:t>
            </w:r>
          </w:p>
        </w:tc>
        <w:tc>
          <w:tcPr>
            <w:tcW w:w="2960" w:type="dxa"/>
            <w:vAlign w:val="bottom"/>
            <w:gridSpan w:val="2"/>
          </w:tcPr>
          <w:p>
            <w:pPr>
              <w:jc w:val="right"/>
              <w:ind w:right="380"/>
              <w:spacing w:after="0"/>
              <w:rPr>
                <w:sz w:val="20"/>
                <w:szCs w:val="20"/>
                <w:color w:val="auto"/>
              </w:rPr>
            </w:pPr>
            <w:r>
              <w:rPr>
                <w:rFonts w:ascii="Arial" w:cs="Arial" w:eastAsia="Arial" w:hAnsi="Arial"/>
                <w:sz w:val="16"/>
                <w:szCs w:val="16"/>
                <w:color w:val="auto"/>
              </w:rPr>
              <w:t>$5,000,000 - $252,000,000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18"/>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gridSpan w:val="3"/>
            <w:shd w:val="clear" w:color="auto" w:fill="CCEEFF"/>
          </w:tcPr>
          <w:p>
            <w:pPr>
              <w:jc w:val="center"/>
              <w:ind w:right="380"/>
              <w:spacing w:after="0"/>
              <w:rPr>
                <w:sz w:val="20"/>
                <w:szCs w:val="20"/>
                <w:color w:val="auto"/>
              </w:rPr>
            </w:pPr>
            <w:r>
              <w:rPr>
                <w:rFonts w:ascii="Arial" w:cs="Arial" w:eastAsia="Arial" w:hAnsi="Arial"/>
                <w:sz w:val="16"/>
                <w:szCs w:val="16"/>
                <w:color w:val="auto"/>
                <w:w w:val="93"/>
              </w:rPr>
              <w:t>Over $320,000,000</w:t>
            </w:r>
          </w:p>
        </w:tc>
        <w:tc>
          <w:tcPr>
            <w:tcW w:w="1380" w:type="dxa"/>
            <w:vAlign w:val="bottom"/>
            <w:shd w:val="clear" w:color="auto" w:fill="CCEEFF"/>
          </w:tcPr>
          <w:p>
            <w:pPr>
              <w:jc w:val="center"/>
              <w:ind w:right="238"/>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6"/>
                <w:szCs w:val="16"/>
                <w:color w:val="auto"/>
                <w:w w:val="93"/>
              </w:rPr>
              <w:t>Over $252,000,000</w:t>
            </w:r>
          </w:p>
        </w:tc>
        <w:tc>
          <w:tcPr>
            <w:tcW w:w="122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________________</w:t>
      </w:r>
    </w:p>
    <w:p>
      <w:pPr>
        <w:spacing w:after="0" w:line="213" w:lineRule="exact"/>
        <w:rPr>
          <w:sz w:val="20"/>
          <w:szCs w:val="20"/>
          <w:color w:val="auto"/>
        </w:rPr>
      </w:pPr>
    </w:p>
    <w:p>
      <w:pPr>
        <w:ind w:left="300" w:hanging="299"/>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Treaty for July 1, 2017 – June 30, 2018 is a two year treaty with expiration date of June 30, 2019.</w:t>
      </w:r>
    </w:p>
    <w:p>
      <w:pPr>
        <w:spacing w:after="0" w:line="24" w:lineRule="exact"/>
        <w:rPr>
          <w:rFonts w:ascii="Arial" w:cs="Arial" w:eastAsia="Arial" w:hAnsi="Arial"/>
          <w:sz w:val="16"/>
          <w:szCs w:val="16"/>
          <w:color w:val="auto"/>
        </w:rPr>
      </w:pPr>
    </w:p>
    <w:p>
      <w:pPr>
        <w:ind w:left="300" w:hanging="299"/>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Covered by excess of loss treaties up to $3,500,000 and by facultative facility from $3,500,000 to $10,000,000.</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Covered by excess of loss treaties.</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The single maximum risks per occurrence to which the Company is subject under the treaties effective July 1, 2018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Treaty</w:t>
            </w:r>
          </w:p>
        </w:tc>
        <w:tc>
          <w:tcPr>
            <w:tcW w:w="120" w:type="dxa"/>
            <w:vAlign w:val="bottom"/>
            <w:vMerge w:val="restart"/>
          </w:tcPr>
          <w:p>
            <w:pPr>
              <w:spacing w:after="0"/>
              <w:rPr>
                <w:sz w:val="14"/>
                <w:szCs w:val="14"/>
                <w:color w:val="auto"/>
              </w:rPr>
            </w:pPr>
          </w:p>
        </w:tc>
        <w:tc>
          <w:tcPr>
            <w:tcW w:w="278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July 1, 2018 - June 30, 2019</w:t>
            </w:r>
          </w:p>
        </w:tc>
        <w:tc>
          <w:tcPr>
            <w:tcW w:w="0" w:type="dxa"/>
            <w:vAlign w:val="bottom"/>
          </w:tcPr>
          <w:p>
            <w:pPr>
              <w:spacing w:after="0"/>
              <w:rPr>
                <w:sz w:val="1"/>
                <w:szCs w:val="1"/>
                <w:color w:val="auto"/>
              </w:rPr>
            </w:pPr>
          </w:p>
        </w:tc>
      </w:tr>
      <w:tr>
        <w:trPr>
          <w:trHeight w:val="157"/>
        </w:trPr>
        <w:tc>
          <w:tcPr>
            <w:tcW w:w="40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780" w:type="dxa"/>
            <w:vAlign w:val="bottom"/>
            <w:tcBorders>
              <w:bottom w:val="single" w:sz="8" w:color="auto"/>
            </w:tcBorders>
          </w:tcPr>
          <w:p>
            <w:pPr>
              <w:jc w:val="center"/>
              <w:ind w:left="738"/>
              <w:spacing w:after="0" w:line="152" w:lineRule="exact"/>
              <w:rPr>
                <w:sz w:val="20"/>
                <w:szCs w:val="20"/>
                <w:color w:val="auto"/>
              </w:rPr>
            </w:pPr>
            <w:r>
              <w:rPr>
                <w:rFonts w:ascii="Arial" w:cs="Arial" w:eastAsia="Arial" w:hAnsi="Arial"/>
                <w:sz w:val="14"/>
                <w:szCs w:val="14"/>
                <w:b w:val="1"/>
                <w:bCs w:val="1"/>
                <w:color w:val="auto"/>
                <w:w w:val="87"/>
              </w:rPr>
              <w:t>Extent of Loss</w:t>
            </w: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58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0"/>
              </w:rPr>
              <w:t>Risk Retained</w:t>
            </w: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Personal Lines (1)</w:t>
            </w:r>
          </w:p>
        </w:tc>
        <w:tc>
          <w:tcPr>
            <w:tcW w:w="2780" w:type="dxa"/>
            <w:vAlign w:val="bottom"/>
            <w:shd w:val="clear" w:color="auto" w:fill="CCEEFF"/>
          </w:tcPr>
          <w:p>
            <w:pPr>
              <w:jc w:val="center"/>
              <w:ind w:left="758"/>
              <w:spacing w:after="0"/>
              <w:rPr>
                <w:sz w:val="20"/>
                <w:szCs w:val="20"/>
                <w:color w:val="auto"/>
              </w:rPr>
            </w:pPr>
            <w:r>
              <w:rPr>
                <w:rFonts w:ascii="Arial" w:cs="Arial" w:eastAsia="Arial" w:hAnsi="Arial"/>
                <w:sz w:val="16"/>
                <w:szCs w:val="16"/>
                <w:color w:val="auto"/>
                <w:w w:val="96"/>
              </w:rPr>
              <w:t>Initial $1,000,000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$800,000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center"/>
              <w:ind w:left="758"/>
              <w:spacing w:after="0"/>
              <w:rPr>
                <w:sz w:val="20"/>
                <w:szCs w:val="20"/>
                <w:color w:val="auto"/>
              </w:rPr>
            </w:pPr>
            <w:r>
              <w:rPr>
                <w:rFonts w:ascii="Arial" w:cs="Arial" w:eastAsia="Arial" w:hAnsi="Arial"/>
                <w:sz w:val="16"/>
                <w:szCs w:val="16"/>
                <w:color w:val="auto"/>
                <w:w w:val="92"/>
              </w:rPr>
              <w:t>$1,000,000 - $10,000,000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3"/>
              </w:rPr>
              <w:t>None(2)</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3"/>
              </w:rPr>
              <w:t>Over $10,000,000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Personal Umbrella</w:t>
            </w:r>
          </w:p>
        </w:tc>
        <w:tc>
          <w:tcPr>
            <w:tcW w:w="2780" w:type="dxa"/>
            <w:vAlign w:val="bottom"/>
            <w:shd w:val="clear" w:color="auto" w:fill="CCEEFF"/>
          </w:tcPr>
          <w:p>
            <w:pPr>
              <w:jc w:val="center"/>
              <w:ind w:left="758"/>
              <w:spacing w:after="0"/>
              <w:rPr>
                <w:sz w:val="20"/>
                <w:szCs w:val="20"/>
                <w:color w:val="auto"/>
              </w:rPr>
            </w:pPr>
            <w:r>
              <w:rPr>
                <w:rFonts w:ascii="Arial" w:cs="Arial" w:eastAsia="Arial" w:hAnsi="Arial"/>
                <w:sz w:val="16"/>
                <w:szCs w:val="16"/>
                <w:color w:val="auto"/>
                <w:w w:val="96"/>
              </w:rPr>
              <w:t>Initial $1,000,000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$100,000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center"/>
              <w:ind w:left="758"/>
              <w:spacing w:after="0"/>
              <w:rPr>
                <w:sz w:val="20"/>
                <w:szCs w:val="20"/>
                <w:color w:val="auto"/>
              </w:rPr>
            </w:pPr>
            <w:r>
              <w:rPr>
                <w:rFonts w:ascii="Arial" w:cs="Arial" w:eastAsia="Arial" w:hAnsi="Arial"/>
                <w:sz w:val="16"/>
                <w:szCs w:val="16"/>
                <w:color w:val="auto"/>
                <w:w w:val="92"/>
              </w:rPr>
              <w:t>$1,000,000 - $5,000,000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3"/>
              </w:rPr>
              <w:t>Over $5,000,000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Commercial Lines</w:t>
            </w: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5"/>
              </w:rPr>
              <w:t>Initial $750,000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$750,000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center"/>
              <w:ind w:left="758"/>
              <w:spacing w:after="0"/>
              <w:rPr>
                <w:sz w:val="20"/>
                <w:szCs w:val="20"/>
                <w:color w:val="auto"/>
              </w:rPr>
            </w:pPr>
            <w:r>
              <w:rPr>
                <w:rFonts w:ascii="Arial" w:cs="Arial" w:eastAsia="Arial" w:hAnsi="Arial"/>
                <w:sz w:val="16"/>
                <w:szCs w:val="16"/>
                <w:color w:val="auto"/>
                <w:w w:val="93"/>
              </w:rPr>
              <w:t>$750,000 - $4,500,000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3"/>
              </w:rPr>
              <w:t>None(3)</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3"/>
              </w:rPr>
              <w:t>Over $4,500,000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Commercial Umbrella</w:t>
            </w:r>
          </w:p>
        </w:tc>
        <w:tc>
          <w:tcPr>
            <w:tcW w:w="2780" w:type="dxa"/>
            <w:vAlign w:val="bottom"/>
            <w:shd w:val="clear" w:color="auto" w:fill="CCEEFF"/>
          </w:tcPr>
          <w:p>
            <w:pPr>
              <w:jc w:val="center"/>
              <w:ind w:left="758"/>
              <w:spacing w:after="0"/>
              <w:rPr>
                <w:sz w:val="20"/>
                <w:szCs w:val="20"/>
                <w:color w:val="auto"/>
              </w:rPr>
            </w:pPr>
            <w:r>
              <w:rPr>
                <w:rFonts w:ascii="Arial" w:cs="Arial" w:eastAsia="Arial" w:hAnsi="Arial"/>
                <w:sz w:val="16"/>
                <w:szCs w:val="16"/>
                <w:color w:val="auto"/>
                <w:w w:val="96"/>
              </w:rPr>
              <w:t>Initial $1,000,000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$100,000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center"/>
              <w:ind w:left="758"/>
              <w:spacing w:after="0"/>
              <w:rPr>
                <w:sz w:val="20"/>
                <w:szCs w:val="20"/>
                <w:color w:val="auto"/>
              </w:rPr>
            </w:pPr>
            <w:r>
              <w:rPr>
                <w:rFonts w:ascii="Arial" w:cs="Arial" w:eastAsia="Arial" w:hAnsi="Arial"/>
                <w:sz w:val="16"/>
                <w:szCs w:val="16"/>
                <w:color w:val="auto"/>
                <w:w w:val="92"/>
              </w:rPr>
              <w:t>$1,000,000 - $5,000,000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3"/>
              </w:rPr>
              <w:t>Over $5,000,000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Catastrophe (4)</w:t>
            </w:r>
          </w:p>
        </w:tc>
        <w:tc>
          <w:tcPr>
            <w:tcW w:w="2780" w:type="dxa"/>
            <w:vAlign w:val="bottom"/>
            <w:shd w:val="clear" w:color="auto" w:fill="CCEEFF"/>
          </w:tcPr>
          <w:p>
            <w:pPr>
              <w:jc w:val="center"/>
              <w:ind w:left="758"/>
              <w:spacing w:after="0"/>
              <w:rPr>
                <w:sz w:val="20"/>
                <w:szCs w:val="20"/>
                <w:color w:val="auto"/>
              </w:rPr>
            </w:pPr>
            <w:r>
              <w:rPr>
                <w:rFonts w:ascii="Arial" w:cs="Arial" w:eastAsia="Arial" w:hAnsi="Arial"/>
                <w:sz w:val="16"/>
                <w:szCs w:val="16"/>
                <w:color w:val="auto"/>
                <w:w w:val="96"/>
              </w:rPr>
              <w:t>Initial $5,000,000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$4,000,000</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right"/>
              <w:spacing w:after="0"/>
              <w:rPr>
                <w:sz w:val="20"/>
                <w:szCs w:val="20"/>
                <w:color w:val="auto"/>
              </w:rPr>
            </w:pPr>
            <w:r>
              <w:rPr>
                <w:rFonts w:ascii="Arial" w:cs="Arial" w:eastAsia="Arial" w:hAnsi="Arial"/>
                <w:sz w:val="16"/>
                <w:szCs w:val="16"/>
                <w:color w:val="auto"/>
              </w:rPr>
              <w:t>$5,000,000 - $450,000,000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4"/>
              </w:rPr>
              <w:t>None</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80" w:type="dxa"/>
            <w:vAlign w:val="bottom"/>
            <w:shd w:val="clear" w:color="auto" w:fill="CCEEFF"/>
          </w:tcPr>
          <w:p>
            <w:pPr>
              <w:jc w:val="center"/>
              <w:ind w:left="738"/>
              <w:spacing w:after="0"/>
              <w:rPr>
                <w:sz w:val="20"/>
                <w:szCs w:val="20"/>
                <w:color w:val="auto"/>
              </w:rPr>
            </w:pPr>
            <w:r>
              <w:rPr>
                <w:rFonts w:ascii="Arial" w:cs="Arial" w:eastAsia="Arial" w:hAnsi="Arial"/>
                <w:sz w:val="16"/>
                <w:szCs w:val="16"/>
                <w:color w:val="auto"/>
                <w:w w:val="93"/>
              </w:rPr>
              <w:t>Over $450,000,000</w:t>
            </w:r>
          </w:p>
        </w:tc>
        <w:tc>
          <w:tcPr>
            <w:tcW w:w="4480" w:type="dxa"/>
            <w:vAlign w:val="bottom"/>
            <w:gridSpan w:val="3"/>
            <w:shd w:val="clear" w:color="auto" w:fill="CCEEFF"/>
          </w:tcPr>
          <w:p>
            <w:pPr>
              <w:jc w:val="center"/>
              <w:ind w:left="819"/>
              <w:spacing w:after="0"/>
              <w:rPr>
                <w:sz w:val="20"/>
                <w:szCs w:val="20"/>
                <w:color w:val="auto"/>
              </w:rPr>
            </w:pPr>
            <w:r>
              <w:rPr>
                <w:rFonts w:ascii="Arial" w:cs="Arial" w:eastAsia="Arial" w:hAnsi="Arial"/>
                <w:sz w:val="16"/>
                <w:szCs w:val="16"/>
                <w:color w:val="auto"/>
                <w:w w:val="92"/>
              </w:rPr>
              <w:t>100%</w:t>
            </w: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300" w:hanging="299"/>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Treaty for July 1, 2018 – June 30, 2019 is a two year treaty with expiration date of June 30, 2019.</w:t>
      </w:r>
    </w:p>
    <w:p>
      <w:pPr>
        <w:spacing w:after="0" w:line="24" w:lineRule="exact"/>
        <w:rPr>
          <w:rFonts w:ascii="Arial" w:cs="Arial" w:eastAsia="Arial" w:hAnsi="Arial"/>
          <w:sz w:val="16"/>
          <w:szCs w:val="16"/>
          <w:color w:val="auto"/>
        </w:rPr>
      </w:pPr>
    </w:p>
    <w:p>
      <w:pPr>
        <w:ind w:left="300" w:hanging="299"/>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Covered by excess of loss treaties up to $3,500,000 and by facultative facility from $3,500,000 to $10,000,000.</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Covered by excess of loss treaties.</w:t>
      </w:r>
    </w:p>
    <w:p>
      <w:pPr>
        <w:spacing w:after="0" w:line="18" w:lineRule="exact"/>
        <w:rPr>
          <w:rFonts w:ascii="Arial" w:cs="Arial" w:eastAsia="Arial" w:hAnsi="Arial"/>
          <w:sz w:val="16"/>
          <w:szCs w:val="16"/>
          <w:color w:val="auto"/>
        </w:rPr>
      </w:pPr>
    </w:p>
    <w:p>
      <w:pPr>
        <w:ind w:left="300" w:hanging="299"/>
        <w:spacing w:after="0"/>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Catastrophe coverage is limited on an annual basis to two times the per occurrence amounts.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62"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That May Affect Future Results and Financial Condition</w:t>
      </w:r>
    </w:p>
    <w:p>
      <w:pPr>
        <w:spacing w:after="0" w:line="162" w:lineRule="exact"/>
        <w:rPr>
          <w:sz w:val="20"/>
          <w:szCs w:val="20"/>
          <w:color w:val="auto"/>
        </w:rPr>
      </w:pPr>
    </w:p>
    <w:p>
      <w:pPr>
        <w:jc w:val="both"/>
        <w:ind w:firstLine="608"/>
        <w:spacing w:after="0" w:line="298" w:lineRule="auto"/>
        <w:rPr>
          <w:sz w:val="20"/>
          <w:szCs w:val="20"/>
          <w:color w:val="auto"/>
        </w:rPr>
      </w:pPr>
      <w:r>
        <w:rPr>
          <w:rFonts w:ascii="Arial" w:cs="Arial" w:eastAsia="Arial" w:hAnsi="Arial"/>
          <w:sz w:val="15"/>
          <w:szCs w:val="15"/>
          <w:color w:val="auto"/>
        </w:rPr>
        <w:t>Based upon the factors set forth under “Factors That May Affect Future Results and Financial Condition” in Item 7 of our Annual Report on Form 10-K for the year ended December 31, 2017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In addition, such factors, among others, may affect the accuracy of certain forward-looking statements contained in our periodic reports, including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b w:val="1"/>
          <w:bCs w:val="1"/>
          <w:u w:val="single" w:color="auto"/>
          <w:color w:val="auto"/>
        </w:rPr>
        <w:t>Quantitative and Qualitative Disclosures About Market Risk</w:t>
      </w:r>
      <w:r>
        <w:rPr>
          <w:rFonts w:ascii="Arial" w:cs="Arial" w:eastAsia="Arial" w:hAnsi="Arial"/>
          <w:sz w:val="16"/>
          <w:szCs w:val="16"/>
          <w:color w:val="auto"/>
        </w:rPr>
        <w:t>.</w:t>
      </w:r>
    </w:p>
    <w:p>
      <w:pPr>
        <w:spacing w:after="0" w:line="225"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Our market risk factors have not changed materially since they were described in our Quarterly Report on Form 10- Q for the period ended March 31, 2018 (filed May 9, 2018) in “Quantitative and Qualitative Disclosures About Market Risk” in Item 3 of Part I.</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u w:val="single" w:color="auto"/>
          <w:color w:val="auto"/>
        </w:rPr>
        <w:t>Controls and Procedures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21"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We maintain disclosure controls and procedures (as defined in Exchange Act Rule 13a-15(e)) that are designed to assure that information required to be disclosed in our Exchange Act reports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w:t>
      </w:r>
    </w:p>
    <w:p>
      <w:pPr>
        <w:spacing w:after="0" w:line="107"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Based on this evaluation, our Chief Executive Officer and Chief Financial Officer concluded that our disclosure controls and procedures were effective as of June 30, 2018.</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58" w:lineRule="exact"/>
        <w:rPr>
          <w:sz w:val="20"/>
          <w:szCs w:val="20"/>
          <w:color w:val="auto"/>
        </w:rPr>
      </w:pPr>
    </w:p>
    <w:p>
      <w:pPr>
        <w:jc w:val="both"/>
        <w:ind w:firstLine="608"/>
        <w:spacing w:after="0" w:line="296" w:lineRule="auto"/>
        <w:rPr>
          <w:sz w:val="20"/>
          <w:szCs w:val="20"/>
          <w:color w:val="auto"/>
        </w:rPr>
      </w:pPr>
      <w:r>
        <w:rPr>
          <w:rFonts w:ascii="Arial" w:cs="Arial" w:eastAsia="Arial" w:hAnsi="Arial"/>
          <w:sz w:val="16"/>
          <w:szCs w:val="16"/>
          <w:color w:val="auto"/>
        </w:rPr>
        <w:t>There was no change in our internal control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b w:val="1"/>
          <w:bCs w:val="1"/>
          <w:color w:val="auto"/>
        </w:rPr>
        <w:t xml:space="preserve">PART II. </w:t>
      </w:r>
      <w:r>
        <w:rPr>
          <w:rFonts w:ascii="Arial" w:cs="Arial" w:eastAsia="Arial" w:hAnsi="Arial"/>
          <w:sz w:val="16"/>
          <w:szCs w:val="16"/>
          <w:b w:val="1"/>
          <w:bCs w:val="1"/>
          <w:u w:val="single" w:color="auto"/>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u w:val="single" w:color="auto"/>
          <w:color w:val="auto"/>
        </w:rPr>
        <w:t>Legal Proceedings</w:t>
      </w:r>
      <w:r>
        <w:rPr>
          <w:rFonts w:ascii="Arial" w:cs="Arial" w:eastAsia="Arial" w:hAnsi="Arial"/>
          <w:sz w:val="16"/>
          <w:szCs w:val="16"/>
          <w:color w:val="auto"/>
        </w:rPr>
        <w:t>.</w:t>
      </w:r>
    </w:p>
    <w:p>
      <w:pPr>
        <w:spacing w:after="0" w:line="225" w:lineRule="exact"/>
        <w:rPr>
          <w:sz w:val="20"/>
          <w:szCs w:val="20"/>
          <w:color w:val="auto"/>
        </w:rPr>
      </w:pPr>
    </w:p>
    <w:p>
      <w:pPr>
        <w:jc w:val="center"/>
        <w:ind w:right="9840"/>
        <w:spacing w:after="0"/>
        <w:rPr>
          <w:sz w:val="20"/>
          <w:szCs w:val="20"/>
          <w:color w:val="auto"/>
        </w:rPr>
      </w:pPr>
      <w:r>
        <w:rPr>
          <w:rFonts w:ascii="Arial" w:cs="Arial" w:eastAsia="Arial" w:hAnsi="Arial"/>
          <w:sz w:val="16"/>
          <w:szCs w:val="16"/>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b w:val="1"/>
          <w:bCs w:val="1"/>
          <w:u w:val="single" w:color="auto"/>
          <w:color w:val="auto"/>
        </w:rPr>
        <w:t>Risk Factors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-3810</wp:posOffset>
            </wp:positionV>
            <wp:extent cx="260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5" w:lineRule="exact"/>
        <w:rPr>
          <w:sz w:val="20"/>
          <w:szCs w:val="20"/>
          <w:color w:val="auto"/>
        </w:rPr>
      </w:pPr>
    </w:p>
    <w:p>
      <w:pPr>
        <w:jc w:val="both"/>
        <w:ind w:firstLine="608"/>
        <w:spacing w:after="0" w:line="280" w:lineRule="auto"/>
        <w:rPr>
          <w:sz w:val="20"/>
          <w:szCs w:val="20"/>
          <w:color w:val="auto"/>
        </w:rPr>
      </w:pPr>
      <w:r>
        <w:rPr>
          <w:rFonts w:ascii="Arial" w:cs="Arial" w:eastAsia="Arial" w:hAnsi="Arial"/>
          <w:sz w:val="16"/>
          <w:szCs w:val="16"/>
          <w:color w:val="auto"/>
        </w:rPr>
        <w:t>Our risk factors have not changed materially since they were described in our Annual Report on Form 10- K for the year ended December 31, 2017 (filed March 15, 2018) in “Management’s Discussion and Analysis of Financial Condition and Results of Operations – Factors That May Affect Future Results and Financial Condition” in Item 7.</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u w:val="single" w:color="auto"/>
          <w:color w:val="auto"/>
        </w:rPr>
        <w:t>Unregistered Sales of Equity Securities and Use of Proceeds</w:t>
      </w:r>
      <w:r>
        <w:rPr>
          <w:rFonts w:ascii="Arial" w:cs="Arial" w:eastAsia="Arial" w:hAnsi="Arial"/>
          <w:sz w:val="16"/>
          <w:szCs w:val="16"/>
          <w:color w:val="auto"/>
        </w:rPr>
        <w:t>.</w:t>
      </w:r>
    </w:p>
    <w:p>
      <w:pPr>
        <w:spacing w:after="0" w:line="162" w:lineRule="exact"/>
        <w:rPr>
          <w:sz w:val="20"/>
          <w:szCs w:val="20"/>
          <w:color w:val="auto"/>
        </w:rPr>
      </w:pPr>
    </w:p>
    <w:p>
      <w:pPr>
        <w:ind w:left="880" w:hanging="271"/>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None</w:t>
      </w:r>
    </w:p>
    <w:p>
      <w:pPr>
        <w:spacing w:after="0" w:line="221" w:lineRule="exact"/>
        <w:rPr>
          <w:rFonts w:ascii="Arial" w:cs="Arial" w:eastAsia="Arial" w:hAnsi="Arial"/>
          <w:sz w:val="16"/>
          <w:szCs w:val="16"/>
          <w:color w:val="auto"/>
        </w:rPr>
      </w:pPr>
    </w:p>
    <w:p>
      <w:pPr>
        <w:ind w:left="880" w:hanging="271"/>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221" w:lineRule="exact"/>
        <w:rPr>
          <w:rFonts w:ascii="Arial" w:cs="Arial" w:eastAsia="Arial" w:hAnsi="Arial"/>
          <w:sz w:val="16"/>
          <w:szCs w:val="16"/>
          <w:color w:val="auto"/>
        </w:rPr>
      </w:pPr>
    </w:p>
    <w:p>
      <w:pPr>
        <w:ind w:firstLine="609"/>
        <w:spacing w:after="0" w:line="296" w:lineRule="auto"/>
        <w:tabs>
          <w:tab w:leader="none" w:pos="8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following table sets forth certain information with respect to purchases of common stock made by us or any “affiliated purchaser” during the quarter ended June 30, 2018:</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1"/>
              </w:rPr>
              <w:t>Total Number of</w:t>
            </w:r>
          </w:p>
        </w:tc>
        <w:tc>
          <w:tcPr>
            <w:tcW w:w="13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86"/>
              </w:rPr>
              <w:t>Shares Purchased</w:t>
            </w:r>
          </w:p>
        </w:tc>
        <w:tc>
          <w:tcPr>
            <w:tcW w:w="13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May</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76"/>
              </w:rPr>
              <w:t>as</w:t>
            </w:r>
          </w:p>
        </w:tc>
        <w:tc>
          <w:tcPr>
            <w:tcW w:w="13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85"/>
              </w:rPr>
              <w:t>Be Purchased</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1"/>
              </w:rPr>
              <w:t>Number of</w:t>
            </w:r>
          </w:p>
        </w:tc>
        <w:tc>
          <w:tcPr>
            <w:tcW w:w="300" w:type="dxa"/>
            <w:vAlign w:val="bottom"/>
          </w:tcPr>
          <w:p>
            <w:pPr>
              <w:spacing w:after="0"/>
              <w:rPr>
                <w:sz w:val="13"/>
                <w:szCs w:val="13"/>
                <w:color w:val="auto"/>
              </w:rPr>
            </w:pPr>
          </w:p>
        </w:tc>
        <w:tc>
          <w:tcPr>
            <w:tcW w:w="1080" w:type="dxa"/>
            <w:vAlign w:val="bottom"/>
          </w:tcPr>
          <w:p>
            <w:pPr>
              <w:jc w:val="center"/>
              <w:ind w:right="243"/>
              <w:spacing w:after="0" w:line="152" w:lineRule="exact"/>
              <w:rPr>
                <w:sz w:val="20"/>
                <w:szCs w:val="20"/>
                <w:color w:val="auto"/>
              </w:rPr>
            </w:pPr>
            <w:r>
              <w:rPr>
                <w:rFonts w:ascii="Arial" w:cs="Arial" w:eastAsia="Arial" w:hAnsi="Arial"/>
                <w:sz w:val="14"/>
                <w:szCs w:val="14"/>
                <w:b w:val="1"/>
                <w:bCs w:val="1"/>
                <w:color w:val="auto"/>
                <w:w w:val="86"/>
              </w:rPr>
              <w:t>Average</w:t>
            </w:r>
          </w:p>
        </w:tc>
        <w:tc>
          <w:tcPr>
            <w:tcW w:w="14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2"/>
              </w:rPr>
              <w:t>Part of Publicly</w:t>
            </w:r>
          </w:p>
        </w:tc>
        <w:tc>
          <w:tcPr>
            <w:tcW w:w="13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0"/>
              </w:rPr>
              <w:t>Under the Plans</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3"/>
                <w:szCs w:val="13"/>
                <w:color w:val="auto"/>
              </w:rPr>
            </w:pPr>
          </w:p>
        </w:tc>
        <w:tc>
          <w:tcPr>
            <w:tcW w:w="1080" w:type="dxa"/>
            <w:vAlign w:val="bottom"/>
          </w:tcPr>
          <w:p>
            <w:pPr>
              <w:jc w:val="center"/>
              <w:ind w:right="183"/>
              <w:spacing w:after="0" w:line="152" w:lineRule="exact"/>
              <w:rPr>
                <w:sz w:val="20"/>
                <w:szCs w:val="20"/>
                <w:color w:val="auto"/>
              </w:rPr>
            </w:pPr>
            <w:r>
              <w:rPr>
                <w:rFonts w:ascii="Arial" w:cs="Arial" w:eastAsia="Arial" w:hAnsi="Arial"/>
                <w:sz w:val="14"/>
                <w:szCs w:val="14"/>
                <w:b w:val="1"/>
                <w:bCs w:val="1"/>
                <w:color w:val="auto"/>
                <w:w w:val="91"/>
              </w:rPr>
              <w:t>Price Paid</w:t>
            </w:r>
          </w:p>
        </w:tc>
        <w:tc>
          <w:tcPr>
            <w:tcW w:w="14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87"/>
              </w:rPr>
              <w:t>Announced Plans</w:t>
            </w:r>
          </w:p>
        </w:tc>
        <w:tc>
          <w:tcPr>
            <w:tcW w:w="13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85"/>
              </w:rPr>
              <w:t>or</w:t>
            </w:r>
          </w:p>
        </w:tc>
        <w:tc>
          <w:tcPr>
            <w:tcW w:w="0" w:type="dxa"/>
            <w:vAlign w:val="bottom"/>
          </w:tcPr>
          <w:p>
            <w:pPr>
              <w:spacing w:after="0"/>
              <w:rPr>
                <w:sz w:val="1"/>
                <w:szCs w:val="1"/>
                <w:color w:val="auto"/>
              </w:rPr>
            </w:pPr>
          </w:p>
        </w:tc>
      </w:tr>
      <w:tr>
        <w:trPr>
          <w:trHeight w:val="171"/>
        </w:trPr>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89"/>
              </w:rPr>
              <w:t>per Share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4/1/18 – 4/30/18</w:t>
            </w:r>
          </w:p>
        </w:tc>
        <w:tc>
          <w:tcPr>
            <w:tcW w:w="220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gridSpan w:val="5"/>
          </w:tcPr>
          <w:p>
            <w:pPr>
              <w:spacing w:after="0"/>
              <w:rPr>
                <w:sz w:val="20"/>
                <w:szCs w:val="20"/>
                <w:color w:val="auto"/>
              </w:rPr>
            </w:pPr>
            <w:r>
              <w:rPr>
                <w:rFonts w:ascii="Arial" w:cs="Arial" w:eastAsia="Arial" w:hAnsi="Arial"/>
                <w:sz w:val="16"/>
                <w:szCs w:val="16"/>
                <w:color w:val="auto"/>
              </w:rPr>
              <w:t>5/1/18 – 5/31/18</w:t>
            </w:r>
          </w:p>
        </w:tc>
        <w:tc>
          <w:tcPr>
            <w:tcW w:w="2200" w:type="dxa"/>
            <w:vAlign w:val="bottom"/>
            <w:gridSpan w:val="2"/>
          </w:tcPr>
          <w:p>
            <w:pPr>
              <w:jc w:val="right"/>
              <w:ind w:right="68"/>
              <w:spacing w:after="0"/>
              <w:rPr>
                <w:sz w:val="20"/>
                <w:szCs w:val="20"/>
                <w:color w:val="auto"/>
              </w:rPr>
            </w:pPr>
            <w:r>
              <w:rPr>
                <w:rFonts w:ascii="Arial" w:cs="Arial" w:eastAsia="Arial" w:hAnsi="Arial"/>
                <w:sz w:val="16"/>
                <w:szCs w:val="16"/>
                <w:color w:val="auto"/>
              </w:rPr>
              <w:t>6,000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17.50</w:t>
            </w:r>
          </w:p>
        </w:tc>
        <w:tc>
          <w:tcPr>
            <w:tcW w:w="140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6/1/18 – 6/30/18</w:t>
            </w:r>
          </w:p>
        </w:tc>
        <w:tc>
          <w:tcPr>
            <w:tcW w:w="8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6"/>
                <w:szCs w:val="16"/>
                <w:color w:val="auto"/>
              </w:rPr>
              <w:t>5,775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16.93</w:t>
            </w:r>
          </w:p>
        </w:tc>
        <w:tc>
          <w:tcPr>
            <w:tcW w:w="140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20" w:type="dxa"/>
            <w:vAlign w:val="bottom"/>
            <w:gridSpan w:val="5"/>
          </w:tcPr>
          <w:p>
            <w:pPr>
              <w:spacing w:after="0"/>
              <w:rPr>
                <w:sz w:val="20"/>
                <w:szCs w:val="20"/>
                <w:color w:val="auto"/>
              </w:rPr>
            </w:pPr>
            <w:r>
              <w:rPr>
                <w:rFonts w:ascii="Arial" w:cs="Arial" w:eastAsia="Arial" w:hAnsi="Arial"/>
                <w:sz w:val="16"/>
                <w:szCs w:val="16"/>
                <w:color w:val="auto"/>
              </w:rPr>
              <w:t>Total</w:t>
            </w:r>
          </w:p>
        </w:tc>
        <w:tc>
          <w:tcPr>
            <w:tcW w:w="2200" w:type="dxa"/>
            <w:vAlign w:val="bottom"/>
            <w:gridSpan w:val="2"/>
          </w:tcPr>
          <w:p>
            <w:pPr>
              <w:jc w:val="right"/>
              <w:ind w:right="68"/>
              <w:spacing w:after="0"/>
              <w:rPr>
                <w:sz w:val="20"/>
                <w:szCs w:val="20"/>
                <w:color w:val="auto"/>
              </w:rPr>
            </w:pPr>
            <w:r>
              <w:rPr>
                <w:rFonts w:ascii="Arial" w:cs="Arial" w:eastAsia="Arial" w:hAnsi="Arial"/>
                <w:sz w:val="16"/>
                <w:szCs w:val="16"/>
                <w:color w:val="auto"/>
              </w:rPr>
              <w:t>11,775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17.22</w:t>
            </w:r>
          </w:p>
        </w:tc>
        <w:tc>
          <w:tcPr>
            <w:tcW w:w="1400" w:type="dxa"/>
            <w:vAlign w:val="bottom"/>
          </w:tcPr>
          <w:p>
            <w:pPr>
              <w:jc w:val="right"/>
              <w:ind w:right="105"/>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580" w:type="dxa"/>
            <w:vAlign w:val="bottom"/>
            <w:gridSpan w:val="4"/>
            <w:vMerge w:val="restart"/>
          </w:tcPr>
          <w:p>
            <w:pPr>
              <w:ind w:left="60"/>
              <w:spacing w:after="0"/>
              <w:rPr>
                <w:sz w:val="20"/>
                <w:szCs w:val="20"/>
                <w:color w:val="auto"/>
              </w:rPr>
            </w:pPr>
            <w:r>
              <w:rPr>
                <w:rFonts w:ascii="Arial" w:cs="Arial" w:eastAsia="Arial" w:hAnsi="Arial"/>
                <w:sz w:val="16"/>
                <w:szCs w:val="16"/>
                <w:color w:val="auto"/>
              </w:rPr>
              <w:t>(1)  Purchases were made by us in open market transactions.</w:t>
            </w:r>
          </w:p>
        </w:tc>
        <w:tc>
          <w:tcPr>
            <w:tcW w:w="8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40" w:type="dxa"/>
            <w:vAlign w:val="bottom"/>
          </w:tcPr>
          <w:p>
            <w:pPr>
              <w:spacing w:after="0"/>
              <w:rPr>
                <w:sz w:val="24"/>
                <w:szCs w:val="24"/>
                <w:color w:val="auto"/>
              </w:rPr>
            </w:pPr>
          </w:p>
        </w:tc>
        <w:tc>
          <w:tcPr>
            <w:tcW w:w="4580" w:type="dxa"/>
            <w:vAlign w:val="bottom"/>
            <w:gridSpan w:val="4"/>
            <w:vMerge w:val="continue"/>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120" w:type="dxa"/>
            <w:vAlign w:val="bottom"/>
            <w:gridSpan w:val="5"/>
          </w:tcPr>
          <w:p>
            <w:pPr>
              <w:spacing w:after="0"/>
              <w:rPr>
                <w:sz w:val="20"/>
                <w:szCs w:val="20"/>
                <w:color w:val="auto"/>
              </w:rPr>
            </w:pPr>
            <w:r>
              <w:rPr>
                <w:rFonts w:ascii="Arial" w:cs="Arial" w:eastAsia="Arial" w:hAnsi="Arial"/>
                <w:sz w:val="16"/>
                <w:szCs w:val="16"/>
                <w:b w:val="1"/>
                <w:bCs w:val="1"/>
                <w:color w:val="auto"/>
              </w:rPr>
              <w:t>Item 3. Defaults Upon Senior Securities</w:t>
            </w:r>
            <w:r>
              <w:rPr>
                <w:rFonts w:ascii="Arial" w:cs="Arial" w:eastAsia="Arial" w:hAnsi="Arial"/>
                <w:sz w:val="16"/>
                <w:szCs w:val="16"/>
                <w:color w:val="auto"/>
              </w:rPr>
              <w:t>.</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40" w:type="dxa"/>
            <w:vAlign w:val="bottom"/>
          </w:tcPr>
          <w:p>
            <w:pPr>
              <w:spacing w:after="0"/>
              <w:rPr>
                <w:sz w:val="24"/>
                <w:szCs w:val="24"/>
                <w:color w:val="auto"/>
              </w:rPr>
            </w:pPr>
          </w:p>
        </w:tc>
        <w:tc>
          <w:tcPr>
            <w:tcW w:w="224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color w:val="auto"/>
              </w:rPr>
              <w:t>None</w:t>
            </w:r>
          </w:p>
        </w:tc>
        <w:tc>
          <w:tcPr>
            <w:tcW w:w="2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120" w:type="dxa"/>
            <w:vAlign w:val="bottom"/>
            <w:gridSpan w:val="5"/>
          </w:tcPr>
          <w:p>
            <w:pPr>
              <w:spacing w:after="0"/>
              <w:rPr>
                <w:sz w:val="20"/>
                <w:szCs w:val="20"/>
                <w:color w:val="auto"/>
              </w:rPr>
            </w:pPr>
            <w:r>
              <w:rPr>
                <w:rFonts w:ascii="Arial" w:cs="Arial" w:eastAsia="Arial" w:hAnsi="Arial"/>
                <w:sz w:val="16"/>
                <w:szCs w:val="16"/>
                <w:b w:val="1"/>
                <w:bCs w:val="1"/>
                <w:color w:val="auto"/>
              </w:rPr>
              <w:t>Item 4. Mine Safety Disclosures</w:t>
            </w:r>
            <w:r>
              <w:rPr>
                <w:rFonts w:ascii="Arial" w:cs="Arial" w:eastAsia="Arial" w:hAnsi="Arial"/>
                <w:sz w:val="16"/>
                <w:szCs w:val="16"/>
                <w:color w:val="auto"/>
              </w:rPr>
              <w:t>.</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40" w:type="dxa"/>
            <w:vAlign w:val="bottom"/>
          </w:tcPr>
          <w:p>
            <w:pPr>
              <w:spacing w:after="0"/>
              <w:rPr>
                <w:sz w:val="24"/>
                <w:szCs w:val="24"/>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color w:val="auto"/>
              </w:rPr>
              <w:t>Not applicable</w:t>
            </w:r>
          </w:p>
        </w:tc>
        <w:tc>
          <w:tcPr>
            <w:tcW w:w="290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5120" w:type="dxa"/>
            <w:vAlign w:val="bottom"/>
            <w:gridSpan w:val="5"/>
          </w:tcPr>
          <w:p>
            <w:pPr>
              <w:spacing w:after="0"/>
              <w:rPr>
                <w:sz w:val="20"/>
                <w:szCs w:val="20"/>
                <w:color w:val="auto"/>
              </w:rPr>
            </w:pPr>
            <w:r>
              <w:rPr>
                <w:rFonts w:ascii="Arial" w:cs="Arial" w:eastAsia="Arial" w:hAnsi="Arial"/>
                <w:sz w:val="16"/>
                <w:szCs w:val="16"/>
                <w:b w:val="1"/>
                <w:bCs w:val="1"/>
                <w:color w:val="auto"/>
              </w:rPr>
              <w:t>Item 5. Other Information</w:t>
            </w:r>
            <w:r>
              <w:rPr>
                <w:rFonts w:ascii="Arial" w:cs="Arial" w:eastAsia="Arial" w:hAnsi="Arial"/>
                <w:sz w:val="16"/>
                <w:szCs w:val="16"/>
                <w:color w:val="auto"/>
              </w:rPr>
              <w:t>.</w:t>
            </w: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540" w:type="dxa"/>
            <w:vAlign w:val="bottom"/>
          </w:tcPr>
          <w:p>
            <w:pPr>
              <w:spacing w:after="0"/>
              <w:rPr>
                <w:sz w:val="24"/>
                <w:szCs w:val="24"/>
                <w:color w:val="auto"/>
              </w:rPr>
            </w:pPr>
          </w:p>
        </w:tc>
        <w:tc>
          <w:tcPr>
            <w:tcW w:w="13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None</w:t>
            </w:r>
          </w:p>
        </w:tc>
        <w:tc>
          <w:tcPr>
            <w:tcW w:w="32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9"/>
        </w:trPr>
        <w:tc>
          <w:tcPr>
            <w:tcW w:w="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77</w:t>
            </w: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2"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u w:val="single" w:color="auto"/>
          <w:color w:val="auto"/>
        </w:rPr>
        <w:t>Exhibits</w:t>
      </w:r>
      <w:r>
        <w:rPr>
          <w:rFonts w:ascii="Arial" w:cs="Arial" w:eastAsia="Arial" w:hAnsi="Arial"/>
          <w:sz w:val="16"/>
          <w:szCs w:val="16"/>
          <w:color w:val="auto"/>
        </w:rPr>
        <w:t>.</w:t>
      </w:r>
    </w:p>
    <w:p>
      <w:pPr>
        <w:spacing w:after="0" w:line="223"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16"/>
          <w:szCs w:val="16"/>
          <w:u w:val="single" w:color="auto"/>
          <w:color w:val="0000EE"/>
        </w:rPr>
        <w:t>3(a)</w:t>
      </w:r>
      <w:r>
        <w:rPr>
          <w:sz w:val="20"/>
          <w:szCs w:val="20"/>
          <w:color w:val="auto"/>
        </w:rPr>
        <w:tab/>
      </w:r>
      <w:r>
        <w:rPr>
          <w:rFonts w:ascii="Arial" w:cs="Arial" w:eastAsia="Arial" w:hAnsi="Arial"/>
          <w:sz w:val="16"/>
          <w:szCs w:val="16"/>
          <w:color w:val="auto"/>
        </w:rPr>
        <w:t>Restated Certificate of Incorporation, as amended</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121" w:lineRule="exact"/>
        <w:rPr>
          <w:sz w:val="20"/>
          <w:szCs w:val="20"/>
          <w:color w:val="auto"/>
        </w:rPr>
      </w:pPr>
    </w:p>
    <w:p>
      <w:pPr>
        <w:ind w:left="680"/>
        <w:spacing w:after="0"/>
        <w:tabs>
          <w:tab w:leader="none" w:pos="1360" w:val="left"/>
        </w:tabs>
        <w:rPr>
          <w:sz w:val="20"/>
          <w:szCs w:val="20"/>
          <w:color w:val="auto"/>
        </w:rPr>
      </w:pPr>
      <w:r>
        <w:rPr>
          <w:rFonts w:ascii="Arial" w:cs="Arial" w:eastAsia="Arial" w:hAnsi="Arial"/>
          <w:sz w:val="16"/>
          <w:szCs w:val="16"/>
          <w:u w:val="single" w:color="auto"/>
          <w:color w:val="0000EE"/>
        </w:rPr>
        <w:t>3(b)</w:t>
      </w:r>
      <w:r>
        <w:rPr>
          <w:sz w:val="20"/>
          <w:szCs w:val="20"/>
          <w:color w:val="auto"/>
        </w:rPr>
        <w:tab/>
      </w:r>
      <w:r>
        <w:rPr>
          <w:rFonts w:ascii="Arial" w:cs="Arial" w:eastAsia="Arial" w:hAnsi="Arial"/>
          <w:sz w:val="16"/>
          <w:szCs w:val="16"/>
          <w:color w:val="auto"/>
        </w:rPr>
        <w:t>By-laws, as amended</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124" w:lineRule="exact"/>
        <w:rPr>
          <w:sz w:val="20"/>
          <w:szCs w:val="20"/>
          <w:color w:val="auto"/>
        </w:rPr>
      </w:pPr>
    </w:p>
    <w:p>
      <w:pPr>
        <w:ind w:left="620"/>
        <w:spacing w:after="0"/>
        <w:tabs>
          <w:tab w:leader="none" w:pos="1360" w:val="left"/>
        </w:tabs>
        <w:rPr>
          <w:sz w:val="20"/>
          <w:szCs w:val="20"/>
          <w:color w:val="auto"/>
        </w:rPr>
      </w:pPr>
      <w:r>
        <w:rPr>
          <w:rFonts w:ascii="Arial" w:cs="Arial" w:eastAsia="Arial" w:hAnsi="Arial"/>
          <w:sz w:val="16"/>
          <w:szCs w:val="16"/>
          <w:u w:val="single" w:color="auto"/>
          <w:color w:val="0000EE"/>
        </w:rPr>
        <w:t>31(a)</w:t>
      </w:r>
      <w:r>
        <w:rPr>
          <w:sz w:val="20"/>
          <w:szCs w:val="20"/>
          <w:color w:val="auto"/>
        </w:rPr>
        <w:tab/>
      </w:r>
      <w:r>
        <w:rPr>
          <w:rFonts w:ascii="Arial" w:cs="Arial" w:eastAsia="Arial" w:hAnsi="Arial"/>
          <w:sz w:val="16"/>
          <w:szCs w:val="16"/>
          <w:color w:val="auto"/>
        </w:rPr>
        <w:t>Rule 13a-14(a)/15d-14(a) Certification of Principal Executive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5487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201" w:lineRule="exact"/>
        <w:rPr>
          <w:sz w:val="20"/>
          <w:szCs w:val="20"/>
          <w:color w:val="auto"/>
        </w:rPr>
      </w:pPr>
    </w:p>
    <w:p>
      <w:pPr>
        <w:ind w:left="600"/>
        <w:spacing w:after="0"/>
        <w:tabs>
          <w:tab w:leader="none" w:pos="1360" w:val="left"/>
        </w:tabs>
        <w:rPr>
          <w:sz w:val="20"/>
          <w:szCs w:val="20"/>
          <w:color w:val="auto"/>
        </w:rPr>
      </w:pPr>
      <w:r>
        <w:rPr>
          <w:rFonts w:ascii="Arial" w:cs="Arial" w:eastAsia="Arial" w:hAnsi="Arial"/>
          <w:sz w:val="16"/>
          <w:szCs w:val="16"/>
          <w:u w:val="single" w:color="auto"/>
          <w:color w:val="0000EE"/>
        </w:rPr>
        <w:t>31(b)</w:t>
      </w:r>
      <w:r>
        <w:rPr>
          <w:sz w:val="20"/>
          <w:szCs w:val="20"/>
          <w:color w:val="auto"/>
        </w:rPr>
        <w:tab/>
      </w:r>
      <w:r>
        <w:rPr>
          <w:rFonts w:ascii="Arial" w:cs="Arial" w:eastAsia="Arial" w:hAnsi="Arial"/>
          <w:sz w:val="16"/>
          <w:szCs w:val="16"/>
          <w:color w:val="auto"/>
        </w:rPr>
        <w:t>Rule 13a-14(a)/15d-14(a) Certification of Principal Financial Officer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25487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128905"/>
                    </a:xfrm>
                    <a:prstGeom prst="rect">
                      <a:avLst/>
                    </a:prstGeom>
                    <a:noFill/>
                  </pic:spPr>
                </pic:pic>
              </a:graphicData>
            </a:graphic>
          </wp:anchor>
        </w:drawing>
      </w:r>
    </w:p>
    <w:p>
      <w:pPr>
        <w:spacing w:after="0" w:line="201" w:lineRule="exact"/>
        <w:rPr>
          <w:sz w:val="20"/>
          <w:szCs w:val="20"/>
          <w:color w:val="auto"/>
        </w:rPr>
      </w:pPr>
    </w:p>
    <w:p>
      <w:pPr>
        <w:ind w:left="1380" w:right="80" w:hanging="581"/>
        <w:spacing w:after="0" w:line="296" w:lineRule="auto"/>
        <w:tabs>
          <w:tab w:leader="none" w:pos="1380" w:val="left"/>
        </w:tabs>
        <w:numPr>
          <w:ilvl w:val="0"/>
          <w:numId w:val="26"/>
        </w:numPr>
        <w:rPr>
          <w:rFonts w:ascii="Arial" w:cs="Arial" w:eastAsia="Arial" w:hAnsi="Arial"/>
          <w:sz w:val="16"/>
          <w:szCs w:val="16"/>
          <w:u w:val="single" w:color="auto"/>
          <w:color w:val="0000EE"/>
        </w:rPr>
      </w:pPr>
      <w:r>
        <w:rPr>
          <w:rFonts w:ascii="Arial" w:cs="Arial" w:eastAsia="Arial" w:hAnsi="Arial"/>
          <w:sz w:val="16"/>
          <w:szCs w:val="16"/>
          <w:color w:val="auto"/>
        </w:rPr>
        <w:t>Certification of Chief Executive Officer and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-281940</wp:posOffset>
            </wp:positionV>
            <wp:extent cx="7254875" cy="257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5717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101.INS</w:t>
            </w:r>
          </w:p>
        </w:tc>
        <w:tc>
          <w:tcPr>
            <w:tcW w:w="10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XBRL Instance Document</w:t>
            </w:r>
          </w:p>
        </w:tc>
      </w:tr>
      <w:tr>
        <w:trPr>
          <w:trHeight w:val="203"/>
        </w:trPr>
        <w:tc>
          <w:tcPr>
            <w:tcW w:w="118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203"/>
        </w:trPr>
        <w:tc>
          <w:tcPr>
            <w:tcW w:w="11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101.SCH</w:t>
            </w:r>
          </w:p>
        </w:tc>
        <w:tc>
          <w:tcPr>
            <w:tcW w:w="10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101.SCH XBRL Taxonomy Extension Schema.</w:t>
            </w:r>
          </w:p>
        </w:tc>
      </w:tr>
      <w:tr>
        <w:trPr>
          <w:trHeight w:val="203"/>
        </w:trPr>
        <w:tc>
          <w:tcPr>
            <w:tcW w:w="118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203"/>
        </w:trPr>
        <w:tc>
          <w:tcPr>
            <w:tcW w:w="11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101.CAL</w:t>
            </w:r>
          </w:p>
        </w:tc>
        <w:tc>
          <w:tcPr>
            <w:tcW w:w="10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101.CAL XBRL Taxonomy Extension Calculation Linkbase.</w:t>
            </w:r>
          </w:p>
        </w:tc>
      </w:tr>
      <w:tr>
        <w:trPr>
          <w:trHeight w:val="203"/>
        </w:trPr>
        <w:tc>
          <w:tcPr>
            <w:tcW w:w="118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203"/>
        </w:trPr>
        <w:tc>
          <w:tcPr>
            <w:tcW w:w="11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101.DEF</w:t>
            </w:r>
          </w:p>
        </w:tc>
        <w:tc>
          <w:tcPr>
            <w:tcW w:w="10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101.DEF XBRL Taxonomy Extension Definition Linkbase.</w:t>
            </w:r>
          </w:p>
        </w:tc>
      </w:tr>
      <w:tr>
        <w:trPr>
          <w:trHeight w:val="203"/>
        </w:trPr>
        <w:tc>
          <w:tcPr>
            <w:tcW w:w="118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203"/>
        </w:trPr>
        <w:tc>
          <w:tcPr>
            <w:tcW w:w="11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101.LAB</w:t>
            </w:r>
          </w:p>
        </w:tc>
        <w:tc>
          <w:tcPr>
            <w:tcW w:w="10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101.LAB XBRL Taxonomy Extension Label Linkbase.</w:t>
            </w:r>
          </w:p>
        </w:tc>
      </w:tr>
      <w:tr>
        <w:trPr>
          <w:trHeight w:val="203"/>
        </w:trPr>
        <w:tc>
          <w:tcPr>
            <w:tcW w:w="1180" w:type="dxa"/>
            <w:vAlign w:val="bottom"/>
          </w:tcPr>
          <w:p>
            <w:pPr>
              <w:spacing w:after="0"/>
              <w:rPr>
                <w:sz w:val="17"/>
                <w:szCs w:val="17"/>
                <w:color w:val="auto"/>
              </w:rPr>
            </w:pPr>
          </w:p>
        </w:tc>
        <w:tc>
          <w:tcPr>
            <w:tcW w:w="10240" w:type="dxa"/>
            <w:vAlign w:val="bottom"/>
          </w:tcPr>
          <w:p>
            <w:pPr>
              <w:spacing w:after="0"/>
              <w:rPr>
                <w:sz w:val="17"/>
                <w:szCs w:val="17"/>
                <w:color w:val="auto"/>
              </w:rPr>
            </w:pPr>
          </w:p>
        </w:tc>
      </w:tr>
      <w:tr>
        <w:trPr>
          <w:trHeight w:val="203"/>
        </w:trPr>
        <w:tc>
          <w:tcPr>
            <w:tcW w:w="118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101.PRE</w:t>
            </w:r>
          </w:p>
        </w:tc>
        <w:tc>
          <w:tcPr>
            <w:tcW w:w="10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101.PRE XBRL Taxonomy Extension Presentation Linkbase.</w:t>
            </w:r>
          </w:p>
        </w:tc>
      </w:tr>
    </w:tbl>
    <w:p>
      <w:pPr>
        <w:spacing w:after="0" w:line="138" w:lineRule="exact"/>
        <w:rPr>
          <w:sz w:val="20"/>
          <w:szCs w:val="20"/>
          <w:color w:val="auto"/>
        </w:rPr>
      </w:pPr>
    </w:p>
    <w:p>
      <w:pPr>
        <w:ind w:left="160" w:hanging="153"/>
        <w:spacing w:after="0"/>
        <w:tabs>
          <w:tab w:leader="none" w:pos="160" w:val="left"/>
        </w:tabs>
        <w:numPr>
          <w:ilvl w:val="0"/>
          <w:numId w:val="27"/>
        </w:numPr>
        <w:rPr>
          <w:rFonts w:ascii="Arial" w:cs="Arial" w:eastAsia="Arial" w:hAnsi="Arial"/>
          <w:sz w:val="23"/>
          <w:szCs w:val="23"/>
          <w:color w:val="auto"/>
          <w:vertAlign w:val="superscript"/>
        </w:rPr>
      </w:pPr>
      <w:r>
        <w:rPr>
          <w:rFonts w:ascii="Arial" w:cs="Arial" w:eastAsia="Arial" w:hAnsi="Arial"/>
          <w:sz w:val="16"/>
          <w:szCs w:val="16"/>
          <w:color w:val="auto"/>
        </w:rPr>
        <w:t>Denotes document filed as Exhibit 3 (a) to our Quarterly Report on Form 10-Q for the period ended March 31, 2014 and incorporated herein by reference.</w:t>
      </w:r>
    </w:p>
    <w:p>
      <w:pPr>
        <w:spacing w:after="0" w:line="7"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6"/>
          <w:szCs w:val="16"/>
          <w:color w:val="auto"/>
        </w:rPr>
        <w:t xml:space="preserve">  Denotes document filed Exhibit 3.1 to our Current Report on Form 8-K for an event dated November 5, 2009 and incorporated herein by reference.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6"/>
          <w:szCs w:val="16"/>
          <w:b w:val="1"/>
          <w:bCs w:val="1"/>
          <w:u w:val="single" w:color="auto"/>
          <w:color w:val="auto"/>
        </w:rPr>
        <w:t>SIGNATURES</w:t>
      </w:r>
    </w:p>
    <w:p>
      <w:pPr>
        <w:spacing w:after="0" w:line="225" w:lineRule="exact"/>
        <w:rPr>
          <w:sz w:val="20"/>
          <w:szCs w:val="20"/>
          <w:color w:val="auto"/>
        </w:rPr>
      </w:pPr>
    </w:p>
    <w:p>
      <w:pPr>
        <w:ind w:firstLine="608"/>
        <w:spacing w:after="0" w:line="29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6460" w:type="dxa"/>
            <w:vAlign w:val="bottom"/>
            <w:gridSpan w:val="2"/>
          </w:tcPr>
          <w:p>
            <w:pPr>
              <w:ind w:left="2120"/>
              <w:spacing w:after="0"/>
              <w:rPr>
                <w:sz w:val="20"/>
                <w:szCs w:val="20"/>
                <w:color w:val="auto"/>
              </w:rPr>
            </w:pPr>
            <w:r>
              <w:rPr>
                <w:rFonts w:ascii="Arial" w:cs="Arial" w:eastAsia="Arial" w:hAnsi="Arial"/>
                <w:sz w:val="16"/>
                <w:szCs w:val="16"/>
                <w:b w:val="1"/>
                <w:bCs w:val="1"/>
                <w:color w:val="auto"/>
              </w:rPr>
              <w:t>KINGSTONE COMPANIES, INC.</w:t>
            </w:r>
          </w:p>
        </w:tc>
      </w:tr>
      <w:tr>
        <w:trPr>
          <w:trHeight w:val="439"/>
        </w:trPr>
        <w:tc>
          <w:tcPr>
            <w:tcW w:w="3600" w:type="dxa"/>
            <w:vAlign w:val="bottom"/>
          </w:tcPr>
          <w:p>
            <w:pPr>
              <w:spacing w:after="0"/>
              <w:rPr>
                <w:sz w:val="20"/>
                <w:szCs w:val="20"/>
                <w:color w:val="auto"/>
              </w:rPr>
            </w:pPr>
            <w:r>
              <w:rPr>
                <w:rFonts w:ascii="Arial" w:cs="Arial" w:eastAsia="Arial" w:hAnsi="Arial"/>
                <w:sz w:val="16"/>
                <w:szCs w:val="16"/>
                <w:color w:val="auto"/>
              </w:rPr>
              <w:t>Dated: August 9, 2018</w:t>
            </w:r>
          </w:p>
        </w:tc>
        <w:tc>
          <w:tcPr>
            <w:tcW w:w="6460" w:type="dxa"/>
            <w:vAlign w:val="bottom"/>
            <w:gridSpan w:val="2"/>
          </w:tcPr>
          <w:p>
            <w:pPr>
              <w:ind w:left="2120"/>
              <w:spacing w:after="0"/>
              <w:rPr>
                <w:sz w:val="20"/>
                <w:szCs w:val="20"/>
                <w:color w:val="auto"/>
              </w:rPr>
            </w:pPr>
            <w:r>
              <w:rPr>
                <w:rFonts w:ascii="Arial" w:cs="Arial" w:eastAsia="Arial" w:hAnsi="Arial"/>
                <w:sz w:val="16"/>
                <w:szCs w:val="16"/>
                <w:color w:val="auto"/>
              </w:rPr>
              <w:t>By:  /s/ Barry B. Goldstein</w:t>
            </w:r>
          </w:p>
        </w:tc>
      </w:tr>
      <w:tr>
        <w:trPr>
          <w:trHeight w:val="194"/>
        </w:trPr>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Barry B. Goldstein</w:t>
            </w:r>
          </w:p>
        </w:tc>
      </w:tr>
      <w:tr>
        <w:trPr>
          <w:trHeight w:val="209"/>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President</w:t>
            </w:r>
          </w:p>
        </w:tc>
      </w:tr>
      <w:tr>
        <w:trPr>
          <w:trHeight w:val="641"/>
        </w:trPr>
        <w:tc>
          <w:tcPr>
            <w:tcW w:w="3600" w:type="dxa"/>
            <w:vAlign w:val="bottom"/>
          </w:tcPr>
          <w:p>
            <w:pPr>
              <w:spacing w:after="0"/>
              <w:rPr>
                <w:sz w:val="20"/>
                <w:szCs w:val="20"/>
                <w:color w:val="auto"/>
              </w:rPr>
            </w:pPr>
            <w:r>
              <w:rPr>
                <w:rFonts w:ascii="Arial" w:cs="Arial" w:eastAsia="Arial" w:hAnsi="Arial"/>
                <w:sz w:val="16"/>
                <w:szCs w:val="16"/>
                <w:color w:val="auto"/>
              </w:rPr>
              <w:t>Dated: August 9, 2018</w:t>
            </w:r>
          </w:p>
        </w:tc>
        <w:tc>
          <w:tcPr>
            <w:tcW w:w="6460" w:type="dxa"/>
            <w:vAlign w:val="bottom"/>
            <w:gridSpan w:val="2"/>
          </w:tcPr>
          <w:p>
            <w:pPr>
              <w:ind w:left="2120"/>
              <w:spacing w:after="0"/>
              <w:rPr>
                <w:sz w:val="20"/>
                <w:szCs w:val="20"/>
                <w:color w:val="auto"/>
              </w:rPr>
            </w:pPr>
            <w:r>
              <w:rPr>
                <w:rFonts w:ascii="Arial" w:cs="Arial" w:eastAsia="Arial" w:hAnsi="Arial"/>
                <w:sz w:val="16"/>
                <w:szCs w:val="16"/>
                <w:color w:val="auto"/>
              </w:rPr>
              <w:t>By:  /s/ Victor Brodsky</w:t>
            </w:r>
          </w:p>
        </w:tc>
      </w:tr>
      <w:tr>
        <w:trPr>
          <w:trHeight w:val="194"/>
        </w:trPr>
        <w:tc>
          <w:tcPr>
            <w:tcW w:w="36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Victor Brodsky</w:t>
            </w:r>
          </w:p>
        </w:tc>
      </w:tr>
      <w:tr>
        <w:trPr>
          <w:trHeight w:val="209"/>
        </w:trPr>
        <w:tc>
          <w:tcPr>
            <w:tcW w:w="3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2548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82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3"/>
          <w:szCs w:val="13"/>
          <w:b w:val="1"/>
          <w:bCs w:val="1"/>
          <w:color w:val="auto"/>
        </w:rPr>
        <w:t>Exhibit 31.1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 Barry B. Goldstein, certify that:</w:t>
      </w:r>
    </w:p>
    <w:p>
      <w:pPr>
        <w:spacing w:after="0" w:line="247" w:lineRule="exact"/>
        <w:rPr>
          <w:sz w:val="20"/>
          <w:szCs w:val="20"/>
          <w:color w:val="auto"/>
        </w:rPr>
      </w:pPr>
    </w:p>
    <w:p>
      <w:pPr>
        <w:ind w:left="320" w:hanging="319"/>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Form 10-Q of Kingstone Companies, Inc.;</w:t>
      </w:r>
    </w:p>
    <w:p>
      <w:pPr>
        <w:spacing w:after="0" w:line="246" w:lineRule="exact"/>
        <w:rPr>
          <w:rFonts w:ascii="Arial" w:cs="Arial" w:eastAsia="Arial" w:hAnsi="Arial"/>
          <w:sz w:val="16"/>
          <w:szCs w:val="16"/>
          <w:color w:val="auto"/>
        </w:rPr>
      </w:pPr>
    </w:p>
    <w:p>
      <w:pPr>
        <w:ind w:right="160" w:firstLine="1"/>
        <w:spacing w:after="0" w:line="296" w:lineRule="auto"/>
        <w:tabs>
          <w:tab w:leader="none" w:pos="3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6"/>
          <w:szCs w:val="16"/>
          <w:color w:val="auto"/>
        </w:rPr>
      </w:pPr>
    </w:p>
    <w:p>
      <w:pPr>
        <w:ind w:right="160" w:firstLine="1"/>
        <w:spacing w:after="0" w:line="296" w:lineRule="auto"/>
        <w:tabs>
          <w:tab w:leader="none" w:pos="3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79" w:lineRule="exact"/>
        <w:rPr>
          <w:rFonts w:ascii="Arial" w:cs="Arial" w:eastAsia="Arial" w:hAnsi="Arial"/>
          <w:sz w:val="16"/>
          <w:szCs w:val="16"/>
          <w:color w:val="auto"/>
        </w:rPr>
      </w:pPr>
    </w:p>
    <w:p>
      <w:pPr>
        <w:jc w:val="both"/>
        <w:ind w:right="160" w:firstLine="1"/>
        <w:spacing w:after="0" w:line="280" w:lineRule="auto"/>
        <w:tabs>
          <w:tab w:leader="none" w:pos="32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66" w:lineRule="exact"/>
        <w:rPr>
          <w:rFonts w:ascii="Arial" w:cs="Arial" w:eastAsia="Arial" w:hAnsi="Arial"/>
          <w:sz w:val="16"/>
          <w:szCs w:val="16"/>
          <w:color w:val="auto"/>
        </w:rPr>
      </w:pPr>
    </w:p>
    <w:p>
      <w:pPr>
        <w:jc w:val="both"/>
        <w:ind w:left="1220" w:hanging="611"/>
        <w:spacing w:after="0" w:line="280" w:lineRule="auto"/>
        <w:tabs>
          <w:tab w:leader="none" w:pos="12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6"/>
          <w:szCs w:val="16"/>
          <w:color w:val="auto"/>
        </w:rPr>
      </w:pPr>
    </w:p>
    <w:p>
      <w:pPr>
        <w:jc w:val="both"/>
        <w:ind w:left="1220" w:hanging="611"/>
        <w:spacing w:after="0" w:line="280" w:lineRule="auto"/>
        <w:tabs>
          <w:tab w:leader="none" w:pos="12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6"/>
          <w:szCs w:val="16"/>
          <w:color w:val="auto"/>
        </w:rPr>
      </w:pPr>
    </w:p>
    <w:p>
      <w:pPr>
        <w:ind w:left="1220" w:hanging="611"/>
        <w:spacing w:after="0" w:line="332" w:lineRule="auto"/>
        <w:tabs>
          <w:tab w:leader="none" w:pos="122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5"/>
          <w:szCs w:val="15"/>
          <w:color w:val="auto"/>
        </w:rPr>
      </w:pPr>
    </w:p>
    <w:p>
      <w:pPr>
        <w:jc w:val="both"/>
        <w:ind w:left="1220" w:hanging="611"/>
        <w:spacing w:after="0" w:line="280" w:lineRule="auto"/>
        <w:tabs>
          <w:tab w:leader="none" w:pos="12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spacing w:after="0" w:line="192" w:lineRule="exact"/>
        <w:rPr>
          <w:rFonts w:ascii="Arial" w:cs="Arial" w:eastAsia="Arial" w:hAnsi="Arial"/>
          <w:sz w:val="16"/>
          <w:szCs w:val="16"/>
          <w:color w:val="auto"/>
        </w:rPr>
      </w:pPr>
    </w:p>
    <w:p>
      <w:pPr>
        <w:ind w:right="80" w:firstLine="1"/>
        <w:spacing w:after="0" w:line="332" w:lineRule="auto"/>
        <w:tabs>
          <w:tab w:leader="none" w:pos="326"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30" w:lineRule="exact"/>
        <w:rPr>
          <w:rFonts w:ascii="Arial" w:cs="Arial" w:eastAsia="Arial" w:hAnsi="Arial"/>
          <w:sz w:val="15"/>
          <w:szCs w:val="15"/>
          <w:color w:val="auto"/>
        </w:rPr>
      </w:pPr>
    </w:p>
    <w:p>
      <w:pPr>
        <w:ind w:left="1220" w:hanging="611"/>
        <w:spacing w:after="0" w:line="296" w:lineRule="auto"/>
        <w:tabs>
          <w:tab w:leader="none" w:pos="12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54" w:lineRule="exact"/>
        <w:rPr>
          <w:rFonts w:ascii="Arial" w:cs="Arial" w:eastAsia="Arial" w:hAnsi="Arial"/>
          <w:sz w:val="16"/>
          <w:szCs w:val="16"/>
          <w:color w:val="auto"/>
        </w:rPr>
      </w:pPr>
    </w:p>
    <w:p>
      <w:pPr>
        <w:ind w:left="1220" w:hanging="611"/>
        <w:spacing w:after="0" w:line="296" w:lineRule="auto"/>
        <w:tabs>
          <w:tab w:leader="none" w:pos="12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small business issuer’s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20"/>
                <w:szCs w:val="20"/>
                <w:color w:val="auto"/>
              </w:rPr>
            </w:pPr>
            <w:r>
              <w:rPr>
                <w:rFonts w:ascii="Arial" w:cs="Arial" w:eastAsia="Arial" w:hAnsi="Arial"/>
                <w:sz w:val="16"/>
                <w:szCs w:val="16"/>
                <w:color w:val="auto"/>
              </w:rPr>
              <w:t>Date: August 9, 2018</w:t>
            </w:r>
          </w:p>
        </w:tc>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/s/ Barry B. Goldstein</w:t>
            </w:r>
          </w:p>
        </w:tc>
        <w:tc>
          <w:tcPr>
            <w:tcW w:w="4100" w:type="dxa"/>
            <w:vAlign w:val="bottom"/>
          </w:tcPr>
          <w:p>
            <w:pPr>
              <w:spacing w:after="0"/>
              <w:rPr>
                <w:sz w:val="16"/>
                <w:szCs w:val="16"/>
                <w:color w:val="auto"/>
              </w:rPr>
            </w:pPr>
          </w:p>
        </w:tc>
      </w:tr>
      <w:tr>
        <w:trPr>
          <w:trHeight w:val="212"/>
        </w:trPr>
        <w:tc>
          <w:tcPr>
            <w:tcW w:w="58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Barry B. Goldstein</w:t>
            </w:r>
          </w:p>
        </w:tc>
      </w:tr>
      <w:tr>
        <w:trPr>
          <w:trHeight w:val="209"/>
        </w:trPr>
        <w:tc>
          <w:tcPr>
            <w:tcW w:w="58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r>
      <w:tr>
        <w:trPr>
          <w:trHeight w:val="408"/>
        </w:trPr>
        <w:tc>
          <w:tcPr>
            <w:tcW w:w="58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9"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3"/>
          <w:szCs w:val="13"/>
          <w:b w:val="1"/>
          <w:bCs w:val="1"/>
          <w:color w:val="auto"/>
        </w:rPr>
        <w:t>Exhibit 31.2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 Victor Brodsky, certify that:</w:t>
      </w:r>
    </w:p>
    <w:p>
      <w:pPr>
        <w:spacing w:after="0" w:line="247" w:lineRule="exact"/>
        <w:rPr>
          <w:sz w:val="20"/>
          <w:szCs w:val="20"/>
          <w:color w:val="auto"/>
        </w:rPr>
      </w:pPr>
    </w:p>
    <w:p>
      <w:pPr>
        <w:ind w:left="320" w:hanging="319"/>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Form 10-Q of Kingstone Companies, Inc.;</w:t>
      </w:r>
    </w:p>
    <w:p>
      <w:pPr>
        <w:spacing w:after="0" w:line="246" w:lineRule="exact"/>
        <w:rPr>
          <w:rFonts w:ascii="Arial" w:cs="Arial" w:eastAsia="Arial" w:hAnsi="Arial"/>
          <w:sz w:val="16"/>
          <w:szCs w:val="16"/>
          <w:color w:val="auto"/>
        </w:rPr>
      </w:pPr>
    </w:p>
    <w:p>
      <w:pPr>
        <w:ind w:right="160" w:firstLine="1"/>
        <w:spacing w:after="0" w:line="296" w:lineRule="auto"/>
        <w:tabs>
          <w:tab w:leader="none" w:pos="3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6"/>
          <w:szCs w:val="16"/>
          <w:color w:val="auto"/>
        </w:rPr>
      </w:pPr>
    </w:p>
    <w:p>
      <w:pPr>
        <w:ind w:right="160" w:firstLine="1"/>
        <w:spacing w:after="0" w:line="296" w:lineRule="auto"/>
        <w:tabs>
          <w:tab w:leader="none" w:pos="3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79" w:lineRule="exact"/>
        <w:rPr>
          <w:rFonts w:ascii="Arial" w:cs="Arial" w:eastAsia="Arial" w:hAnsi="Arial"/>
          <w:sz w:val="16"/>
          <w:szCs w:val="16"/>
          <w:color w:val="auto"/>
        </w:rPr>
      </w:pPr>
    </w:p>
    <w:p>
      <w:pPr>
        <w:jc w:val="both"/>
        <w:ind w:right="160" w:firstLine="1"/>
        <w:spacing w:after="0" w:line="280" w:lineRule="auto"/>
        <w:tabs>
          <w:tab w:leader="none" w:pos="3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small business issuer’s other certifying officers and I are responsible for establishing and maintaining disclosure controls and procedures (as defined in Exchange Act Rules 13a-15(e) and 15d-15-(e)) and internal control over financial reporting (as defined in Exchange Act Rules 13a-15(f) and 15d-15(f)) for the small business issuer and have:</w:t>
      </w:r>
    </w:p>
    <w:p>
      <w:pPr>
        <w:spacing w:after="0" w:line="166" w:lineRule="exact"/>
        <w:rPr>
          <w:rFonts w:ascii="Arial" w:cs="Arial" w:eastAsia="Arial" w:hAnsi="Arial"/>
          <w:sz w:val="16"/>
          <w:szCs w:val="16"/>
          <w:color w:val="auto"/>
        </w:rPr>
      </w:pPr>
    </w:p>
    <w:p>
      <w:pPr>
        <w:jc w:val="both"/>
        <w:ind w:left="1220" w:hanging="611"/>
        <w:spacing w:after="0" w:line="280" w:lineRule="auto"/>
        <w:tabs>
          <w:tab w:leader="none" w:pos="1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66" w:lineRule="exact"/>
        <w:rPr>
          <w:rFonts w:ascii="Arial" w:cs="Arial" w:eastAsia="Arial" w:hAnsi="Arial"/>
          <w:sz w:val="16"/>
          <w:szCs w:val="16"/>
          <w:color w:val="auto"/>
        </w:rPr>
      </w:pPr>
    </w:p>
    <w:p>
      <w:pPr>
        <w:jc w:val="both"/>
        <w:ind w:left="1220" w:hanging="611"/>
        <w:spacing w:after="0" w:line="280" w:lineRule="auto"/>
        <w:tabs>
          <w:tab w:leader="none" w:pos="1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Arial" w:cs="Arial" w:eastAsia="Arial" w:hAnsi="Arial"/>
          <w:sz w:val="16"/>
          <w:szCs w:val="16"/>
          <w:color w:val="auto"/>
        </w:rPr>
      </w:pPr>
    </w:p>
    <w:p>
      <w:pPr>
        <w:ind w:left="1220" w:hanging="611"/>
        <w:spacing w:after="0" w:line="332" w:lineRule="auto"/>
        <w:tabs>
          <w:tab w:leader="none" w:pos="12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5"/>
          <w:szCs w:val="15"/>
          <w:color w:val="auto"/>
        </w:rPr>
      </w:pPr>
    </w:p>
    <w:p>
      <w:pPr>
        <w:jc w:val="both"/>
        <w:ind w:left="1220" w:hanging="611"/>
        <w:spacing w:after="0" w:line="275" w:lineRule="auto"/>
        <w:tabs>
          <w:tab w:leader="none" w:pos="1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small business issuer’s internal control over financial reporting that occurred during the small business issuer’s most recent fiscal quarter (the small business issuer’s fourth fiscal quarter in the case of an annual report) that has materially affected, or is reasonably likely to materially affect, the small business issuer’s internal control over financial reporting; and</w:t>
      </w:r>
    </w:p>
    <w:p>
      <w:pPr>
        <w:ind w:right="80" w:firstLine="1"/>
        <w:spacing w:after="0" w:line="332" w:lineRule="auto"/>
        <w:tabs>
          <w:tab w:leader="none" w:pos="326"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small business issuer’s other certifying officer(s) and I have disclosed, based on our most recent evaluation of internal control over financial reporting, to the small business issuer’s auditors and the audit committee of the small business issuer’s board of directors (or persons performing the equivalent functions):</w:t>
      </w:r>
    </w:p>
    <w:p>
      <w:pPr>
        <w:spacing w:after="0" w:line="130" w:lineRule="exact"/>
        <w:rPr>
          <w:rFonts w:ascii="Arial" w:cs="Arial" w:eastAsia="Arial" w:hAnsi="Arial"/>
          <w:sz w:val="15"/>
          <w:szCs w:val="15"/>
          <w:color w:val="auto"/>
        </w:rPr>
      </w:pPr>
    </w:p>
    <w:p>
      <w:pPr>
        <w:ind w:left="1220" w:hanging="611"/>
        <w:spacing w:after="0" w:line="296" w:lineRule="auto"/>
        <w:tabs>
          <w:tab w:leader="none" w:pos="1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small business issuer’s ability to record, process, summarize and report financial information; and</w:t>
      </w:r>
    </w:p>
    <w:p>
      <w:pPr>
        <w:spacing w:after="0" w:line="154" w:lineRule="exact"/>
        <w:rPr>
          <w:rFonts w:ascii="Arial" w:cs="Arial" w:eastAsia="Arial" w:hAnsi="Arial"/>
          <w:sz w:val="16"/>
          <w:szCs w:val="16"/>
          <w:color w:val="auto"/>
        </w:rPr>
      </w:pPr>
    </w:p>
    <w:p>
      <w:pPr>
        <w:ind w:left="1220" w:hanging="611"/>
        <w:spacing w:after="0" w:line="296" w:lineRule="auto"/>
        <w:tabs>
          <w:tab w:leader="none" w:pos="1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small business issuer’s internal control over financial reporting.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20"/>
                <w:szCs w:val="20"/>
                <w:color w:val="auto"/>
              </w:rPr>
            </w:pPr>
            <w:r>
              <w:rPr>
                <w:rFonts w:ascii="Arial" w:cs="Arial" w:eastAsia="Arial" w:hAnsi="Arial"/>
                <w:sz w:val="16"/>
                <w:szCs w:val="16"/>
                <w:color w:val="auto"/>
              </w:rPr>
              <w:t>Date: August 9, 2018</w:t>
            </w:r>
          </w:p>
        </w:tc>
        <w:tc>
          <w:tcPr>
            <w:tcW w:w="1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6"/>
              </w:rPr>
              <w:t>/s/ Victor Brodsky</w:t>
            </w:r>
          </w:p>
        </w:tc>
        <w:tc>
          <w:tcPr>
            <w:tcW w:w="4340" w:type="dxa"/>
            <w:vAlign w:val="bottom"/>
          </w:tcPr>
          <w:p>
            <w:pPr>
              <w:spacing w:after="0"/>
              <w:rPr>
                <w:sz w:val="16"/>
                <w:szCs w:val="16"/>
                <w:color w:val="auto"/>
              </w:rPr>
            </w:pPr>
          </w:p>
        </w:tc>
      </w:tr>
      <w:tr>
        <w:trPr>
          <w:trHeight w:val="212"/>
        </w:trPr>
        <w:tc>
          <w:tcPr>
            <w:tcW w:w="58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Victor Brodsky</w:t>
            </w:r>
          </w:p>
        </w:tc>
      </w:tr>
      <w:tr>
        <w:trPr>
          <w:trHeight w:val="209"/>
        </w:trPr>
        <w:tc>
          <w:tcPr>
            <w:tcW w:w="586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6"/>
                <w:szCs w:val="16"/>
                <w:color w:val="auto"/>
              </w:rPr>
              <w:t>Principal Financial Officer</w:t>
            </w:r>
          </w:p>
        </w:tc>
      </w:tr>
      <w:tr>
        <w:trPr>
          <w:trHeight w:val="547"/>
        </w:trPr>
        <w:tc>
          <w:tcPr>
            <w:tcW w:w="5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3"/>
          <w:szCs w:val="13"/>
          <w:b w:val="1"/>
          <w:bCs w:val="1"/>
          <w:color w:val="auto"/>
        </w:rPr>
        <w:t>Exhibit 32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15" w:lineRule="exact"/>
        <w:rPr>
          <w:sz w:val="20"/>
          <w:szCs w:val="20"/>
          <w:color w:val="auto"/>
        </w:rPr>
      </w:pPr>
    </w:p>
    <w:p>
      <w:pPr>
        <w:jc w:val="both"/>
        <w:ind w:firstLine="608"/>
        <w:spacing w:after="0" w:line="275"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June 30, 2018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20"/>
                <w:szCs w:val="20"/>
                <w:color w:val="auto"/>
              </w:rPr>
            </w:pPr>
            <w:r>
              <w:rPr>
                <w:rFonts w:ascii="Arial" w:cs="Arial" w:eastAsia="Arial" w:hAnsi="Arial"/>
                <w:sz w:val="16"/>
                <w:szCs w:val="16"/>
                <w:color w:val="auto"/>
              </w:rPr>
              <w:t>Date: August 9, 2018</w:t>
            </w: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3"/>
              </w:rPr>
              <w:t>/s/ Barry B. Goldstein</w:t>
            </w:r>
          </w:p>
        </w:tc>
        <w:tc>
          <w:tcPr>
            <w:tcW w:w="4220" w:type="dxa"/>
            <w:vAlign w:val="bottom"/>
          </w:tcPr>
          <w:p>
            <w:pPr>
              <w:spacing w:after="0"/>
              <w:rPr>
                <w:sz w:val="16"/>
                <w:szCs w:val="16"/>
                <w:color w:val="auto"/>
              </w:rPr>
            </w:pPr>
          </w:p>
        </w:tc>
      </w:tr>
      <w:tr>
        <w:trPr>
          <w:trHeight w:val="212"/>
        </w:trPr>
        <w:tc>
          <w:tcPr>
            <w:tcW w:w="57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6"/>
                <w:szCs w:val="16"/>
                <w:color w:val="auto"/>
              </w:rPr>
              <w:t>Barry B. Goldstein</w:t>
            </w:r>
          </w:p>
        </w:tc>
      </w:tr>
      <w:tr>
        <w:trPr>
          <w:trHeight w:val="209"/>
        </w:trPr>
        <w:tc>
          <w:tcPr>
            <w:tcW w:w="57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6"/>
                <w:szCs w:val="16"/>
                <w:color w:val="auto"/>
              </w:rPr>
              <w:t>Chief Executive Officer</w:t>
            </w:r>
          </w:p>
        </w:tc>
      </w:tr>
      <w:tr>
        <w:trPr>
          <w:trHeight w:val="370"/>
        </w:trPr>
        <w:tc>
          <w:tcPr>
            <w:tcW w:w="576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4"/>
              </w:rPr>
              <w:t>/s/ Victor Brodsky</w:t>
            </w:r>
          </w:p>
        </w:tc>
        <w:tc>
          <w:tcPr>
            <w:tcW w:w="4460" w:type="dxa"/>
            <w:vAlign w:val="bottom"/>
            <w:gridSpan w:val="2"/>
          </w:tcPr>
          <w:p>
            <w:pPr>
              <w:spacing w:after="0"/>
              <w:rPr>
                <w:sz w:val="24"/>
                <w:szCs w:val="24"/>
                <w:color w:val="auto"/>
              </w:rPr>
            </w:pPr>
          </w:p>
        </w:tc>
      </w:tr>
      <w:tr>
        <w:trPr>
          <w:trHeight w:val="212"/>
        </w:trPr>
        <w:tc>
          <w:tcPr>
            <w:tcW w:w="57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6"/>
                <w:szCs w:val="16"/>
                <w:color w:val="auto"/>
              </w:rPr>
              <w:t>Victor Brodsky</w:t>
            </w:r>
          </w:p>
        </w:tc>
      </w:tr>
      <w:tr>
        <w:trPr>
          <w:trHeight w:val="209"/>
        </w:trPr>
        <w:tc>
          <w:tcPr>
            <w:tcW w:w="576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6"/>
                <w:szCs w:val="16"/>
                <w:color w:val="auto"/>
              </w:rPr>
              <w:t>Chief Financial Officer</w:t>
            </w:r>
          </w:p>
        </w:tc>
      </w:tr>
      <w:tr>
        <w:trPr>
          <w:trHeight w:val="953"/>
        </w:trPr>
        <w:tc>
          <w:tcPr>
            <w:tcW w:w="5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upperLetter"/>
      <w:start w:val="1"/>
    </w:lvl>
  </w:abstractNum>
  <w:abstractNum w:abstractNumId="13">
    <w:nsid w:val="333AB105"/>
    <w:multiLevelType w:val="hybridMultilevel"/>
    <w:lvl w:ilvl="0">
      <w:lvlJc w:val="left"/>
      <w:lvlText w:val="(%1)"/>
      <w:numFmt w:val="upperLetter"/>
      <w:start w:val="2"/>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lvl w:ilvl="1">
      <w:lvlJc w:val="left"/>
      <w:lvlText w:val="(%2)"/>
      <w:numFmt w:val="decimal"/>
      <w:start w:val="2"/>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4"/>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32"/>
    </w:lvl>
  </w:abstractNum>
  <w:abstractNum w:abstractNumId="26">
    <w:nsid w:val="2CA88611"/>
    <w:multiLevelType w:val="hybridMultilevel"/>
    <w:lvl w:ilvl="0">
      <w:lvlJc w:val="left"/>
      <w:lvlText w:val="1"/>
      <w:numFmt w:val="bullet"/>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2020-01-13T07:28:58Z</dcterms:created>
  <dcterms:modified xsi:type="dcterms:W3CDTF">2020-01-13T07:28:58Z</dcterms:modified>
</cp:coreProperties>
</file>