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 w:lineRule="exact"/>
        <w:rPr>
          <w:sz w:val="24"/>
          <w:szCs w:val="24"/>
          <w:color w:val="auto"/>
        </w:rPr>
      </w:pPr>
    </w:p>
    <w:p>
      <w:pPr>
        <w:ind w:left="3820" w:right="1640" w:hanging="3812"/>
        <w:spacing w:after="0" w:line="490" w:lineRule="auto"/>
        <w:tabs>
          <w:tab w:leader="none" w:pos="46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u w:val="single" w:color="auto"/>
          <w:color w:val="auto"/>
        </w:rPr>
        <w:t>March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540" w:right="1620" w:hanging="3532"/>
        <w:spacing w:after="0" w:line="500" w:lineRule="auto"/>
        <w:tabs>
          <w:tab w:leader="none" w:pos="46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_________to _________</w:t>
      </w:r>
    </w:p>
    <w:p>
      <w:pPr>
        <w:spacing w:after="0" w:line="1"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0-1665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KINGSTONE COMPANIES,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24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36-2476480</w:t>
            </w:r>
          </w:p>
        </w:tc>
      </w:tr>
      <w:tr>
        <w:trPr>
          <w:trHeight w:val="187"/>
        </w:trPr>
        <w:tc>
          <w:tcPr>
            <w:tcW w:w="43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940" w:type="dxa"/>
            <w:vAlign w:val="bottom"/>
          </w:tcPr>
          <w:p>
            <w:pPr>
              <w:spacing w:after="0"/>
              <w:rPr>
                <w:sz w:val="16"/>
                <w:szCs w:val="16"/>
                <w:color w:val="auto"/>
              </w:rPr>
            </w:pPr>
          </w:p>
        </w:tc>
        <w:tc>
          <w:tcPr>
            <w:tcW w:w="43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94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 Joys Lane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Kingston, NY 12401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(845) 802-7900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KINS</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860" w:type="dxa"/>
        <w:tblCellMar>
          <w:top w:w="0" w:type="dxa"/>
          <w:left w:w="0" w:type="dxa"/>
          <w:bottom w:w="0" w:type="dxa"/>
          <w:right w:w="0" w:type="dxa"/>
        </w:tblCellMar>
      </w:tblPr>
      <w:tr>
        <w:trPr>
          <w:trHeight w:val="22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tabs>
          <w:tab w:leader="none" w:pos="89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15, 2024, there were 11,008,036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188595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240030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80" w:type="dxa"/>
            <w:vAlign w:val="bottom"/>
            <w:gridSpan w:val="3"/>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9"/>
              </w:rPr>
              <w:t>KINGSTONE COMPANIES, INC.</w:t>
            </w:r>
          </w:p>
        </w:tc>
      </w:tr>
      <w:tr>
        <w:trPr>
          <w:trHeight w:val="238"/>
        </w:trPr>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80" w:type="dxa"/>
            <w:vAlign w:val="bottom"/>
            <w:gridSpan w:val="3"/>
          </w:tcPr>
          <w:p>
            <w:pPr>
              <w:jc w:val="center"/>
              <w:ind w:right="3740"/>
              <w:spacing w:after="0"/>
              <w:rPr>
                <w:sz w:val="20"/>
                <w:szCs w:val="20"/>
                <w:color w:val="auto"/>
              </w:rPr>
            </w:pPr>
            <w:r>
              <w:rPr>
                <w:rFonts w:ascii="Times New Roman" w:cs="Times New Roman" w:eastAsia="Times New Roman" w:hAnsi="Times New Roman"/>
                <w:sz w:val="18"/>
                <w:szCs w:val="18"/>
                <w:b w:val="1"/>
                <w:bCs w:val="1"/>
                <w:color w:val="auto"/>
                <w:w w:val="99"/>
              </w:rPr>
              <w:t>INDEX</w:t>
            </w:r>
          </w:p>
        </w:tc>
      </w:tr>
      <w:tr>
        <w:trPr>
          <w:trHeight w:val="432"/>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2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500" w:type="dxa"/>
            <w:vAlign w:val="bottom"/>
            <w:tcBorders>
              <w:bottom w:val="single" w:sz="8" w:color="CCEEFF"/>
            </w:tcBorders>
            <w:shd w:val="clear" w:color="auto" w:fill="CCEEFF"/>
          </w:tcPr>
          <w:p>
            <w:pPr>
              <w:spacing w:after="0"/>
              <w:rPr>
                <w:sz w:val="17"/>
                <w:szCs w:val="17"/>
                <w:color w:val="auto"/>
              </w:rPr>
            </w:pPr>
          </w:p>
        </w:tc>
        <w:tc>
          <w:tcPr>
            <w:tcW w:w="7480" w:type="dxa"/>
            <w:vAlign w:val="bottom"/>
            <w:tcBorders>
              <w:bottom w:val="single" w:sz="8" w:color="CCEEFF"/>
            </w:tcBorders>
            <w:gridSpan w:val="3"/>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175"/>
        </w:trPr>
        <w:tc>
          <w:tcPr>
            <w:tcW w:w="3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Item 1 —    Financial Statements</w:t>
            </w:r>
          </w:p>
        </w:tc>
        <w:tc>
          <w:tcPr>
            <w:tcW w:w="7480" w:type="dxa"/>
            <w:vAlign w:val="bottom"/>
            <w:gridSpan w:val="3"/>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7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91" w:orient="portrait"/>
          <w:cols w:equalWidth="0" w:num="1">
            <w:col w:w="11240"/>
          </w:cols>
          <w:pgMar w:left="320" w:top="671" w:right="339" w:bottom="0" w:gutter="0" w:footer="0" w:header="0"/>
        </w:sectPr>
      </w:pPr>
    </w:p>
    <w:bookmarkStart w:id="1" w:name="page2"/>
    <w:bookmarkEnd w:id="1"/>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Condensed Consolidated Balance Sheets at March 31, 2024 (Unaudited) and December 31, 2023</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1"/>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0" w:type="dxa"/>
            <w:vAlign w:val="bottom"/>
            <w:tcBorders>
              <w:bottom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Income (Loss) for the three months ended March 31,</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2024 (Unaudited) and 2023 (Unaudited)</w:t>
            </w:r>
          </w:p>
        </w:tc>
        <w:tc>
          <w:tcPr>
            <w:tcW w:w="7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6"/>
        </w:trPr>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months ended March 31, 2024 (Unaudited) and</w:t>
            </w:r>
          </w:p>
        </w:tc>
        <w:tc>
          <w:tcPr>
            <w:tcW w:w="760" w:type="dxa"/>
            <w:vAlign w:val="bottom"/>
            <w:shd w:val="clear" w:color="auto" w:fill="CCEEFF"/>
          </w:tcPr>
          <w:p>
            <w:pPr>
              <w:spacing w:after="0"/>
              <w:rPr>
                <w:sz w:val="15"/>
                <w:szCs w:val="15"/>
                <w:color w:val="auto"/>
              </w:rPr>
            </w:pPr>
          </w:p>
        </w:tc>
      </w:tr>
      <w:tr>
        <w:trPr>
          <w:trHeight w:val="196"/>
        </w:trPr>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780" w:type="dxa"/>
            <w:vAlign w:val="bottom"/>
            <w:tcBorders>
              <w:top w:val="single" w:sz="8" w:color="0000EE"/>
            </w:tcBorders>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2023 (Unaudited)</w:t>
            </w:r>
          </w:p>
        </w:tc>
        <w:tc>
          <w:tcPr>
            <w:tcW w:w="700" w:type="dxa"/>
            <w:vAlign w:val="bottom"/>
            <w:tcBorders>
              <w:top w:val="single" w:sz="8" w:color="CCEEFF"/>
            </w:tcBorders>
            <w:gridSpan w:val="2"/>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8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2024 (Unaudited) and 2023</w:t>
            </w:r>
          </w:p>
        </w:tc>
        <w:tc>
          <w:tcPr>
            <w:tcW w:w="760" w:type="dxa"/>
            <w:vAlign w:val="bottom"/>
          </w:tcPr>
          <w:p>
            <w:pPr>
              <w:spacing w:after="0"/>
              <w:rPr>
                <w:sz w:val="15"/>
                <w:szCs w:val="15"/>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980" w:type="dxa"/>
            <w:vAlign w:val="bottom"/>
            <w:gridSpan w:val="3"/>
          </w:tcPr>
          <w:p>
            <w:pPr>
              <w:spacing w:after="0"/>
              <w:rPr>
                <w:sz w:val="17"/>
                <w:szCs w:val="17"/>
                <w:color w:val="auto"/>
              </w:rPr>
            </w:pPr>
          </w:p>
        </w:tc>
        <w:tc>
          <w:tcPr>
            <w:tcW w:w="7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92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4560" w:type="dxa"/>
            <w:vAlign w:val="bottom"/>
            <w:tcBorders>
              <w:bottom w:val="single" w:sz="8" w:color="CCEEFF"/>
            </w:tcBorders>
            <w:gridSpan w:val="6"/>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5"/>
        </w:trPr>
        <w:tc>
          <w:tcPr>
            <w:tcW w:w="10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2 —</w:t>
            </w:r>
          </w:p>
        </w:tc>
        <w:tc>
          <w:tcPr>
            <w:tcW w:w="948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6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40</w:t>
            </w:r>
          </w:p>
        </w:tc>
      </w:tr>
      <w:tr>
        <w:trPr>
          <w:trHeight w:val="21"/>
        </w:trPr>
        <w:tc>
          <w:tcPr>
            <w:tcW w:w="7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3 —</w:t>
            </w:r>
          </w:p>
        </w:tc>
        <w:tc>
          <w:tcPr>
            <w:tcW w:w="300" w:type="dxa"/>
            <w:vAlign w:val="bottom"/>
            <w:gridSpan w:val="2"/>
            <w:shd w:val="clear" w:color="auto" w:fill="CCEEFF"/>
          </w:tcPr>
          <w:p>
            <w:pPr>
              <w:spacing w:after="0"/>
              <w:rPr>
                <w:sz w:val="17"/>
                <w:szCs w:val="17"/>
                <w:color w:val="auto"/>
              </w:rPr>
            </w:pPr>
          </w:p>
        </w:tc>
        <w:tc>
          <w:tcPr>
            <w:tcW w:w="94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68</w:t>
            </w:r>
          </w:p>
        </w:tc>
      </w:tr>
      <w:tr>
        <w:trPr>
          <w:trHeight w:val="176"/>
        </w:trPr>
        <w:tc>
          <w:tcPr>
            <w:tcW w:w="70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8"/>
              </w:rPr>
              <w:t>Item 4 —</w:t>
            </w:r>
          </w:p>
        </w:tc>
        <w:tc>
          <w:tcPr>
            <w:tcW w:w="300" w:type="dxa"/>
            <w:vAlign w:val="bottom"/>
            <w:tcBorders>
              <w:top w:val="single" w:sz="8" w:color="CCEEFF"/>
            </w:tcBorders>
            <w:gridSpan w:val="2"/>
          </w:tcPr>
          <w:p>
            <w:pPr>
              <w:spacing w:after="0"/>
              <w:rPr>
                <w:sz w:val="15"/>
                <w:szCs w:val="15"/>
                <w:color w:val="auto"/>
              </w:rPr>
            </w:pPr>
          </w:p>
        </w:tc>
        <w:tc>
          <w:tcPr>
            <w:tcW w:w="436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120" w:type="dxa"/>
            <w:vAlign w:val="bottom"/>
            <w:tcBorders>
              <w:top w:val="single" w:sz="8" w:color="CCEEFF"/>
            </w:tcBorders>
            <w:gridSpan w:val="7"/>
          </w:tcPr>
          <w:p>
            <w:pPr>
              <w:spacing w:after="0"/>
              <w:rPr>
                <w:sz w:val="15"/>
                <w:szCs w:val="15"/>
                <w:color w:val="auto"/>
              </w:rPr>
            </w:pPr>
          </w:p>
        </w:tc>
        <w:tc>
          <w:tcPr>
            <w:tcW w:w="760" w:type="dxa"/>
            <w:vAlign w:val="bottom"/>
            <w:tcBorders>
              <w:top w:val="single" w:sz="8" w:color="CCEEFF"/>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68</w:t>
            </w:r>
          </w:p>
        </w:tc>
      </w:tr>
      <w:tr>
        <w:trPr>
          <w:trHeight w:val="237"/>
        </w:trPr>
        <w:tc>
          <w:tcPr>
            <w:tcW w:w="70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96"/>
        </w:trPr>
        <w:tc>
          <w:tcPr>
            <w:tcW w:w="29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7520" w:type="dxa"/>
            <w:vAlign w:val="bottom"/>
            <w:tcBorders>
              <w:bottom w:val="single" w:sz="8" w:color="CCEEFF"/>
            </w:tcBorders>
            <w:gridSpan w:val="10"/>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70</w:t>
            </w:r>
          </w:p>
        </w:tc>
      </w:tr>
      <w:tr>
        <w:trPr>
          <w:trHeight w:val="175"/>
        </w:trPr>
        <w:tc>
          <w:tcPr>
            <w:tcW w:w="10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1 —</w:t>
            </w:r>
          </w:p>
        </w:tc>
        <w:tc>
          <w:tcPr>
            <w:tcW w:w="948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6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70</w:t>
            </w:r>
          </w:p>
        </w:tc>
      </w:tr>
      <w:tr>
        <w:trPr>
          <w:trHeight w:val="21"/>
        </w:trPr>
        <w:tc>
          <w:tcPr>
            <w:tcW w:w="7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5"/>
        </w:trPr>
        <w:tc>
          <w:tcPr>
            <w:tcW w:w="10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w:t>
            </w:r>
          </w:p>
        </w:tc>
        <w:tc>
          <w:tcPr>
            <w:tcW w:w="94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70</w:t>
            </w:r>
          </w:p>
        </w:tc>
      </w:tr>
      <w:tr>
        <w:trPr>
          <w:trHeight w:val="21"/>
        </w:trPr>
        <w:tc>
          <w:tcPr>
            <w:tcW w:w="7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Item 2 —</w:t>
            </w:r>
          </w:p>
        </w:tc>
        <w:tc>
          <w:tcPr>
            <w:tcW w:w="180" w:type="dxa"/>
            <w:vAlign w:val="bottom"/>
          </w:tcPr>
          <w:p>
            <w:pPr>
              <w:spacing w:after="0"/>
              <w:rPr>
                <w:sz w:val="15"/>
                <w:szCs w:val="15"/>
                <w:color w:val="auto"/>
              </w:rPr>
            </w:pPr>
          </w:p>
        </w:tc>
        <w:tc>
          <w:tcPr>
            <w:tcW w:w="948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6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7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3 —</w:t>
            </w:r>
          </w:p>
        </w:tc>
        <w:tc>
          <w:tcPr>
            <w:tcW w:w="300" w:type="dxa"/>
            <w:vAlign w:val="bottom"/>
            <w:tcBorders>
              <w:bottom w:val="single" w:sz="8" w:color="CCEEFF"/>
            </w:tcBorders>
            <w:gridSpan w:val="2"/>
            <w:shd w:val="clear" w:color="auto" w:fill="CCEEFF"/>
          </w:tcPr>
          <w:p>
            <w:pPr>
              <w:spacing w:after="0"/>
              <w:rPr>
                <w:sz w:val="17"/>
                <w:szCs w:val="17"/>
                <w:color w:val="auto"/>
              </w:rPr>
            </w:pPr>
          </w:p>
        </w:tc>
        <w:tc>
          <w:tcPr>
            <w:tcW w:w="23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Defaults Upon Senior Securities</w:t>
            </w:r>
          </w:p>
        </w:tc>
        <w:tc>
          <w:tcPr>
            <w:tcW w:w="7140" w:type="dxa"/>
            <w:vAlign w:val="bottom"/>
            <w:tcBorders>
              <w:bottom w:val="single" w:sz="8" w:color="CCEEFF"/>
            </w:tcBorders>
            <w:gridSpan w:val="9"/>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70</w:t>
            </w:r>
          </w:p>
        </w:tc>
      </w:tr>
      <w:tr>
        <w:trPr>
          <w:trHeight w:val="176"/>
        </w:trPr>
        <w:tc>
          <w:tcPr>
            <w:tcW w:w="10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4 —</w:t>
            </w:r>
          </w:p>
        </w:tc>
        <w:tc>
          <w:tcPr>
            <w:tcW w:w="948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6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70</w:t>
            </w:r>
          </w:p>
        </w:tc>
      </w:tr>
      <w:tr>
        <w:trPr>
          <w:trHeight w:val="21"/>
        </w:trPr>
        <w:tc>
          <w:tcPr>
            <w:tcW w:w="7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5 —</w:t>
            </w:r>
          </w:p>
        </w:tc>
        <w:tc>
          <w:tcPr>
            <w:tcW w:w="300" w:type="dxa"/>
            <w:vAlign w:val="bottom"/>
            <w:gridSpan w:val="2"/>
            <w:shd w:val="clear" w:color="auto" w:fill="CCEEFF"/>
          </w:tcPr>
          <w:p>
            <w:pPr>
              <w:spacing w:after="0"/>
              <w:rPr>
                <w:sz w:val="17"/>
                <w:szCs w:val="17"/>
                <w:color w:val="auto"/>
              </w:rPr>
            </w:pPr>
          </w:p>
        </w:tc>
        <w:tc>
          <w:tcPr>
            <w:tcW w:w="94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70</w:t>
            </w:r>
          </w:p>
        </w:tc>
      </w:tr>
      <w:tr>
        <w:trPr>
          <w:trHeight w:val="175"/>
        </w:trPr>
        <w:tc>
          <w:tcPr>
            <w:tcW w:w="70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8"/>
              </w:rPr>
              <w:t>Item 6 —</w:t>
            </w:r>
          </w:p>
        </w:tc>
        <w:tc>
          <w:tcPr>
            <w:tcW w:w="300" w:type="dxa"/>
            <w:vAlign w:val="bottom"/>
            <w:tcBorders>
              <w:top w:val="single" w:sz="8" w:color="CCEEFF"/>
            </w:tcBorders>
            <w:gridSpan w:val="2"/>
          </w:tcPr>
          <w:p>
            <w:pPr>
              <w:spacing w:after="0"/>
              <w:rPr>
                <w:sz w:val="15"/>
                <w:szCs w:val="15"/>
                <w:color w:val="auto"/>
              </w:rPr>
            </w:pPr>
          </w:p>
        </w:tc>
        <w:tc>
          <w:tcPr>
            <w:tcW w:w="132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8160" w:type="dxa"/>
            <w:vAlign w:val="bottom"/>
            <w:tcBorders>
              <w:top w:val="single" w:sz="8" w:color="CCEEFF"/>
            </w:tcBorders>
            <w:gridSpan w:val="13"/>
          </w:tcPr>
          <w:p>
            <w:pPr>
              <w:spacing w:after="0"/>
              <w:rPr>
                <w:sz w:val="15"/>
                <w:szCs w:val="15"/>
                <w:color w:val="auto"/>
              </w:rPr>
            </w:pPr>
          </w:p>
        </w:tc>
        <w:tc>
          <w:tcPr>
            <w:tcW w:w="760" w:type="dxa"/>
            <w:vAlign w:val="bottom"/>
            <w:tcBorders>
              <w:top w:val="single" w:sz="8" w:color="CCEEFF"/>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71</w:t>
            </w:r>
          </w:p>
        </w:tc>
      </w:tr>
      <w:tr>
        <w:trPr>
          <w:trHeight w:val="21"/>
        </w:trPr>
        <w:tc>
          <w:tcPr>
            <w:tcW w:w="7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6"/>
        </w:trPr>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7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88"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This Quarterly Report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within the meaning of the Private Securities Litigation Reform Act of 1995. The events described in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contained in this Quarterly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(“Risk Factors”) of our Annual Report on Form 10-K for the year ended December 31, 2023, Part I, Item 2 of this Quarterly Report and Part II, Item 1A of this Quarterly Report.</w:t>
      </w:r>
    </w:p>
    <w:p>
      <w:pPr>
        <w:spacing w:after="0" w:line="160"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Any one or more of these uncertainties, risks and other influences could materially affect our results of operations and whether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made by us ultimately prove to be accurate. Our actual results, performance and achievements could differ materially from those expressed or implied in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undertake no obligation to publicly update or revise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whether from new information, future events or otherwise except as required by law.</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b w:val="1"/>
          <w:bCs w:val="1"/>
          <w:u w:val="single" w:color="auto"/>
          <w:color w:val="auto"/>
        </w:rPr>
        <w:t>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6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(unaudited)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Fixed-maturity securities, held-to-maturity, at amortized cost (fair value of $6,043,911 at March 31, 2024 and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$6,106,148 at December 31, 2023)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7,051,252</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7,052,541</w:t>
            </w:r>
          </w:p>
        </w:tc>
        <w:tc>
          <w:tcPr>
            <w:tcW w:w="0" w:type="dxa"/>
            <w:vAlign w:val="bottom"/>
          </w:tcPr>
          <w:p>
            <w:pPr>
              <w:spacing w:after="0"/>
              <w:rPr>
                <w:sz w:val="1"/>
                <w:szCs w:val="1"/>
                <w:color w:val="auto"/>
              </w:rPr>
            </w:pPr>
          </w:p>
        </w:tc>
      </w:tr>
      <w:tr>
        <w:trPr>
          <w:trHeight w:val="198"/>
        </w:trPr>
        <w:tc>
          <w:tcPr>
            <w:tcW w:w="86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Fixed-maturity securities, available-for-sale, at fair value (amortized cost of $177,344,695 at March 31, 2024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$164,460,942 at December 31, 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161,247,070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148,920,797</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securities, at fair value (cost of $16,119,554 at March 31, 2024 and $17,986,783 at December 31, 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13,536,833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14,762,340</w:t>
            </w:r>
          </w:p>
        </w:tc>
        <w:tc>
          <w:tcPr>
            <w:tcW w:w="0" w:type="dxa"/>
            <w:vAlign w:val="bottom"/>
          </w:tcPr>
          <w:p>
            <w:pPr>
              <w:spacing w:after="0"/>
              <w:rPr>
                <w:sz w:val="1"/>
                <w:szCs w:val="1"/>
                <w:color w:val="auto"/>
              </w:rPr>
            </w:pPr>
          </w:p>
        </w:tc>
      </w:tr>
      <w:tr>
        <w:trPr>
          <w:trHeight w:val="216"/>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investments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4,074,176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185,909,331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174,632,828</w:t>
            </w:r>
          </w:p>
        </w:tc>
        <w:tc>
          <w:tcPr>
            <w:tcW w:w="0" w:type="dxa"/>
            <w:vAlign w:val="bottom"/>
          </w:tcPr>
          <w:p>
            <w:pPr>
              <w:spacing w:after="0"/>
              <w:rPr>
                <w:sz w:val="1"/>
                <w:szCs w:val="1"/>
                <w:color w:val="auto"/>
              </w:rPr>
            </w:pPr>
          </w:p>
        </w:tc>
      </w:tr>
      <w:tr>
        <w:trPr>
          <w:trHeight w:val="216"/>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3,199,300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8,976,998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Premiums receivable,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13,902,797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13,604,808</w:t>
            </w:r>
          </w:p>
        </w:tc>
        <w:tc>
          <w:tcPr>
            <w:tcW w:w="0" w:type="dxa"/>
            <w:vAlign w:val="bottom"/>
          </w:tcPr>
          <w:p>
            <w:pPr>
              <w:spacing w:after="0"/>
              <w:rPr>
                <w:sz w:val="1"/>
                <w:szCs w:val="1"/>
                <w:color w:val="auto"/>
              </w:rPr>
            </w:pPr>
          </w:p>
        </w:tc>
      </w:tr>
      <w:tr>
        <w:trPr>
          <w:trHeight w:val="216"/>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Reinsurance receivables,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70,723,937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75,593,912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19,427,151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19,802,564</w:t>
            </w:r>
          </w:p>
        </w:tc>
        <w:tc>
          <w:tcPr>
            <w:tcW w:w="0" w:type="dxa"/>
            <w:vAlign w:val="bottom"/>
          </w:tcPr>
          <w:p>
            <w:pPr>
              <w:spacing w:after="0"/>
              <w:rPr>
                <w:sz w:val="1"/>
                <w:szCs w:val="1"/>
                <w:color w:val="auto"/>
              </w:rPr>
            </w:pPr>
          </w:p>
        </w:tc>
      </w:tr>
      <w:tr>
        <w:trPr>
          <w:trHeight w:val="216"/>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9,340,159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9,395,697</w:t>
            </w:r>
          </w:p>
        </w:tc>
        <w:tc>
          <w:tcPr>
            <w:tcW w:w="0" w:type="dxa"/>
            <w:vAlign w:val="bottom"/>
          </w:tcPr>
          <w:p>
            <w:pPr>
              <w:spacing w:after="0"/>
              <w:rPr>
                <w:sz w:val="1"/>
                <w:szCs w:val="1"/>
                <w:color w:val="auto"/>
              </w:rPr>
            </w:pPr>
          </w:p>
        </w:tc>
      </w:tr>
      <w:tr>
        <w:trPr>
          <w:trHeight w:val="216"/>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10,290,867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10,551,819</w:t>
            </w:r>
          </w:p>
        </w:tc>
        <w:tc>
          <w:tcPr>
            <w:tcW w:w="0" w:type="dxa"/>
            <w:vAlign w:val="bottom"/>
          </w:tcPr>
          <w:p>
            <w:pPr>
              <w:spacing w:after="0"/>
              <w:rPr>
                <w:sz w:val="1"/>
                <w:szCs w:val="1"/>
                <w:color w:val="auto"/>
              </w:rPr>
            </w:pPr>
          </w:p>
        </w:tc>
      </w:tr>
      <w:tr>
        <w:trPr>
          <w:trHeight w:val="216"/>
        </w:trPr>
        <w:tc>
          <w:tcPr>
            <w:tcW w:w="8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4,999,181</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4,574,584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318,292,723</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317,633,210</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0" w:orient="portrait"/>
          <w:cols w:equalWidth="0" w:num="1">
            <w:col w:w="11240"/>
          </w:cols>
          <w:pgMar w:left="320" w:top="108"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and loss adjustment expense reserves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122,498,439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121,817,862</w:t>
            </w: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premiums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104,949,777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105,621,538</w:t>
            </w: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 premiums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4,580,934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3,797,590</w:t>
            </w: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10,797,386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12,837,140</w:t>
            </w: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ceding commission revenue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9,290,100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9,460,865</w:t>
            </w: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5,168,007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4,350,546</w:t>
            </w: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25,258,273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25,243,530</w:t>
            </w:r>
          </w:p>
        </w:tc>
      </w:tr>
      <w:tr>
        <w:trPr>
          <w:trHeight w:val="209"/>
        </w:trPr>
        <w:tc>
          <w:tcPr>
            <w:tcW w:w="87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282,542,916</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283,129,071</w:t>
            </w:r>
          </w:p>
        </w:tc>
        <w:tc>
          <w:tcPr>
            <w:tcW w:w="100" w:type="dxa"/>
            <w:vAlign w:val="bottom"/>
            <w:tcBorders>
              <w:top w:val="single" w:sz="8" w:color="CCEEFF"/>
            </w:tcBorders>
          </w:tcPr>
          <w:p>
            <w:pPr>
              <w:spacing w:after="0"/>
              <w:rPr>
                <w:sz w:val="18"/>
                <w:szCs w:val="18"/>
                <w:color w:val="auto"/>
              </w:rPr>
            </w:pPr>
          </w:p>
        </w:tc>
      </w:tr>
      <w:tr>
        <w:trPr>
          <w:trHeight w:val="210"/>
        </w:trPr>
        <w:tc>
          <w:tcPr>
            <w:tcW w:w="8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$0.01 par value; authorized 2,500,000 shares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7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$0.01 par value; authorized 20,000,000 shares; issued 12,479,422 shares at March 31, 2024 and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12,248,313 shares at December 31, 2023; outstanding 11,008,016 shares at March 31, 2024 and 10,776,907 shares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 December 31, 2023</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124,794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122,483</w:t>
            </w: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in excess of par</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75,595,096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75,338,010</w:t>
            </w: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(12,714,971)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(12,274,563)</w:t>
            </w: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(21,687,631)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(23,114,310)</w:t>
            </w: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41,317,288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40,071,620</w:t>
            </w: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at cost, 1,471,406 shares at March 31, 2024 and December 31, 2023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(5,567,481)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(5,567,481)</w:t>
            </w: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35,749,807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34,504,139</w:t>
            </w:r>
          </w:p>
        </w:tc>
      </w:tr>
      <w:tr>
        <w:trPr>
          <w:trHeight w:val="209"/>
        </w:trPr>
        <w:tc>
          <w:tcPr>
            <w:tcW w:w="8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318,292,723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317,633,210</w:t>
            </w:r>
          </w:p>
        </w:tc>
      </w:tr>
      <w:tr>
        <w:trPr>
          <w:trHeight w:val="20"/>
        </w:trPr>
        <w:tc>
          <w:tcPr>
            <w:tcW w:w="8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7"/>
          <w:szCs w:val="17"/>
          <w:b w:val="1"/>
          <w:bCs w:val="1"/>
          <w:color w:val="auto"/>
        </w:rPr>
        <w:t>KINGSTONE COMPANIES, INC. AND SUBSIDIARIES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gridSpan w:val="5"/>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For the Three Months Ended</w:t>
            </w:r>
          </w:p>
        </w:tc>
        <w:tc>
          <w:tcPr>
            <w:tcW w:w="0" w:type="dxa"/>
            <w:vAlign w:val="bottom"/>
          </w:tcPr>
          <w:p>
            <w:pPr>
              <w:spacing w:after="0"/>
              <w:rPr>
                <w:sz w:val="1"/>
                <w:szCs w:val="1"/>
                <w:color w:val="auto"/>
              </w:rPr>
            </w:pPr>
          </w:p>
        </w:tc>
      </w:tr>
      <w:tr>
        <w:trPr>
          <w:trHeight w:val="238"/>
        </w:trPr>
        <w:tc>
          <w:tcPr>
            <w:tcW w:w="8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28,819,902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28,254,953</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Ceding commission revenue</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4,567,111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5,445,407</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1,502,860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1,541,492</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gains on investments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726,391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1,224,871</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148,913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161,040</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35,765,177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36,627,763</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17,859,587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25,039,410</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 expense</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7,851,812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8,539,762</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5,880,605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6,871,619</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778,082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662,634</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596,513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808,130</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993,875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1,009,891</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33,960,474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42,931,446</w:t>
            </w:r>
          </w:p>
        </w:tc>
        <w:tc>
          <w:tcPr>
            <w:tcW w:w="0" w:type="dxa"/>
            <w:vAlign w:val="bottom"/>
          </w:tcPr>
          <w:p>
            <w:pPr>
              <w:spacing w:after="0"/>
              <w:rPr>
                <w:sz w:val="1"/>
                <w:szCs w:val="1"/>
                <w:color w:val="auto"/>
              </w:rPr>
            </w:pPr>
          </w:p>
        </w:tc>
      </w:tr>
      <w:tr>
        <w:trPr>
          <w:trHeight w:val="209"/>
        </w:trPr>
        <w:tc>
          <w:tcPr>
            <w:tcW w:w="87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operations before taxes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1,804,703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(6,303,683)</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378,024</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(1,248,973)</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1,426,679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(5,054,710)</w:t>
            </w:r>
          </w:p>
        </w:tc>
        <w:tc>
          <w:tcPr>
            <w:tcW w:w="0" w:type="dxa"/>
            <w:vAlign w:val="bottom"/>
          </w:tcPr>
          <w:p>
            <w:pPr>
              <w:spacing w:after="0"/>
              <w:rPr>
                <w:sz w:val="1"/>
                <w:szCs w:val="1"/>
                <w:color w:val="auto"/>
              </w:rPr>
            </w:pPr>
          </w:p>
        </w:tc>
      </w:tr>
      <w:tr>
        <w:trPr>
          <w:trHeight w:val="210"/>
        </w:trPr>
        <w:tc>
          <w:tcPr>
            <w:tcW w:w="87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 net of tax</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change in unrealized (losses) gains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on available-for-sale-securities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(560,347)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2,467,426</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adjustment for losses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included in net income (loss)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2,639</w:t>
            </w: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change in unrealized (losses) gains,</w:t>
            </w: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on available-for-sale-securities</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(557,480)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2,470,065</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 (expense) related to items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other comprehensive (loss) income</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117,072</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(518,713)</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 net of tax</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(440,408)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1,951,352</w:t>
            </w:r>
          </w:p>
        </w:tc>
        <w:tc>
          <w:tcPr>
            <w:tcW w:w="0" w:type="dxa"/>
            <w:vAlign w:val="bottom"/>
          </w:tcPr>
          <w:p>
            <w:pPr>
              <w:spacing w:after="0"/>
              <w:rPr>
                <w:sz w:val="1"/>
                <w:szCs w:val="1"/>
                <w:color w:val="auto"/>
              </w:rPr>
            </w:pPr>
          </w:p>
        </w:tc>
      </w:tr>
      <w:tr>
        <w:trPr>
          <w:trHeight w:val="209"/>
        </w:trPr>
        <w:tc>
          <w:tcPr>
            <w:tcW w:w="87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986,271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(3,103,358)</w:t>
            </w:r>
          </w:p>
        </w:tc>
        <w:tc>
          <w:tcPr>
            <w:tcW w:w="0" w:type="dxa"/>
            <w:vAlign w:val="bottom"/>
          </w:tcPr>
          <w:p>
            <w:pPr>
              <w:spacing w:after="0"/>
              <w:rPr>
                <w:sz w:val="1"/>
                <w:szCs w:val="1"/>
                <w:color w:val="auto"/>
              </w:rPr>
            </w:pPr>
          </w:p>
        </w:tc>
      </w:tr>
      <w:tr>
        <w:trPr>
          <w:trHeight w:val="213"/>
        </w:trPr>
        <w:tc>
          <w:tcPr>
            <w:tcW w:w="87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333" w:right="3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common share: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r>
      <w:tr>
        <w:trPr>
          <w:trHeight w:val="20"/>
        </w:trPr>
        <w:tc>
          <w:tcPr>
            <w:tcW w:w="8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70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2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(0.47)</w:t>
            </w:r>
          </w:p>
        </w:tc>
      </w:tr>
      <w:tr>
        <w:trPr>
          <w:trHeight w:val="196"/>
        </w:trPr>
        <w:tc>
          <w:tcPr>
            <w:tcW w:w="87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10,999,662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10,756,913</w:t>
            </w:r>
          </w:p>
        </w:tc>
      </w:tr>
      <w:tr>
        <w:trPr>
          <w:trHeight w:val="20"/>
        </w:trPr>
        <w:tc>
          <w:tcPr>
            <w:tcW w:w="8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11,791,520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10,756,913</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5"/>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40" w:type="dxa"/>
            <w:vAlign w:val="bottom"/>
          </w:tcPr>
          <w:p>
            <w:pPr>
              <w:spacing w:after="0"/>
              <w:rPr>
                <w:sz w:val="19"/>
                <w:szCs w:val="19"/>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80" w:type="dxa"/>
            <w:vAlign w:val="bottom"/>
          </w:tcPr>
          <w:p>
            <w:pPr>
              <w:spacing w:after="0"/>
              <w:rPr>
                <w:sz w:val="19"/>
                <w:szCs w:val="19"/>
                <w:color w:val="auto"/>
              </w:rPr>
            </w:pPr>
          </w:p>
        </w:tc>
        <w:tc>
          <w:tcPr>
            <w:tcW w:w="134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5"/>
            <w:vMerge w:val="continue"/>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in Excess</w:t>
            </w:r>
          </w:p>
        </w:tc>
        <w:tc>
          <w:tcPr>
            <w:tcW w:w="40" w:type="dxa"/>
            <w:vAlign w:val="bottom"/>
          </w:tcPr>
          <w:p>
            <w:pPr>
              <w:spacing w:after="0"/>
              <w:rPr>
                <w:sz w:val="19"/>
                <w:szCs w:val="19"/>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980" w:type="dxa"/>
            <w:vAlign w:val="bottom"/>
            <w:gridSpan w:val="4"/>
            <w:vMerge w:val="continue"/>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74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8"/>
                <w:szCs w:val="18"/>
                <w:color w:val="auto"/>
              </w:rPr>
            </w:pPr>
          </w:p>
        </w:tc>
        <w:tc>
          <w:tcPr>
            <w:tcW w:w="9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of Par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1"/>
        </w:trPr>
        <w:tc>
          <w:tcPr>
            <w:tcW w:w="10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w:t>
            </w: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12,171,512</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$ 121,715</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$74,519,590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(15,958,428)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(16,945,964)</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1,471,406</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 (5,567,481)</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$36,169,432</w:t>
            </w: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216,767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216,767</w:t>
            </w:r>
          </w:p>
        </w:tc>
        <w:tc>
          <w:tcPr>
            <w:tcW w:w="0" w:type="dxa"/>
            <w:vAlign w:val="bottom"/>
          </w:tcPr>
          <w:p>
            <w:pPr>
              <w:spacing w:after="0"/>
              <w:rPr>
                <w:sz w:val="1"/>
                <w:szCs w:val="1"/>
                <w:color w:val="auto"/>
              </w:rPr>
            </w:pPr>
          </w:p>
        </w:tc>
      </w:tr>
      <w:tr>
        <w:trPr>
          <w:trHeight w:val="198"/>
        </w:trPr>
        <w:tc>
          <w:tcPr>
            <w:tcW w:w="1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awards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60,951</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610</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deducted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restricted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stock awards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for payment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of</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withholding</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(498)</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(832)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(5,054,710)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(5,054,710)</w:t>
            </w: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unrealized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gains on</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available- for-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sale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securities, net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1,951,352</w:t>
            </w:r>
          </w:p>
        </w:tc>
        <w:tc>
          <w:tcPr>
            <w:tcW w:w="140" w:type="dxa"/>
            <w:vAlign w:val="bottom"/>
          </w:tcPr>
          <w:p>
            <w:pPr>
              <w:spacing w:after="0"/>
              <w:rPr>
                <w:sz w:val="18"/>
                <w:szCs w:val="18"/>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1,951,352</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of tax</w:t>
            </w:r>
          </w:p>
        </w:tc>
        <w:tc>
          <w:tcPr>
            <w:tcW w:w="74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860" w:type="dxa"/>
            <w:vAlign w:val="bottom"/>
            <w:gridSpan w:val="3"/>
            <w:vMerge w:val="continue"/>
          </w:tcPr>
          <w:p>
            <w:pPr>
              <w:spacing w:after="0"/>
              <w:rPr>
                <w:sz w:val="19"/>
                <w:szCs w:val="19"/>
                <w:color w:val="auto"/>
              </w:rPr>
            </w:pPr>
          </w:p>
        </w:tc>
        <w:tc>
          <w:tcPr>
            <w:tcW w:w="108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0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w:t>
            </w: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12,231,965</w:t>
            </w: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$ 122,320</w:t>
            </w:r>
          </w:p>
        </w:tc>
        <w:tc>
          <w:tcPr>
            <w:tcW w:w="10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74,734,915</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(14,007,076)</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(22,000,674)</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1,471,406</w:t>
            </w: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(5,567,481)</w:t>
            </w:r>
          </w:p>
        </w:tc>
        <w:tc>
          <w:tcPr>
            <w:tcW w:w="10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33,282,004</w:t>
            </w: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2023</w:t>
            </w:r>
          </w:p>
        </w:tc>
        <w:tc>
          <w:tcPr>
            <w:tcW w:w="740" w:type="dxa"/>
            <w:vAlign w:val="bottom"/>
            <w:gridSpan w:val="2"/>
            <w:vMerge w:val="continue"/>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860" w:type="dxa"/>
            <w:vAlign w:val="bottom"/>
            <w:gridSpan w:val="3"/>
            <w:vMerge w:val="continue"/>
            <w:shd w:val="clear" w:color="auto" w:fill="CCEEFF"/>
          </w:tcPr>
          <w:p>
            <w:pPr>
              <w:spacing w:after="0"/>
              <w:rPr>
                <w:sz w:val="20"/>
                <w:szCs w:val="20"/>
                <w:color w:val="auto"/>
              </w:rPr>
            </w:pPr>
          </w:p>
        </w:tc>
        <w:tc>
          <w:tcPr>
            <w:tcW w:w="1080" w:type="dxa"/>
            <w:vAlign w:val="bottom"/>
            <w:gridSpan w:val="3"/>
            <w:vMerge w:val="continue"/>
            <w:shd w:val="clear" w:color="auto" w:fill="CCEEFF"/>
          </w:tcPr>
          <w:p>
            <w:pPr>
              <w:spacing w:after="0"/>
              <w:rPr>
                <w:sz w:val="20"/>
                <w:szCs w:val="20"/>
                <w:color w:val="auto"/>
              </w:rPr>
            </w:pPr>
          </w:p>
        </w:tc>
        <w:tc>
          <w:tcPr>
            <w:tcW w:w="140" w:type="dxa"/>
            <w:vAlign w:val="bottom"/>
            <w:gridSpan w:val="2"/>
            <w:vMerge w:val="continue"/>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8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1080" w:type="dxa"/>
            <w:vAlign w:val="bottom"/>
            <w:tcBorders>
              <w:top w:val="single" w:sz="8" w:color="CCEEFF"/>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5"/>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40" w:type="dxa"/>
            <w:vAlign w:val="bottom"/>
          </w:tcPr>
          <w:p>
            <w:pPr>
              <w:spacing w:after="0"/>
              <w:rPr>
                <w:sz w:val="19"/>
                <w:szCs w:val="19"/>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80" w:type="dxa"/>
            <w:vAlign w:val="bottom"/>
          </w:tcPr>
          <w:p>
            <w:pPr>
              <w:spacing w:after="0"/>
              <w:rPr>
                <w:sz w:val="19"/>
                <w:szCs w:val="19"/>
                <w:color w:val="auto"/>
              </w:rPr>
            </w:pPr>
          </w:p>
        </w:tc>
        <w:tc>
          <w:tcPr>
            <w:tcW w:w="134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5"/>
            <w:vMerge w:val="continue"/>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in Excess</w:t>
            </w:r>
          </w:p>
        </w:tc>
        <w:tc>
          <w:tcPr>
            <w:tcW w:w="40" w:type="dxa"/>
            <w:vAlign w:val="bottom"/>
          </w:tcPr>
          <w:p>
            <w:pPr>
              <w:spacing w:after="0"/>
              <w:rPr>
                <w:sz w:val="19"/>
                <w:szCs w:val="19"/>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980" w:type="dxa"/>
            <w:vAlign w:val="bottom"/>
            <w:gridSpan w:val="4"/>
            <w:vMerge w:val="continue"/>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74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8"/>
                <w:szCs w:val="18"/>
                <w:color w:val="auto"/>
              </w:rPr>
            </w:pPr>
          </w:p>
        </w:tc>
        <w:tc>
          <w:tcPr>
            <w:tcW w:w="9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of Par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1"/>
        </w:trPr>
        <w:tc>
          <w:tcPr>
            <w:tcW w:w="10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w:t>
            </w: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12,248,313</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$ 122,483</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$75,338,010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(12,274,563)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(23,114,310)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1,471,406</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 (5,567,481)</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$34,504,139</w:t>
            </w: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265,789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265,789</w:t>
            </w:r>
          </w:p>
        </w:tc>
        <w:tc>
          <w:tcPr>
            <w:tcW w:w="0" w:type="dxa"/>
            <w:vAlign w:val="bottom"/>
          </w:tcPr>
          <w:p>
            <w:pPr>
              <w:spacing w:after="0"/>
              <w:rPr>
                <w:sz w:val="1"/>
                <w:szCs w:val="1"/>
                <w:color w:val="auto"/>
              </w:rPr>
            </w:pPr>
          </w:p>
        </w:tc>
      </w:tr>
      <w:tr>
        <w:trPr>
          <w:trHeight w:val="198"/>
        </w:trPr>
        <w:tc>
          <w:tcPr>
            <w:tcW w:w="1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awards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233,627</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2,336</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deducted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restricted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stock awards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for payment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of</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withholding</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(2,518)</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(6,367)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(6,392)</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1,426,679</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1,426,679</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Change in</w:t>
            </w:r>
          </w:p>
        </w:tc>
        <w:tc>
          <w:tcPr>
            <w:tcW w:w="7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(440,408)</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(440,408)</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unrealized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losses on</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available- for-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sale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securities, net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of tax</w:t>
            </w: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0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w:t>
            </w:r>
          </w:p>
        </w:tc>
        <w:tc>
          <w:tcPr>
            <w:tcW w:w="1080" w:type="dxa"/>
            <w:vAlign w:val="bottom"/>
            <w:gridSpan w:val="3"/>
            <w:vMerge w:val="restart"/>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12,479,422</w:t>
            </w:r>
          </w:p>
        </w:tc>
        <w:tc>
          <w:tcPr>
            <w:tcW w:w="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$ 124,794</w:t>
            </w:r>
          </w:p>
        </w:tc>
        <w:tc>
          <w:tcPr>
            <w:tcW w:w="10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75,595,096</w:t>
            </w:r>
          </w:p>
        </w:tc>
        <w:tc>
          <w:tcPr>
            <w:tcW w:w="3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(12,714,971)</w:t>
            </w:r>
          </w:p>
        </w:tc>
        <w:tc>
          <w:tcPr>
            <w:tcW w:w="12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(21,687,631)</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1,471,406</w:t>
            </w:r>
          </w:p>
        </w:tc>
        <w:tc>
          <w:tcPr>
            <w:tcW w:w="106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(5,567,481)</w:t>
            </w: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35,749,807</w:t>
            </w:r>
          </w:p>
        </w:tc>
        <w:tc>
          <w:tcPr>
            <w:tcW w:w="0" w:type="dxa"/>
            <w:vAlign w:val="bottom"/>
          </w:tcPr>
          <w:p>
            <w:pPr>
              <w:spacing w:after="0"/>
              <w:rPr>
                <w:sz w:val="1"/>
                <w:szCs w:val="1"/>
                <w:color w:val="auto"/>
              </w:rPr>
            </w:pPr>
          </w:p>
        </w:tc>
      </w:tr>
      <w:tr>
        <w:trPr>
          <w:trHeight w:val="214"/>
        </w:trPr>
        <w:tc>
          <w:tcPr>
            <w:tcW w:w="1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2024</w:t>
            </w:r>
          </w:p>
        </w:tc>
        <w:tc>
          <w:tcPr>
            <w:tcW w:w="1080" w:type="dxa"/>
            <w:vAlign w:val="bottom"/>
            <w:gridSpan w:val="3"/>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40" w:type="dxa"/>
            <w:vAlign w:val="bottom"/>
            <w:tcBorders>
              <w:right w:val="single" w:sz="8" w:color="CCEEFF"/>
            </w:tcBorders>
            <w:vMerge w:val="continue"/>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080" w:type="dxa"/>
            <w:vAlign w:val="bottom"/>
            <w:gridSpan w:val="3"/>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60" w:type="dxa"/>
            <w:vAlign w:val="bottom"/>
            <w:tcBorders>
              <w:right w:val="single" w:sz="8" w:color="CCEEFF"/>
            </w:tcBorders>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4780" w:type="dxa"/>
            <w:vAlign w:val="bottom"/>
          </w:tcPr>
          <w:p>
            <w:pPr>
              <w:spacing w:after="0"/>
              <w:rPr>
                <w:sz w:val="24"/>
                <w:szCs w:val="24"/>
                <w:color w:val="auto"/>
              </w:rPr>
            </w:pPr>
          </w:p>
        </w:tc>
        <w:tc>
          <w:tcPr>
            <w:tcW w:w="5180" w:type="dxa"/>
            <w:vAlign w:val="bottom"/>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tc>
      </w:tr>
      <w:tr>
        <w:trPr>
          <w:trHeight w:val="432"/>
        </w:trPr>
        <w:tc>
          <w:tcPr>
            <w:tcW w:w="6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tc>
        <w:tc>
          <w:tcPr>
            <w:tcW w:w="2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Three Months ended March 31,</w:t>
            </w:r>
          </w:p>
        </w:tc>
        <w:tc>
          <w:tcPr>
            <w:tcW w:w="2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1,426,679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(5,054,710)</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flows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provided by (used in) operating activities: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losses on investments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92,357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2,639</w:t>
            </w:r>
          </w:p>
        </w:tc>
      </w:tr>
      <w:tr>
        <w:trPr>
          <w:trHeight w:val="216"/>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unrealized gains on equity investments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(641,722)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(863,713)</w:t>
            </w:r>
          </w:p>
        </w:tc>
      </w:tr>
      <w:tr>
        <w:trPr>
          <w:trHeight w:val="216"/>
        </w:trPr>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gains on other investments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(177,026)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(363,797)</w:t>
            </w:r>
          </w:p>
        </w:tc>
      </w:tr>
      <w:tr>
        <w:trPr>
          <w:trHeight w:val="216"/>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596,513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808,130</w:t>
            </w:r>
          </w:p>
        </w:tc>
      </w:tr>
      <w:tr>
        <w:trPr>
          <w:trHeight w:val="216"/>
        </w:trPr>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8,905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19,504</w:t>
            </w:r>
          </w:p>
        </w:tc>
      </w:tr>
      <w:tr>
        <w:trPr>
          <w:trHeight w:val="216"/>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(Accretion of bond discount) amortization of bond premium, net</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(61,218)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(37,795)</w:t>
            </w:r>
          </w:p>
        </w:tc>
      </w:tr>
      <w:tr>
        <w:trPr>
          <w:trHeight w:val="216"/>
        </w:trPr>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discount and issuance costs on debt</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296,919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296,919</w:t>
            </w:r>
          </w:p>
        </w:tc>
      </w:tr>
      <w:tr>
        <w:trPr>
          <w:trHeight w:val="216"/>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265,789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216,767</w:t>
            </w:r>
          </w:p>
        </w:tc>
      </w:tr>
      <w:tr>
        <w:trPr>
          <w:trHeight w:val="216"/>
        </w:trPr>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378,024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(1,248,973)</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(increase) in operating assets: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Premiums receivable, net</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(306,894)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521,963</w:t>
            </w:r>
          </w:p>
        </w:tc>
      </w:tr>
      <w:tr>
        <w:trPr>
          <w:trHeight w:val="216"/>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Reinsurance receivables, net</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4,869,975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(11,553,545)</w:t>
            </w:r>
          </w:p>
        </w:tc>
      </w:tr>
      <w:tr>
        <w:trPr>
          <w:trHeight w:val="216"/>
        </w:trPr>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375,413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1,127,409</w:t>
            </w:r>
          </w:p>
        </w:tc>
      </w:tr>
      <w:tr>
        <w:trPr>
          <w:trHeight w:val="216"/>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(424,596)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(172,487)</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operating liabilities: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 reserves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680,577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5,782,305</w:t>
            </w:r>
          </w:p>
        </w:tc>
      </w:tr>
      <w:tr>
        <w:trPr>
          <w:trHeight w:val="216"/>
        </w:trPr>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(671,761)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(2,332,884)</w:t>
            </w:r>
          </w:p>
        </w:tc>
      </w:tr>
      <w:tr>
        <w:trPr>
          <w:trHeight w:val="216"/>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Advance premiums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783,344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2,821,363</w:t>
            </w:r>
          </w:p>
        </w:tc>
      </w:tr>
      <w:tr>
        <w:trPr>
          <w:trHeight w:val="216"/>
        </w:trPr>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(2,039,754)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7,048,246</w:t>
            </w:r>
          </w:p>
        </w:tc>
      </w:tr>
      <w:tr>
        <w:trPr>
          <w:trHeight w:val="216"/>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ceding commission revenue</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(170,765)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119,860</w:t>
            </w:r>
          </w:p>
        </w:tc>
      </w:tr>
      <w:tr>
        <w:trPr>
          <w:trHeight w:val="216"/>
        </w:trPr>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817,461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(504,006)</w:t>
            </w:r>
          </w:p>
        </w:tc>
      </w:tr>
      <w:tr>
        <w:trPr>
          <w:trHeight w:val="20"/>
        </w:trPr>
        <w:tc>
          <w:tcPr>
            <w:tcW w:w="1280" w:type="dxa"/>
            <w:vAlign w:val="bottom"/>
            <w:shd w:val="clear" w:color="auto" w:fill="CCEEFF"/>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flows provided by (used in) operating activities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6,098,220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(3,366,805)</w:t>
            </w:r>
          </w:p>
        </w:tc>
      </w:tr>
      <w:tr>
        <w:trPr>
          <w:trHeight w:val="209"/>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 fixed-maturity securities available-for-sale</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(45,625,725)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(10,974,819)</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 and maturity - fixed-maturity securities available-for-sale</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32,801,612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13,554,928</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 equity securities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1,777,738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75,554</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(540,975)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(466,073)</w:t>
            </w:r>
          </w:p>
        </w:tc>
      </w:tr>
      <w:tr>
        <w:trPr>
          <w:trHeight w:val="20"/>
        </w:trPr>
        <w:tc>
          <w:tcPr>
            <w:tcW w:w="1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provided by investing activities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(11,587,350)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2,189,590</w:t>
            </w:r>
          </w:p>
        </w:tc>
      </w:tr>
      <w:tr>
        <w:trPr>
          <w:trHeight w:val="210"/>
        </w:trPr>
        <w:tc>
          <w:tcPr>
            <w:tcW w:w="1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payments on equipment financing</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(282,176)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(266,160)</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 costs on 2022 Notes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(13,263)</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Withholding taxes paid on vested restricted stock awards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(6,392)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(837)</w:t>
            </w:r>
          </w:p>
        </w:tc>
      </w:tr>
      <w:tr>
        <w:trPr>
          <w:trHeight w:val="20"/>
        </w:trPr>
        <w:tc>
          <w:tcPr>
            <w:tcW w:w="1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financing activities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(288,568)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(280,260)</w:t>
            </w:r>
          </w:p>
        </w:tc>
      </w:tr>
      <w:tr>
        <w:trPr>
          <w:trHeight w:val="209"/>
        </w:trPr>
        <w:tc>
          <w:tcPr>
            <w:tcW w:w="1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(5,777,698)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(1,457,475)</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8,976,998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11,958,228</w:t>
            </w:r>
          </w:p>
        </w:tc>
      </w:tr>
      <w:tr>
        <w:trPr>
          <w:trHeight w:val="20"/>
        </w:trPr>
        <w:tc>
          <w:tcPr>
            <w:tcW w:w="1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640" w:type="dxa"/>
            <w:vAlign w:val="bottom"/>
            <w:gridSpan w:val="2"/>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3,199,300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10,500,753</w:t>
            </w:r>
          </w:p>
        </w:tc>
      </w:tr>
      <w:tr>
        <w:trPr>
          <w:trHeight w:val="196"/>
        </w:trPr>
        <w:tc>
          <w:tcPr>
            <w:tcW w:w="1280" w:type="dxa"/>
            <w:vAlign w:val="bottom"/>
            <w:tcBorders>
              <w:top w:val="single" w:sz="8" w:color="CCEEFF"/>
            </w:tcBorders>
          </w:tcPr>
          <w:p>
            <w:pPr>
              <w:spacing w:after="0"/>
              <w:rPr>
                <w:sz w:val="17"/>
                <w:szCs w:val="17"/>
                <w:color w:val="auto"/>
              </w:rPr>
            </w:pPr>
          </w:p>
        </w:tc>
        <w:tc>
          <w:tcPr>
            <w:tcW w:w="4780" w:type="dxa"/>
            <w:vAlign w:val="bottom"/>
            <w:tcBorders>
              <w:top w:val="single" w:sz="8" w:color="CCEEFF"/>
            </w:tcBorders>
          </w:tcPr>
          <w:p>
            <w:pPr>
              <w:spacing w:after="0"/>
              <w:rPr>
                <w:sz w:val="17"/>
                <w:szCs w:val="17"/>
                <w:color w:val="auto"/>
              </w:rPr>
            </w:pPr>
          </w:p>
        </w:tc>
        <w:tc>
          <w:tcPr>
            <w:tcW w:w="2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98,456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434,155</w:t>
            </w: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(440,408)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1,951,352</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KINGSTONE COMPANIES, INC. AND SUBSIDIARIES NOTES TO CONDENSED CONSOLIDATED FINANCIAL STATEMENTS (Unaudited)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Basis of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Kingstone Companies, Inc. (referred to herein as “Kingstone” or the “Company” or, on a standalone basis for the parent company only, the “Holding Company”), through its wholly-owned subsidiary, Kingstone Insurance Company (“KICO”)</w:t>
      </w:r>
      <w:r>
        <w:rPr>
          <w:rFonts w:ascii="Times New Roman" w:cs="Times New Roman" w:eastAsia="Times New Roman" w:hAnsi="Times New Roman"/>
          <w:sz w:val="18"/>
          <w:szCs w:val="18"/>
          <w:u w:val="single" w:color="auto"/>
          <w:color w:val="auto"/>
        </w:rPr>
        <w:t>, underwrites property and casualty insurance exclusively</w:t>
      </w:r>
      <w:r>
        <w:rPr>
          <w:rFonts w:ascii="Times New Roman" w:cs="Times New Roman" w:eastAsia="Times New Roman" w:hAnsi="Times New Roman"/>
          <w:sz w:val="18"/>
          <w:szCs w:val="18"/>
          <w:color w:val="auto"/>
        </w:rPr>
        <w:t>. KICO is a New York domiciled carrier writing business through retail and wholesale agents and brokers. KICO is actively writing personal lines and commercial auto insurance in New York, and in 2023 was the 15th largest writer of homeowners insurance in New York. KICO is also licensed in the states of New Jersey, Rhode Island, Massachusetts, Connecticut, Pennsylvania, New Hampshire, and Maine. For the three months ended March 31, 2024 and 2023, 94.4% and 87.0%, respectively, of KICO’s direct written premiums came from the New York policies. Kingstone, through its wholly owned subsidiary, Cosi Agency, Inc. (“Cosi”), a multi-state licensed general agency, receives commission revenue from KICO for the policies it places with others and pays commissions to these agencies.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(“GAAP”). The principles for condensed interim financial information do not require the inclusion of all the information and footnotes required by GAAP for complete financial statements. Therefore, these condensed consolidated financial statements should be read in conjunction with the consolidated financial statements as of and for the year ended December 31, 2023 and notes thereto included in the Company’s Annual Report on Form 10-K filed with the Securities and Exchange Commission (the “SEC”) on April 1, 2024.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presentation of the Company’s financial position and results of operations. The results of operations for the three months ended March 31, 2024 may not be indicative of the results that may be expected for the year ending December 31, 2024.</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Components of ceded premiums written within prior year net earned premiums in Note 6 were reclassified to conform with an elected change in the prior year presentation during the quarter ended September 30, 2023, by recording ceded written premiums for the 12 months of the contract term at inception, rather than monthly over the contract term, providing a full disclosure of the premiums ceded. The reclassification had no effect on the Company’s previously reported financial condition,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 Going Concern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the Consolidated Financial Statements in the Company’s Annual Report on Form 10-K for the year ended December 31, 2023 for further information.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$19,950,000 Notes Payable (the “2022 Notes”) are due on December 30, 2024. The Company’s continuation as a going concern is dependent on its ability to obtain financing and/or other funds to satisfy such obligation. Management believes that KICO’s insurance operations would be able to continue in the unlikely event that financing is not obtained.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Accounting Standards Update (“ASU”) 2014-15, Presentation of Financial Statements—Going Concern (Subtopic 205-40), the Company has the responsibility to evaluate whether conditions and/or events raise substantial doubt about its ability to meet its future financial obligations as they become due within one year after the date that the financial statements are issued. This evaluation requires management to perform two steps. First, management must evaluate whether there are conditions and events that raise substantial doubt about the entity’s ability to continue as a going concern. Second, if management concludes that substantial doubt is raised, management is required to consider whether it has plans in place to alleviate that doubt. Disclosures in the notes to the condensed consolidated financial statements are required if management concludes that substantial doubt exists or that its plans alleviate the substantial doubt that was raised.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GAAP assuming that the Company will continue as a going concern. The financial statements do not include any adjustments to reflect the possible future effects on the recoverability and classification of assets or the amounts and classification of liabilities that may result should the Company be unable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Plan Related to Going Concern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continue as a going concern, the Company will need to obtain financing and/or other funds to satisfy its debt obligation on December 30, 2024. Management plans to refinance the 2022 Notes with a new issue of equity securities and/or investment grade debt securities of similar or longer maturity that would result in net proceeds equal to or greater than the principal amount of the 2022 Notes. In connection therewith, the Company will be utilizing investment bankers to serve as underwriters or placement agents for proposed offerings by the Company of its securities (including debt, common and/or preferred securities). The offerings would be of such size as to generate proceeds to the Company of no less than $19,950,000. The Company, subject to regulatory approval, may receive distributions paid to it by KICO, its insurance subsidiary, that could be utilized to repay the 2022 Notes. Further, the Company may also use available invested assets and cash to repay a portion of the 2022 Notes. As of March 31, 2024, invested assets and cash was approximately $1,789,000.</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ability of the Company to continue as a going concern is dependent upon its ability to successfully accomplish the plan described above. The Company believes that its plan is probable of being implemented and that such plan would alleviate any adverse conditions.</w:t>
      </w:r>
    </w:p>
    <w:p>
      <w:pPr>
        <w:sectPr>
          <w:pgSz w:w="11900" w:h="16838" w:orient="portrait"/>
          <w:cols w:equalWidth="0" w:num="1">
            <w:col w:w="11240"/>
          </w:cols>
          <w:pgMar w:left="320" w:top="337" w:right="33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these estimates and assumptions, and includes the reserves for losses and loss adjustment expense (“LAE”), which are subject to estimation errors due to the inherent uncertainty in projecting ultimate claim amounts that will be reported and settled over a period of many years. In addition, estimates and assumptions associated with loss and LAE recoverable under reinsurance contracts and other receivables or payable under reinsurance contracts related to contingent ceding commission revenue require judgments by management. On an ongoing basis, management reevaluates its assumptions and the methods for calculating these estimates. Actual results may differ significantly from the estimates used in preparing the condensed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Kingstone and its wholly-owned subsidiaries: (1) KICO and its wholly-owned subsidiaries, CMIC Properties, Inc. (“Properties”) and 15 Joys Lane, LLC (“15 Joys Lane”), which together own the land and building from which KICO operates, and (2) Cosi. All significant inter-company account balances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ASU No. 2023-09, Improvements to Income Tax Disclosures (“ASU 2023-09”),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ASU-2023-09 is effective for public companies with annual periods beginning after December 15, 2024, with early adoption permitted. The Company is currently evaluating the impact of ASU 2023-09 on its disclosures.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Fixed-Maturity Securities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amortized cost, estimated fair value, and gross unrealized gains and losses on investments in fixed-maturity securities classified as available-for-sale for which an allowance for credit loss has not been recorded, as of March 31, 2024 and December 31, 2023 are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40" w:type="dxa"/>
            <w:vAlign w:val="bottom"/>
          </w:tcPr>
          <w:p>
            <w:pPr>
              <w:spacing w:after="0"/>
              <w:rPr>
                <w:sz w:val="16"/>
                <w:szCs w:val="16"/>
                <w:color w:val="auto"/>
              </w:rPr>
            </w:pPr>
          </w:p>
        </w:tc>
        <w:tc>
          <w:tcPr>
            <w:tcW w:w="1080" w:type="dxa"/>
            <w:vAlign w:val="bottom"/>
            <w:gridSpan w:val="5"/>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6"/>
                <w:szCs w:val="16"/>
                <w:color w:val="auto"/>
              </w:rPr>
            </w:pPr>
          </w:p>
        </w:tc>
        <w:tc>
          <w:tcPr>
            <w:tcW w:w="114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Less than 12</w:t>
            </w:r>
          </w:p>
        </w:tc>
        <w:tc>
          <w:tcPr>
            <w:tcW w:w="40" w:type="dxa"/>
            <w:vAlign w:val="bottom"/>
          </w:tcPr>
          <w:p>
            <w:pPr>
              <w:spacing w:after="0"/>
              <w:rPr>
                <w:sz w:val="16"/>
                <w:szCs w:val="16"/>
                <w:color w:val="auto"/>
              </w:rPr>
            </w:pPr>
          </w:p>
        </w:tc>
        <w:tc>
          <w:tcPr>
            <w:tcW w:w="104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More than 12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c>
          <w:tcPr>
            <w:tcW w:w="1100" w:type="dxa"/>
            <w:vAlign w:val="bottom"/>
            <w:gridSpan w:val="3"/>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238"/>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40" w:type="dxa"/>
            <w:vAlign w:val="bottom"/>
          </w:tcPr>
          <w:p>
            <w:pPr>
              <w:spacing w:after="0"/>
              <w:rPr>
                <w:sz w:val="20"/>
                <w:szCs w:val="20"/>
                <w:color w:val="auto"/>
              </w:rPr>
            </w:pPr>
          </w:p>
        </w:tc>
        <w:tc>
          <w:tcPr>
            <w:tcW w:w="9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425"/>
        </w:trPr>
        <w:tc>
          <w:tcPr>
            <w:tcW w:w="40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Fixed-Maturity Securities:</w:t>
            </w: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0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corporations and agencies (1)</w:t>
            </w:r>
          </w:p>
        </w:tc>
        <w:tc>
          <w:tcPr>
            <w:tcW w:w="12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$ 35,735,950</w:t>
            </w:r>
          </w:p>
        </w:tc>
        <w:tc>
          <w:tcPr>
            <w:tcW w:w="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(28,592)</w:t>
            </w:r>
          </w:p>
        </w:tc>
        <w:tc>
          <w:tcPr>
            <w:tcW w:w="9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35,707,358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(28,592)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Political subdivisions of States, Territories and</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Possessions</w:t>
            </w:r>
          </w:p>
        </w:tc>
        <w:tc>
          <w:tcPr>
            <w:tcW w:w="12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16,600,086</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(3,289,577)</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13,310,509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(3,289,577)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2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74,663,044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(6,019,568)</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68,643,476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(6,019,568)</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Residential mortgage and other asset backed securities</w:t>
            </w:r>
          </w:p>
        </w:tc>
        <w:tc>
          <w:tcPr>
            <w:tcW w:w="140" w:type="dxa"/>
            <w:vAlign w:val="bottom"/>
            <w:gridSpan w:val="2"/>
            <w:vMerge w:val="restart"/>
          </w:tcPr>
          <w:p>
            <w:pPr>
              <w:spacing w:after="0"/>
              <w:rPr>
                <w:sz w:val="17"/>
                <w:szCs w:val="17"/>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50,345,615</w:t>
            </w:r>
          </w:p>
        </w:tc>
        <w:tc>
          <w:tcPr>
            <w:tcW w:w="40" w:type="dxa"/>
            <w:vAlign w:val="bottom"/>
            <w:vMerge w:val="restart"/>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133,220</w:t>
            </w:r>
          </w:p>
        </w:tc>
        <w:tc>
          <w:tcPr>
            <w:tcW w:w="1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(3,266)</w:t>
            </w:r>
          </w:p>
        </w:tc>
        <w:tc>
          <w:tcPr>
            <w:tcW w:w="13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(6,889,842)</w:t>
            </w:r>
          </w:p>
        </w:tc>
        <w:tc>
          <w:tcPr>
            <w:tcW w:w="100" w:type="dxa"/>
            <w:vAlign w:val="bottom"/>
          </w:tcPr>
          <w:p>
            <w:pPr>
              <w:spacing w:after="0"/>
              <w:rPr>
                <w:sz w:val="17"/>
                <w:szCs w:val="17"/>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43,585,727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(6,759,888)</w:t>
            </w:r>
          </w:p>
        </w:tc>
        <w:tc>
          <w:tcPr>
            <w:tcW w:w="0" w:type="dxa"/>
            <w:vAlign w:val="bottom"/>
          </w:tcPr>
          <w:p>
            <w:pPr>
              <w:spacing w:after="0"/>
              <w:rPr>
                <w:sz w:val="1"/>
                <w:szCs w:val="1"/>
                <w:color w:val="auto"/>
              </w:rPr>
            </w:pPr>
          </w:p>
        </w:tc>
      </w:tr>
      <w:tr>
        <w:trPr>
          <w:trHeight w:val="22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30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fixed-maturity securities</w:t>
            </w:r>
          </w:p>
        </w:tc>
        <w:tc>
          <w:tcPr>
            <w:tcW w:w="140" w:type="dxa"/>
            <w:vAlign w:val="bottom"/>
            <w:gridSpan w:val="2"/>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177,344,695</w:t>
            </w:r>
          </w:p>
        </w:tc>
        <w:tc>
          <w:tcPr>
            <w:tcW w:w="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133,220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(31,858)</w:t>
            </w:r>
          </w:p>
        </w:tc>
        <w:tc>
          <w:tcPr>
            <w:tcW w:w="13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(16,198,987)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161,247,070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(16,097,625)</w:t>
            </w:r>
          </w:p>
        </w:tc>
        <w:tc>
          <w:tcPr>
            <w:tcW w:w="0" w:type="dxa"/>
            <w:vAlign w:val="bottom"/>
          </w:tcPr>
          <w:p>
            <w:pPr>
              <w:spacing w:after="0"/>
              <w:rPr>
                <w:sz w:val="1"/>
                <w:szCs w:val="1"/>
                <w:color w:val="auto"/>
              </w:rPr>
            </w:pP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27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4"/>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40" w:type="dxa"/>
            <w:vAlign w:val="bottom"/>
          </w:tcPr>
          <w:p>
            <w:pPr>
              <w:spacing w:after="0"/>
              <w:rPr>
                <w:sz w:val="16"/>
                <w:szCs w:val="16"/>
                <w:color w:val="auto"/>
              </w:rPr>
            </w:pPr>
          </w:p>
        </w:tc>
        <w:tc>
          <w:tcPr>
            <w:tcW w:w="1080" w:type="dxa"/>
            <w:vAlign w:val="bottom"/>
            <w:gridSpan w:val="5"/>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220" w:type="dxa"/>
            <w:vAlign w:val="bottom"/>
            <w:gridSpan w:val="4"/>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12</w:t>
            </w:r>
          </w:p>
        </w:tc>
        <w:tc>
          <w:tcPr>
            <w:tcW w:w="40" w:type="dxa"/>
            <w:vAlign w:val="bottom"/>
          </w:tcPr>
          <w:p>
            <w:pPr>
              <w:spacing w:after="0"/>
              <w:rPr>
                <w:sz w:val="16"/>
                <w:szCs w:val="16"/>
                <w:color w:val="auto"/>
              </w:rPr>
            </w:pPr>
          </w:p>
        </w:tc>
        <w:tc>
          <w:tcPr>
            <w:tcW w:w="104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More than 12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6"/>
                <w:szCs w:val="16"/>
                <w:color w:val="auto"/>
              </w:rPr>
            </w:pPr>
          </w:p>
        </w:tc>
        <w:tc>
          <w:tcPr>
            <w:tcW w:w="1100" w:type="dxa"/>
            <w:vAlign w:val="bottom"/>
            <w:gridSpan w:val="3"/>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238"/>
        </w:trPr>
        <w:tc>
          <w:tcPr>
            <w:tcW w:w="3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0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Fixed-Maturity Securities: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0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corporations and agencies (1)</w:t>
            </w:r>
          </w:p>
        </w:tc>
        <w:tc>
          <w:tcPr>
            <w:tcW w:w="1160" w:type="dxa"/>
            <w:vAlign w:val="bottom"/>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$ 20,954,764</w:t>
            </w:r>
          </w:p>
        </w:tc>
        <w:tc>
          <w:tcPr>
            <w:tcW w:w="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(17,373)</w:t>
            </w:r>
          </w:p>
        </w:tc>
        <w:tc>
          <w:tcPr>
            <w:tcW w:w="96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20,939,190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
                    </a:xfrm>
                    <a:prstGeom prst="rect">
                      <a:avLst/>
                    </a:prstGeom>
                    <a:noFill/>
                  </pic:spPr>
                </pic:pic>
              </a:graphicData>
            </a:graphic>
          </wp:anchor>
        </w:drawing>
      </w:r>
    </w:p>
    <w:p>
      <w:pPr>
        <w:sectPr>
          <w:pgSz w:w="11900" w:h="16838" w:orient="portrait"/>
          <w:cols w:equalWidth="0" w:num="1">
            <w:col w:w="11240"/>
          </w:cols>
          <w:pgMar w:left="320" w:top="337" w:right="3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 States, Territories and</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16,607,713</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(3,209,161)</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13,398,552</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(3,209,161)</w:t>
            </w: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Possessions</w:t>
            </w: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75,993,042</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(5,885,296)</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70,107,746</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(5,885,296)</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Residential mortgage and other asset backed securities</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50,905,423</w:t>
            </w:r>
          </w:p>
        </w:tc>
        <w:tc>
          <w:tcPr>
            <w:tcW w:w="100" w:type="dxa"/>
            <w:vAlign w:val="bottom"/>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113,761</w:t>
            </w:r>
          </w:p>
        </w:tc>
        <w:tc>
          <w:tcPr>
            <w:tcW w:w="2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(2,144)</w:t>
            </w: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(6,541,731)</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44,475,309</w:t>
            </w:r>
          </w:p>
        </w:tc>
        <w:tc>
          <w:tcPr>
            <w:tcW w:w="12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(6,430,114)</w:t>
            </w:r>
          </w:p>
        </w:tc>
        <w:tc>
          <w:tcPr>
            <w:tcW w:w="0" w:type="dxa"/>
            <w:vAlign w:val="bottom"/>
          </w:tcPr>
          <w:p>
            <w:pPr>
              <w:spacing w:after="0"/>
              <w:rPr>
                <w:sz w:val="1"/>
                <w:szCs w:val="1"/>
                <w:color w:val="auto"/>
              </w:rPr>
            </w:pPr>
          </w:p>
        </w:tc>
      </w:tr>
      <w:tr>
        <w:trPr>
          <w:trHeight w:val="22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fixed-maturity securities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164,460,942</w:t>
            </w: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115,560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(19,517)</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(15,636,188)</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148,920,797</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(15,540,145)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60" w:hanging="452"/>
        <w:spacing w:after="0" w:line="254"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KICO placed certain U.S. Treasury securities to fulfill the required collateral for a sale-leaseback transaction in a designated custodian account (see Note 9 – Debt - “Equipment Financing”). As of March 31, 2024 and December 31, 2023, the amount of required collateral was approximately $6,576,000 and $6,999,000, respectively. As of March 31, 2024 and December 31, 2023, the estimated fair value of the U.S. Treasury securities used as eligible collateral was approximately $ 5,969,000 and $11,960,000, respectively. As of March 31, 2024, cash was used to cover the remaining eligible collateral.</w:t>
      </w:r>
    </w:p>
    <w:p>
      <w:pPr>
        <w:spacing w:after="0" w:line="3" w:lineRule="exact"/>
        <w:rPr>
          <w:rFonts w:ascii="Times New Roman" w:cs="Times New Roman" w:eastAsia="Times New Roman" w:hAnsi="Times New Roman"/>
          <w:sz w:val="18"/>
          <w:szCs w:val="18"/>
          <w:color w:val="auto"/>
        </w:rPr>
      </w:pPr>
    </w:p>
    <w:p>
      <w:pPr>
        <w:jc w:val="both"/>
        <w:ind w:left="460" w:hanging="452"/>
        <w:spacing w:after="0" w:line="253"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KICO has placed certain residential mortgage backed securities as eligible collateral in a designated custodian account related to its membership in the Federal Home Loan Bank of New York (“FHLBNY”) (see Note 9 – Debt – “Federal Home Loan Bank”). The eligible collateral would be pledged to FHLBNY if KICO draws an advance from the FHLBNY credit line. As of March 31, 2024, the estimated fair value of the eligible investments was approximately $10,929,000. KICO will retain all rights regarding all securities if pledged as collateral. As of March 31, 2024 and December 31, 2023 there was no outstanding balance on the FHLBNY credit line.</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the amortized cost and estimated fair value of the Company’s investments in available-for-sale fixed-maturity securities by contractual maturity as of March 31, 2024 and December 31, 2023 is shown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87"/>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6"/>
                <w:szCs w:val="16"/>
                <w:color w:val="auto"/>
              </w:rPr>
            </w:pPr>
          </w:p>
        </w:tc>
      </w:tr>
      <w:tr>
        <w:trPr>
          <w:trHeight w:val="238"/>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52,751,113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52,469,326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34,729,120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34,461,172</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28,855,096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27,378,577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31,803,338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30,416,618</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31,468,786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26,916,621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31,596,410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27,330,377</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13,924,085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10,896,819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15,426,651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12,237,321</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 and other asset backed securities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50,345,615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43,585,727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50,905,423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44,475,309</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177,344,695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161,247,070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164,460,942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148,920,797</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maturities may differ from contractual maturities because certain borrowers have the right to call or prepay obligations with or without penalties.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allowance for credit losses on fixed-maturity securities as of March 31, 2024 and December 31, 2023,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Securities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cost and estimated fair value of, and gross unrealized gains and losses on, investments in equity securities as of March 31, 2024 and December 31, 2023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425"/>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11,815,602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(2,246,277)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9,569,325</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exchange traded funds</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3,711,232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(723,832)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2,987,400</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523,320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387,388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910,708</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FHLBNY common stock</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69,400</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16,119,554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387,388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(2,970,109)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13,536,833</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2"/>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6"/>
                <w:szCs w:val="16"/>
                <w:color w:val="auto"/>
              </w:rPr>
            </w:pPr>
          </w:p>
        </w:tc>
        <w:tc>
          <w:tcPr>
            <w:tcW w:w="1200" w:type="dxa"/>
            <w:vAlign w:val="bottom"/>
            <w:gridSpan w:val="2"/>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42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13,583,942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(2,870,027)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10,713,915</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exchange traded funds</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3,711,232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(669,232)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3,042,000</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622,209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314,816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937,025</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FHLBNY common stock</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69,400</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17,986,783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314,816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(3,539,259)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14,762,340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Investments</w:t>
      </w:r>
    </w:p>
    <w:p>
      <w:pPr>
        <w:sectPr>
          <w:pgSz w:w="11900" w:h="16838" w:orient="portrait"/>
          <w:cols w:equalWidth="0" w:num="1">
            <w:col w:w="11240"/>
          </w:cols>
          <w:pgMar w:left="320" w:top="130" w:right="339"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The cost and estimated fair value of, and gross gains on, the Company’s other investments as of March 31, 2024 and December 31, 2023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87"/>
        </w:trPr>
        <w:tc>
          <w:tcPr>
            <w:tcW w:w="1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8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6"/>
                <w:szCs w:val="16"/>
                <w:color w:val="auto"/>
              </w:rPr>
            </w:pPr>
          </w:p>
        </w:tc>
      </w:tr>
      <w:tr>
        <w:trPr>
          <w:trHeight w:val="238"/>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425"/>
        </w:trPr>
        <w:tc>
          <w:tcPr>
            <w:tcW w:w="49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Hedge fund</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$ 1,987,040</w:t>
            </w:r>
          </w:p>
        </w:tc>
        <w:tc>
          <w:tcPr>
            <w:tcW w:w="12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$ 2,087,136</w:t>
            </w: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$ 4,074,176</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$ 1,987,040</w:t>
            </w:r>
          </w:p>
        </w:tc>
        <w:tc>
          <w:tcPr>
            <w:tcW w:w="116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1,910,110</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$ 3,897,150</w:t>
            </w:r>
          </w:p>
        </w:tc>
      </w:tr>
      <w:tr>
        <w:trPr>
          <w:trHeight w:val="629"/>
        </w:trPr>
        <w:tc>
          <w:tcPr>
            <w:tcW w:w="128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29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36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cost or amortized cost and estimated fair value of, and unrealized gross gains and losses on, investments in held-to-maturity fixed-maturity securities as of March 31, 2024 and December 31, 2023 are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24"/>
                <w:szCs w:val="24"/>
                <w:color w:val="auto"/>
              </w:rPr>
            </w:pPr>
          </w:p>
        </w:tc>
        <w:tc>
          <w:tcPr>
            <w:tcW w:w="23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Gross Unrealized Losses</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87"/>
        </w:trPr>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00" w:type="dxa"/>
            <w:vAlign w:val="bottom"/>
          </w:tcPr>
          <w:p>
            <w:pPr>
              <w:spacing w:after="0"/>
              <w:rPr>
                <w:sz w:val="16"/>
                <w:szCs w:val="16"/>
                <w:color w:val="auto"/>
              </w:rPr>
            </w:pPr>
          </w:p>
        </w:tc>
        <w:tc>
          <w:tcPr>
            <w:tcW w:w="1080" w:type="dxa"/>
            <w:vAlign w:val="bottom"/>
            <w:gridSpan w:val="3"/>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20" w:type="dxa"/>
            <w:vAlign w:val="bottom"/>
            <w:tcBorders>
              <w:top w:val="single" w:sz="8" w:color="auto"/>
            </w:tcBorders>
            <w:gridSpan w:val="3"/>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12</w:t>
            </w:r>
          </w:p>
        </w:tc>
        <w:tc>
          <w:tcPr>
            <w:tcW w:w="108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More than 12</w:t>
            </w:r>
          </w:p>
        </w:tc>
        <w:tc>
          <w:tcPr>
            <w:tcW w:w="220" w:type="dxa"/>
            <w:vAlign w:val="bottom"/>
          </w:tcPr>
          <w:p>
            <w:pPr>
              <w:spacing w:after="0"/>
              <w:rPr>
                <w:sz w:val="16"/>
                <w:szCs w:val="16"/>
                <w:color w:val="auto"/>
              </w:rPr>
            </w:pPr>
          </w:p>
        </w:tc>
        <w:tc>
          <w:tcPr>
            <w:tcW w:w="106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20" w:type="dxa"/>
            <w:vAlign w:val="bottom"/>
            <w:gridSpan w:val="3"/>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238"/>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Held-to-Maturity Securities: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$ 1,228,936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(23,047)</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$ 1,192,801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(36,135)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 States, Territories and Possessions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(3,326)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495,980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(3,326)</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traded debt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304,111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(64,111)</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(64,111)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5,018,899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(903,769)</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4,115,130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(903,769)</w:t>
            </w:r>
          </w:p>
        </w:tc>
        <w:tc>
          <w:tcPr>
            <w:tcW w:w="0" w:type="dxa"/>
            <w:vAlign w:val="bottom"/>
          </w:tcPr>
          <w:p>
            <w:pPr>
              <w:spacing w:after="0"/>
              <w:rPr>
                <w:sz w:val="1"/>
                <w:szCs w:val="1"/>
                <w:color w:val="auto"/>
              </w:rPr>
            </w:pPr>
          </w:p>
        </w:tc>
      </w:tr>
      <w:tr>
        <w:trPr>
          <w:trHeight w:val="20"/>
        </w:trPr>
        <w:tc>
          <w:tcPr>
            <w:tcW w:w="4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$ 7,051,252</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(18,232)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(990,927)</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$ 6,043,911</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 (1,007,341)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Gross Unrealized Losses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9"/>
                <w:szCs w:val="19"/>
                <w:color w:val="auto"/>
              </w:rPr>
            </w:pPr>
          </w:p>
        </w:tc>
        <w:tc>
          <w:tcPr>
            <w:tcW w:w="2360" w:type="dxa"/>
            <w:vAlign w:val="bottom"/>
            <w:gridSpan w:val="5"/>
            <w:vMerge w:val="continue"/>
          </w:tcPr>
          <w:p>
            <w:pPr>
              <w:spacing w:after="0"/>
              <w:rPr>
                <w:sz w:val="19"/>
                <w:szCs w:val="19"/>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187"/>
        </w:trPr>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00" w:type="dxa"/>
            <w:vAlign w:val="bottom"/>
          </w:tcPr>
          <w:p>
            <w:pPr>
              <w:spacing w:after="0"/>
              <w:rPr>
                <w:sz w:val="16"/>
                <w:szCs w:val="16"/>
                <w:color w:val="auto"/>
              </w:rPr>
            </w:pPr>
          </w:p>
        </w:tc>
        <w:tc>
          <w:tcPr>
            <w:tcW w:w="1080" w:type="dxa"/>
            <w:vAlign w:val="bottom"/>
            <w:gridSpan w:val="3"/>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20" w:type="dxa"/>
            <w:vAlign w:val="bottom"/>
            <w:tcBorders>
              <w:top w:val="single" w:sz="8" w:color="auto"/>
            </w:tcBorders>
            <w:gridSpan w:val="3"/>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12</w:t>
            </w:r>
          </w:p>
        </w:tc>
        <w:tc>
          <w:tcPr>
            <w:tcW w:w="108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More than 12</w:t>
            </w:r>
          </w:p>
        </w:tc>
        <w:tc>
          <w:tcPr>
            <w:tcW w:w="220" w:type="dxa"/>
            <w:vAlign w:val="bottom"/>
          </w:tcPr>
          <w:p>
            <w:pPr>
              <w:spacing w:after="0"/>
              <w:rPr>
                <w:sz w:val="16"/>
                <w:szCs w:val="16"/>
                <w:color w:val="auto"/>
              </w:rPr>
            </w:pPr>
          </w:p>
        </w:tc>
        <w:tc>
          <w:tcPr>
            <w:tcW w:w="106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20" w:type="dxa"/>
            <w:vAlign w:val="bottom"/>
          </w:tcPr>
          <w:p>
            <w:pPr>
              <w:spacing w:after="0"/>
              <w:rPr>
                <w:sz w:val="16"/>
                <w:szCs w:val="16"/>
                <w:color w:val="auto"/>
              </w:rPr>
            </w:pPr>
          </w:p>
        </w:tc>
        <w:tc>
          <w:tcPr>
            <w:tcW w:w="90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Gains/</w:t>
            </w:r>
          </w:p>
        </w:tc>
        <w:tc>
          <w:tcPr>
            <w:tcW w:w="0" w:type="dxa"/>
            <w:vAlign w:val="bottom"/>
          </w:tcPr>
          <w:p>
            <w:pPr>
              <w:spacing w:after="0"/>
              <w:rPr>
                <w:sz w:val="1"/>
                <w:szCs w:val="1"/>
                <w:color w:val="auto"/>
              </w:rPr>
            </w:pPr>
          </w:p>
        </w:tc>
      </w:tr>
      <w:tr>
        <w:trPr>
          <w:trHeight w:val="238"/>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Held-to-Maturity Securities: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$ 1,228,860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(18,163)</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$ 1,218,828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(10,032)</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 States, Territories and Possessions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500,060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traded debt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304,111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(70,111)</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234,000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(70,111)</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5,020,400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(867,140)</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4,153,260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(867,140)</w:t>
            </w:r>
          </w:p>
        </w:tc>
        <w:tc>
          <w:tcPr>
            <w:tcW w:w="0" w:type="dxa"/>
            <w:vAlign w:val="bottom"/>
          </w:tcPr>
          <w:p>
            <w:pPr>
              <w:spacing w:after="0"/>
              <w:rPr>
                <w:sz w:val="1"/>
                <w:szCs w:val="1"/>
                <w:color w:val="auto"/>
              </w:rPr>
            </w:pPr>
          </w:p>
        </w:tc>
      </w:tr>
      <w:tr>
        <w:trPr>
          <w:trHeight w:val="20"/>
        </w:trPr>
        <w:tc>
          <w:tcPr>
            <w:tcW w:w="4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$ 7,052,541</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(6,914)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(955,414)</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$ 6,106,148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(946,393)</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Held-to-maturity U.S. Treasury securities are held in trust pursuant to various states’ minimum funds requirements.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amortized cost and estimated fair value of the Company’s investments in held-to-maturity securities by contractual maturity as of March 31, 2024 and December 31, 2023 is shown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87"/>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6"/>
                <w:szCs w:val="16"/>
                <w:color w:val="auto"/>
              </w:rPr>
            </w:pPr>
          </w:p>
        </w:tc>
      </w:tr>
      <w:tr>
        <w:trPr>
          <w:trHeight w:val="238"/>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1,121,488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1,087,009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1,121,288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1,097,101</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1,418,024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1,289,190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1,414,911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1,270,770</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4,511,740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3,667,712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4,516,342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3,738,277</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7,051,252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6,043,911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7,052,541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6,106,148</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maturities may differ from contractual maturities because certain borrowers have the right to call or prepay obligations with or without penalties.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allowance for credit losses on held-to-maturity fixed-maturity securities as of March 31, 2024 and December 31, 2023, respectively.</w:t>
      </w:r>
    </w:p>
    <w:p>
      <w:pPr>
        <w:sectPr>
          <w:pgSz w:w="11900" w:h="16838" w:orient="portrait"/>
          <w:cols w:equalWidth="0" w:num="1">
            <w:col w:w="11240"/>
          </w:cols>
          <w:pgMar w:left="320" w:top="121" w:right="339" w:bottom="0" w:gutter="0" w:footer="0" w:header="0"/>
        </w:sectPr>
      </w:pPr>
    </w:p>
    <w:bookmarkStart w:id="9" w:name="page10"/>
    <w:bookmarkEnd w:id="9"/>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Investment Income</w:t>
            </w:r>
          </w:p>
        </w:tc>
        <w:tc>
          <w:tcPr>
            <w:tcW w:w="7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 categories of the Company’s net investment income are summarized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40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40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4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42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Fixed-maturity securities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1,182,629</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1,417,709</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177,169</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176,877</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196,137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32,858</w:t>
            </w:r>
          </w:p>
        </w:tc>
      </w:tr>
      <w:tr>
        <w:trPr>
          <w:trHeight w:val="20"/>
        </w:trPr>
        <w:tc>
          <w:tcPr>
            <w:tcW w:w="1400" w:type="dxa"/>
            <w:vAlign w:val="bottom"/>
            <w:shd w:val="clear" w:color="auto" w:fill="CCEEFF"/>
          </w:tcPr>
          <w:p>
            <w:pPr>
              <w:spacing w:after="0" w:line="20" w:lineRule="exact"/>
              <w:rPr>
                <w:sz w:val="1"/>
                <w:szCs w:val="1"/>
                <w:color w:val="auto"/>
              </w:rPr>
            </w:pPr>
          </w:p>
        </w:tc>
        <w:tc>
          <w:tcPr>
            <w:tcW w:w="7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1,555,935</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1,627,444</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53,075</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85,952</w:t>
            </w:r>
          </w:p>
        </w:tc>
      </w:tr>
      <w:tr>
        <w:trPr>
          <w:trHeight w:val="20"/>
        </w:trPr>
        <w:tc>
          <w:tcPr>
            <w:tcW w:w="140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1,502,860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1,541,492</w:t>
            </w:r>
          </w:p>
        </w:tc>
      </w:tr>
      <w:tr>
        <w:trPr>
          <w:trHeight w:val="20"/>
        </w:trPr>
        <w:tc>
          <w:tcPr>
            <w:tcW w:w="1400" w:type="dxa"/>
            <w:vAlign w:val="bottom"/>
            <w:tcBorders>
              <w:top w:val="single" w:sz="8" w:color="CCEEFF"/>
            </w:tcBorders>
            <w:shd w:val="clear" w:color="auto" w:fill="CCEEFF"/>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redemptions of fixed-maturity securities held-to-maturity for the three months ended March 31, 2024 and 2023.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Proceeds from the sale or maturity of fixed-maturity securities available-for-sale were $32,801,612 and $13,554,928 for the three months ended March 31, 2024 and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the sale of equity securities were $1,777,738 and $75,554 for the three months ended March 31, 2024 and 2023,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5320" w:type="dxa"/>
            <w:vAlign w:val="bottom"/>
            <w:gridSpan w:val="2"/>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Company’s net gains on investments are summarized as follows:</w:t>
            </w: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10"/>
        </w:trPr>
        <w:tc>
          <w:tcPr>
            <w:tcW w:w="6600" w:type="dxa"/>
            <w:vAlign w:val="bottom"/>
            <w:gridSpan w:val="4"/>
            <w:vMerge w:val="restart"/>
          </w:tcPr>
          <w:p>
            <w:pPr>
              <w:ind w:left="860"/>
              <w:spacing w:after="0"/>
              <w:rPr>
                <w:sz w:val="20"/>
                <w:szCs w:val="20"/>
                <w:color w:val="auto"/>
              </w:rPr>
            </w:pPr>
            <w:r>
              <w:rPr>
                <w:rFonts w:ascii="Times New Roman" w:cs="Times New Roman" w:eastAsia="Times New Roman" w:hAnsi="Times New Roman"/>
                <w:sz w:val="18"/>
                <w:szCs w:val="18"/>
                <w:b w:val="1"/>
                <w:bCs w:val="1"/>
                <w:color w:val="auto"/>
              </w:rPr>
              <w:t>Realized Losses</w:t>
            </w:r>
          </w:p>
        </w:tc>
        <w:tc>
          <w:tcPr>
            <w:tcW w:w="16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gridSpan w:val="4"/>
            <w:vMerge w:val="continue"/>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0" w:type="dxa"/>
            <w:vAlign w:val="bottom"/>
          </w:tcPr>
          <w:p>
            <w:pPr>
              <w:spacing w:after="0"/>
              <w:rPr>
                <w:sz w:val="24"/>
                <w:szCs w:val="24"/>
                <w:color w:val="auto"/>
              </w:rPr>
            </w:pPr>
          </w:p>
        </w:tc>
        <w:tc>
          <w:tcPr>
            <w:tcW w:w="57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Fixed-maturity securities:</w:t>
            </w: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realized gains</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Gross realized losses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(2,951)</w:t>
            </w: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(2,867)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(2,639)</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Gross realized gains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realized losses</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(94,610)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(89,490)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Net realized losses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(92,357)</w:t>
            </w: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(2,639)</w:t>
            </w:r>
          </w:p>
        </w:tc>
        <w:tc>
          <w:tcPr>
            <w:tcW w:w="0" w:type="dxa"/>
            <w:vAlign w:val="bottom"/>
          </w:tcPr>
          <w:p>
            <w:pPr>
              <w:spacing w:after="0"/>
              <w:rPr>
                <w:sz w:val="1"/>
                <w:szCs w:val="1"/>
                <w:color w:val="auto"/>
              </w:rPr>
            </w:pPr>
          </w:p>
        </w:tc>
      </w:tr>
      <w:tr>
        <w:trPr>
          <w:trHeight w:val="210"/>
        </w:trPr>
        <w:tc>
          <w:tcPr>
            <w:tcW w:w="860" w:type="dxa"/>
            <w:vAlign w:val="bottom"/>
            <w:vMerge w:val="restart"/>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gains</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641,722</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Gross losses</w:t>
            </w:r>
          </w:p>
        </w:tc>
        <w:tc>
          <w:tcPr>
            <w:tcW w:w="1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6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641,722</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863,713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Gross gains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losses</w:t>
            </w:r>
          </w:p>
        </w:tc>
        <w:tc>
          <w:tcPr>
            <w:tcW w:w="16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177,026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Net unrealized gains</w:t>
            </w:r>
          </w:p>
        </w:tc>
        <w:tc>
          <w:tcPr>
            <w:tcW w:w="1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818,748</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Net gains on investments</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726,391</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Allowance for Credit Loss</w:t>
            </w:r>
          </w:p>
        </w:tc>
        <w:tc>
          <w:tcPr>
            <w:tcW w:w="1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600" w:type="dxa"/>
            <w:vAlign w:val="bottom"/>
            <w:gridSpan w:val="4"/>
            <w:vMerge w:val="continue"/>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available-for-sale fixed maturity securities, a credit loss exists if the present value of cash flows expected to be collected is less than the amortized cost basis. The allowance for credit losses related to available-for-sale fixed maturity securities is the difference between the present value of cash flows expected to be collected and the amortized cost basis, limited by the amount that the fair value is less than the amortized cost basis. The Company considers all available evidence when determining whether an investment requires a credit loss write-down or allowance to be recorded, which is recognized in net loss through an allowance for credit losses. Any remaining decline in fair value represents the noncredit portion of the impairment, which is recognized in other comprehensive income (loss).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identify any available-for-sale securities as of March 31, 2024 which presented a risk of loss due to credit deterioration of the security.</w:t>
      </w:r>
    </w:p>
    <w:p>
      <w:pPr>
        <w:sectPr>
          <w:pgSz w:w="11900" w:h="16873" w:orient="portrait"/>
          <w:cols w:equalWidth="0" w:num="1">
            <w:col w:w="11240"/>
          </w:cols>
          <w:pgMar w:left="320" w:top="108" w:right="339" w:bottom="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At both March 31, 2024 and December 31, 2023, there were 140 fixed-maturity securities that accounted for the gross unrealized losses. The Company determined that none of the unrealized losses were deemed to be credit losses for its portfolio of investments for the three months ended March 31, 2024 and 2023. Significant factors influencing the Company’s determination that unrealized losses were temporary included credit quality considerations, the magnitude of the unrealized losses in relation to each security’s cost, the nature of the investment and interest rate environment factors, and management’s intent and ability to hold the investment for a period of time sufficient to allow for an anticipated recovery of estimated fair value to the Company’s cost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available-for-sale securities with unrealized losses representing declines that were considered temporary at March 31, 2024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8"/>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 of</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1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38"/>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403"/>
        </w:trPr>
        <w:tc>
          <w:tcPr>
            <w:tcW w:w="2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corporations and agencies</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$35,707,358</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(28,592)</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35,707,358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(28,592)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Political subdivisions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States, Territories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Possessions</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13,310,509</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(3,289,577)</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13,310,509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(3,289,577)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Corporate and other bonds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67,648,476</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(6,019,568)</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67,648,476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(6,019,568)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Residential mortgage</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other asset backed</w:t>
            </w:r>
          </w:p>
        </w:tc>
        <w:tc>
          <w:tcPr>
            <w:tcW w:w="11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111,165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(3,266)</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37,784,418</w:t>
            </w: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(6,889,842)</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37,895,583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(6,893,108)</w:t>
            </w:r>
          </w:p>
        </w:tc>
        <w:tc>
          <w:tcPr>
            <w:tcW w:w="0" w:type="dxa"/>
            <w:vAlign w:val="bottom"/>
          </w:tcPr>
          <w:p>
            <w:pPr>
              <w:spacing w:after="0"/>
              <w:rPr>
                <w:sz w:val="1"/>
                <w:szCs w:val="1"/>
                <w:color w:val="auto"/>
              </w:rPr>
            </w:pPr>
          </w:p>
        </w:tc>
      </w:tr>
      <w:tr>
        <w:trPr>
          <w:trHeight w:val="221"/>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w:t>
            </w:r>
          </w:p>
        </w:tc>
        <w:tc>
          <w:tcPr>
            <w:tcW w:w="112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fixed-maturity securities</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35,818,523</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(31,858)</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118,743,403</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 (16,198,987)</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154,561,926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(16,230,845)</w:t>
            </w:r>
          </w:p>
        </w:tc>
        <w:tc>
          <w:tcPr>
            <w:tcW w:w="0" w:type="dxa"/>
            <w:vAlign w:val="bottom"/>
          </w:tcPr>
          <w:p>
            <w:pPr>
              <w:spacing w:after="0"/>
              <w:rPr>
                <w:sz w:val="1"/>
                <w:szCs w:val="1"/>
                <w:color w:val="auto"/>
              </w:rPr>
            </w:pP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held available-for-sale securities with unrealized losses representing declines that were considered temporary at December 31, 2023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8"/>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 of</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1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425"/>
        </w:trPr>
        <w:tc>
          <w:tcPr>
            <w:tcW w:w="2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U.S. government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corporations and agencies</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$ 5,974,440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(17,373)</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5,974,440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(17,373)</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Political subdivisions of States,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Territories and Possessions</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13,398,552</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(3,209,161)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13,398,552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(3,209,161)</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Corporate and other bonds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70,107,746</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(5,885,296)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70,107,746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(5,885,296)</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Residential mortgage and other</w:t>
            </w:r>
          </w:p>
        </w:tc>
        <w:tc>
          <w:tcPr>
            <w:tcW w:w="10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(2,144)</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38,675,604</w:t>
            </w: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(6,541,731)</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38,764,592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(6,543,875)</w:t>
            </w:r>
          </w:p>
        </w:tc>
        <w:tc>
          <w:tcPr>
            <w:tcW w:w="0" w:type="dxa"/>
            <w:vAlign w:val="bottom"/>
          </w:tcPr>
          <w:p>
            <w:pPr>
              <w:spacing w:after="0"/>
              <w:rPr>
                <w:sz w:val="1"/>
                <w:szCs w:val="1"/>
                <w:color w:val="auto"/>
              </w:rPr>
            </w:pPr>
          </w:p>
        </w:tc>
      </w:tr>
      <w:tr>
        <w:trPr>
          <w:trHeight w:val="221"/>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1040" w:type="dxa"/>
            <w:vAlign w:val="bottom"/>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fixed-maturity securities</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$ 6,063,428</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(19,517)</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122,181,902</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 (15,636,188)</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128,245,330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(15,655,705)</w:t>
            </w:r>
          </w:p>
        </w:tc>
        <w:tc>
          <w:tcPr>
            <w:tcW w:w="0" w:type="dxa"/>
            <w:vAlign w:val="bottom"/>
          </w:tcPr>
          <w:p>
            <w:pPr>
              <w:spacing w:after="0"/>
              <w:rPr>
                <w:sz w:val="1"/>
                <w:szCs w:val="1"/>
                <w:color w:val="auto"/>
              </w:rPr>
            </w:pPr>
          </w:p>
        </w:tc>
      </w:tr>
      <w:tr>
        <w:trPr>
          <w:trHeight w:val="628"/>
        </w:trPr>
        <w:tc>
          <w:tcPr>
            <w:tcW w:w="23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investments that are measured at fair value on a recurring basis at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indicating the fair value hierarchy of the valuation inputs the Company utilized to determine such fair value: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42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Fixed-maturity securities available-for-sale</w:t>
            </w: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6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 and</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35,707,358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35,707,358</w:t>
            </w:r>
          </w:p>
        </w:tc>
      </w:tr>
      <w:tr>
        <w:trPr>
          <w:trHeight w:val="216"/>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 States, Territories and Possessions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13,310,509</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13,310,509</w:t>
            </w:r>
          </w:p>
        </w:tc>
      </w:tr>
      <w:tr>
        <w:trPr>
          <w:trHeight w:val="216"/>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68,643,476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68,643,476</w:t>
            </w:r>
          </w:p>
        </w:tc>
      </w:tr>
      <w:tr>
        <w:trPr>
          <w:trHeight w:val="216"/>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 and other asset backed securities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43,585,727</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43,585,727</w:t>
            </w:r>
          </w:p>
        </w:tc>
      </w:tr>
      <w:tr>
        <w:trPr>
          <w:trHeight w:val="20"/>
        </w:trPr>
        <w:tc>
          <w:tcPr>
            <w:tcW w:w="60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fixed maturities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104,350,834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56,896,236</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161,247,070</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13,536,833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13,536,833</w:t>
            </w:r>
          </w:p>
        </w:tc>
      </w:tr>
      <w:tr>
        <w:trPr>
          <w:trHeight w:val="20"/>
        </w:trPr>
        <w:tc>
          <w:tcPr>
            <w:tcW w:w="60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117,887,667</w:t>
            </w:r>
          </w:p>
        </w:tc>
        <w:tc>
          <w:tcPr>
            <w:tcW w:w="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56,896,236</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174,783,903</w:t>
            </w: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Fixed-maturity securities available-for-sale</w:t>
            </w: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 and</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20,939,190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20,939,190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 States, Territories and Possessions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13,398,552</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13,398,552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70,107,746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70,107,746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 and other asset backed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44,475,309</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44,475,309</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fixed maturities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91,046,936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57,873,861</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148,920,797</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14,762,340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14,762,340</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105,809,276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57,873,861</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163,683,137</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ind w:left="554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060" w:type="dxa"/>
            <w:vAlign w:val="bottom"/>
            <w:tcBorders>
              <w:bottom w:val="single" w:sz="8" w:color="auto"/>
            </w:tcBorders>
            <w:gridSpan w:val="2"/>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Company’s investment in a hedge fund measured at Net Asset Value (“NAV”) per share as of March 31, 2024 and December 31, 2023. The Company measures this investment at fair value on a recurring basis. Fair value using NAV per share is as follows as of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425"/>
        </w:trPr>
        <w:tc>
          <w:tcPr>
            <w:tcW w:w="8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8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Hedge fund</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7"/>
              </w:rPr>
              <w:t>4,074,176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3,897,150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hedge fund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Such amounts have been recorded in the condensed consolidated statements of operations and comprehensive income (loss) within net gains on investments.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 and the level of the fair value hierarchy of the Company’s debt as of March 31, 2024 and December 31, 2023 not measured at fair value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32"/>
        </w:trPr>
        <w:tc>
          <w:tcPr>
            <w:tcW w:w="5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due 2024</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18,324,384</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18,324,384</w:t>
            </w:r>
          </w:p>
        </w:tc>
      </w:tr>
      <w:tr>
        <w:trPr>
          <w:trHeight w:val="432"/>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32"/>
        </w:trPr>
        <w:tc>
          <w:tcPr>
            <w:tcW w:w="5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6060" w:type="dxa"/>
            <w:vAlign w:val="bottom"/>
            <w:gridSpan w:val="2"/>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spacing w:after="0"/>
              <w:rPr>
                <w:sz w:val="16"/>
                <w:szCs w:val="16"/>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due 2024</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17,812,500</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17,812,500</w:t>
            </w:r>
          </w:p>
        </w:tc>
      </w:tr>
    </w:tbl>
    <w:p>
      <w:pPr>
        <w:sectPr>
          <w:pgSz w:w="11900" w:h="16838" w:orient="portrait"/>
          <w:cols w:equalWidth="0" w:num="1">
            <w:col w:w="11240"/>
          </w:cols>
          <w:pgMar w:left="320" w:top="119" w:right="339" w:bottom="0" w:gutter="0" w:footer="0" w:header="0"/>
        </w:sectPr>
      </w:pPr>
    </w:p>
    <w:bookmarkStart w:id="12" w:name="page13"/>
    <w:bookmarkEnd w:id="12"/>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of Financial Instruments and Real Estate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estimated fair values of the Company’s financial instruments and real estate, including their fair value level as of March 31, 2024 and December 31, 2023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Pr>
          <w:p>
            <w:pPr>
              <w:spacing w:after="0"/>
              <w:rPr>
                <w:sz w:val="20"/>
                <w:szCs w:val="20"/>
                <w:color w:val="auto"/>
              </w:rPr>
            </w:pPr>
          </w:p>
        </w:tc>
        <w:tc>
          <w:tcPr>
            <w:tcW w:w="240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87"/>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09"/>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Fixed-maturity securities held-to- maturity, Level 1</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7,051,252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6,043,911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7,052,541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6,106,148</w:t>
            </w:r>
          </w:p>
        </w:tc>
      </w:tr>
      <w:tr>
        <w:trPr>
          <w:trHeight w:val="216"/>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Fixed-maturity securities available-for-sale, Level 1</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110,398,994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104,350,834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111,909,412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91,046,936</w:t>
            </w:r>
          </w:p>
        </w:tc>
      </w:tr>
      <w:tr>
        <w:trPr>
          <w:trHeight w:val="216"/>
        </w:trPr>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Fixed-maturity securities available-for-sale, Level 2</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66,945,701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56,896,236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67,513,136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57,873,861</w:t>
            </w:r>
          </w:p>
        </w:tc>
      </w:tr>
      <w:tr>
        <w:trPr>
          <w:trHeight w:val="216"/>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Level 1</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3,199,300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3,199,300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8,976,998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8,976,998</w:t>
            </w:r>
          </w:p>
        </w:tc>
      </w:tr>
      <w:tr>
        <w:trPr>
          <w:trHeight w:val="216"/>
        </w:trPr>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receivable, net, Level 1</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13,902,797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13,902,797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13,604,808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13,604,808</w:t>
            </w:r>
          </w:p>
        </w:tc>
      </w:tr>
      <w:tr>
        <w:trPr>
          <w:trHeight w:val="216"/>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Reinsurance receivables, net, Level 3</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70,723,937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70,723,937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75,593,912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75,593,912</w:t>
            </w:r>
          </w:p>
        </w:tc>
      </w:tr>
      <w:tr>
        <w:trPr>
          <w:trHeight w:val="216"/>
        </w:trPr>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net of accumulated depreciation, Level 3</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1,978,542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1,992,529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3,540,000</w:t>
            </w:r>
          </w:p>
        </w:tc>
      </w:tr>
      <w:tr>
        <w:trPr>
          <w:trHeight w:val="234"/>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Reinsurance balances payable, Level 3</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19,392,748</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19,392,748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12,837,140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12,837,140</w:t>
            </w:r>
          </w:p>
        </w:tc>
      </w:tr>
      <w:tr>
        <w:trPr>
          <w:trHeight w:val="630"/>
        </w:trPr>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3440" w:type="dxa"/>
            <w:vAlign w:val="bottom"/>
            <w:gridSpan w:val="2"/>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6 – Property and Casualty Insurance Activity</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Premiums Earned</w:t>
            </w: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Premiums written, ceded and earned are as follows:</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Direct</w:t>
            </w:r>
          </w:p>
        </w:tc>
        <w:tc>
          <w:tcPr>
            <w:tcW w:w="12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Assumed</w:t>
            </w:r>
          </w:p>
        </w:tc>
        <w:tc>
          <w:tcPr>
            <w:tcW w:w="14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Ceded</w:t>
            </w:r>
          </w:p>
        </w:tc>
        <w:tc>
          <w:tcPr>
            <w:tcW w:w="120" w:type="dxa"/>
            <w:vAlign w:val="bottom"/>
          </w:tcPr>
          <w:p>
            <w:pPr>
              <w:spacing w:after="0"/>
              <w:rPr>
                <w:sz w:val="24"/>
                <w:szCs w:val="24"/>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426"/>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1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written</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49,324,616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(11,229,217)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38,095,399</w:t>
            </w:r>
          </w:p>
        </w:tc>
      </w:tr>
      <w:tr>
        <w:trPr>
          <w:trHeight w:val="216"/>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(9,947,259)</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(9,275,497)</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earned</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49,996,378</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(21,176,476)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28,819,902</w:t>
            </w:r>
          </w:p>
        </w:tc>
      </w:tr>
      <w:tr>
        <w:trPr>
          <w:trHeight w:val="197"/>
        </w:trPr>
        <w:tc>
          <w:tcPr>
            <w:tcW w:w="1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Premiums written</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47,597,446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(16,105,553)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31,491,893</w:t>
            </w:r>
          </w:p>
        </w:tc>
      </w:tr>
      <w:tr>
        <w:trPr>
          <w:trHeight w:val="216"/>
        </w:trPr>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2,332,884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(5,569,824)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(3,236,940)</w:t>
            </w:r>
          </w:p>
        </w:tc>
      </w:tr>
      <w:tr>
        <w:trPr>
          <w:trHeight w:val="20"/>
        </w:trPr>
        <w:tc>
          <w:tcPr>
            <w:tcW w:w="1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Premiums earned</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49,930,330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(21,675,377)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28,254,953</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Premium receipts in advance of the policy effective date are recorded as advance premiums. The balance of advance premiums as of March 31, 2024 and December 31, 2023 was $4,580,934 and $3,797,590,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and Loss Adjustment Expense Reserves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unpaid loss and LAE reserves:</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8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8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$121,817,862</w:t>
            </w:r>
          </w:p>
        </w:tc>
        <w:tc>
          <w:tcPr>
            <w:tcW w:w="18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$118,339,513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24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(33,288,650)</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(27,659,500)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beginning of period</w:t>
            </w:r>
          </w:p>
        </w:tc>
        <w:tc>
          <w:tcPr>
            <w:tcW w:w="24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88,529,212</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90,680,013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18,425,855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25,042,531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years</w:t>
            </w:r>
          </w:p>
        </w:tc>
        <w:tc>
          <w:tcPr>
            <w:tcW w:w="24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(566,268)</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incurred</w:t>
            </w:r>
          </w:p>
        </w:tc>
        <w:tc>
          <w:tcPr>
            <w:tcW w:w="246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17,859,587</w:t>
            </w: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25,039,410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4,671,653</w:t>
            </w:r>
          </w:p>
        </w:tc>
        <w:tc>
          <w:tcPr>
            <w:tcW w:w="18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Prior years</w:t>
            </w:r>
          </w:p>
        </w:tc>
        <w:tc>
          <w:tcPr>
            <w:tcW w:w="24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11,942,843</w:t>
            </w:r>
          </w:p>
        </w:tc>
        <w:tc>
          <w:tcPr>
            <w:tcW w:w="1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16,116,681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paid</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16,614,496</w:t>
            </w:r>
          </w:p>
        </w:tc>
        <w:tc>
          <w:tcPr>
            <w:tcW w:w="18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22,002,969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at end of period</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89,774,303</w:t>
            </w:r>
          </w:p>
        </w:tc>
        <w:tc>
          <w:tcPr>
            <w:tcW w:w="18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93,716,454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Add reinsurance recoverables</w:t>
            </w:r>
          </w:p>
        </w:tc>
        <w:tc>
          <w:tcPr>
            <w:tcW w:w="24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32,724,136</w:t>
            </w:r>
          </w:p>
        </w:tc>
        <w:tc>
          <w:tcPr>
            <w:tcW w:w="1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30,405,364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122,498,439</w:t>
            </w:r>
          </w:p>
        </w:tc>
        <w:tc>
          <w:tcPr>
            <w:tcW w:w="180" w:type="dxa"/>
            <w:vAlign w:val="bottom"/>
            <w:tcBorders>
              <w:right w:val="single" w:sz="8" w:color="CCEEFF"/>
            </w:tcBorders>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124,121,818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Incurred losses and LAE are net of reinsurance recoveries under reinsurance contracts of $4,861,500 and $12,256,426 for the three months ended March 31, 2024 and 2023, respectively.</w:t>
      </w:r>
    </w:p>
    <w:p>
      <w:pPr>
        <w:spacing w:after="0" w:line="162"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Prior year incurred loss and LAE development is based upon estimates by line of business and accident year. Prior year loss and LAE development incurred during the three months ended March 31, 2024 and 2023 was $566,268 favorable and $3,121 favorable, respectively. Management, on a quarterly basis,</w:t>
      </w:r>
    </w:p>
    <w:p>
      <w:pPr>
        <w:sectPr>
          <w:pgSz w:w="11900" w:h="16908" w:orient="portrait"/>
          <w:cols w:equalWidth="0" w:num="1">
            <w:col w:w="11240"/>
          </w:cols>
          <w:pgMar w:left="320" w:top="117" w:right="339" w:bottom="0" w:gutter="0" w:footer="0" w:header="0"/>
        </w:sectPr>
      </w:pPr>
    </w:p>
    <w:bookmarkStart w:id="13" w:name="page14"/>
    <w:bookmarkEnd w:id="1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performs a review of open liability claims to assess carried case and incurred but not reported (“IBNR”) reserve levels, giving consideration to both Company and industry trends.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and LAE Reserves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Paid Loss Development </w:t>
      </w:r>
      <w:r>
        <w:rPr>
          <w:rFonts w:ascii="Times New Roman" w:cs="Times New Roman" w:eastAsia="Times New Roman" w:hAnsi="Times New Roman"/>
          <w:sz w:val="18"/>
          <w:szCs w:val="18"/>
          <w:color w:val="auto"/>
        </w:rPr>
        <w:t>– historical patterns of paid loss development are used to project future paid loss emergence in order to estimate required reserves.</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Incurred Loss Development </w:t>
      </w:r>
      <w:r>
        <w:rPr>
          <w:rFonts w:ascii="Times New Roman" w:cs="Times New Roman" w:eastAsia="Times New Roman" w:hAnsi="Times New Roman"/>
          <w:sz w:val="18"/>
          <w:szCs w:val="18"/>
          <w:color w:val="auto"/>
        </w:rPr>
        <w:t>– historical patterns of incurred loss development, reflecting both paid losses and changes in case reserves, are used to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incurred loss emergence in order to estimate required reserves.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Paid Bornhuetter-Ferguson (“BF”) </w:t>
      </w:r>
      <w:r>
        <w:rPr>
          <w:rFonts w:ascii="Times New Roman" w:cs="Times New Roman" w:eastAsia="Times New Roman" w:hAnsi="Times New Roman"/>
          <w:sz w:val="18"/>
          <w:szCs w:val="18"/>
          <w:color w:val="auto"/>
        </w:rPr>
        <w:t>– an estimated loss ratio for a particular accident year is determined, and is weighted against the portion of the accident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Incurred Bornhuetter-Ferguson (“BF”) </w:t>
      </w:r>
      <w:r>
        <w:rPr>
          <w:rFonts w:ascii="Times New Roman" w:cs="Times New Roman" w:eastAsia="Times New Roman" w:hAnsi="Times New Roman"/>
          <w:sz w:val="18"/>
          <w:szCs w:val="18"/>
          <w:color w:val="auto"/>
        </w:rPr>
        <w:t>- an estimated loss ratio for a particular accident year is determined, and is weighted against the portion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Incremental Claim-Based Methods</w:t>
      </w:r>
      <w:r>
        <w:rPr>
          <w:rFonts w:ascii="Times New Roman" w:cs="Times New Roman" w:eastAsia="Times New Roman" w:hAnsi="Times New Roman"/>
          <w:sz w:val="18"/>
          <w:szCs w:val="18"/>
          <w:color w:val="auto"/>
        </w:rPr>
        <w:t>– historical patterns of incremental incurred losses and paid LAE during various stages of development are reviewed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are 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Frequency / Severity Based Methods </w:t>
      </w:r>
      <w:r>
        <w:rPr>
          <w:rFonts w:ascii="Times New Roman" w:cs="Times New Roman" w:eastAsia="Times New Roman" w:hAnsi="Times New Roman"/>
          <w:sz w:val="18"/>
          <w:szCs w:val="18"/>
          <w:color w:val="auto"/>
        </w:rPr>
        <w:t>– historical measurements of claim frequency and average paid claim size (severity) are reviewed for more mature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accident years where 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 trend, and mix of business. The severity assumptions used in the frequency / severity method are determined by reviewing historical average claim severity for older more mature accident periods, trended forward to less mature accident periods.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reviews the carried reserves levels on a regular basis as additional information becomes available and makes adjustments in the periods in which such adjustments are determined to be necessary. The Company is not aware of any claim trends that have emerged or that would cause future adverse development that have not already been contemplated in setting current carried reserves levels.</w:t>
      </w:r>
    </w:p>
    <w:p>
      <w:pPr>
        <w:sectPr>
          <w:pgSz w:w="11900" w:h="16838" w:orient="portrait"/>
          <w:cols w:equalWidth="0" w:num="1">
            <w:col w:w="11240"/>
          </w:cols>
          <w:pgMar w:left="320" w:top="121" w:right="339" w:bottom="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March 31, 2021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information about incurred and paid claims development as of March 31, 2024, net of reinsurance, as well as the cumulative reported claims by accident year and total IBNR reserves as of March 31, 2024 included in the net incurred loss and allocated expense amounts. The historical information regarding incurred and paid claims development for the years ended December 31, 2015 to December 31, 2023 is presented as supplementary unaudited information.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Lines of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reported claims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580" w:type="dxa"/>
            <w:vAlign w:val="bottom"/>
            <w:gridSpan w:val="3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Incurred Loss and Allocated Loss Adjustment Expenses, Net of Reinsurance</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4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0" w:type="dxa"/>
            <w:vAlign w:val="bottom"/>
          </w:tcPr>
          <w:p>
            <w:pPr>
              <w:spacing w:after="0"/>
              <w:rPr>
                <w:sz w:val="1"/>
                <w:szCs w:val="1"/>
                <w:color w:val="auto"/>
              </w:rPr>
            </w:pPr>
          </w:p>
        </w:tc>
      </w:tr>
      <w:tr>
        <w:trPr>
          <w:trHeight w:val="187"/>
        </w:trPr>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Three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7"/>
              </w:rPr>
              <w:t>Cumulative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0" w:type="dxa"/>
            <w:vAlign w:val="bottom"/>
            <w:gridSpan w:val="16"/>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For the Years Ended December 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16"/>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Claims by</w:t>
            </w:r>
          </w:p>
        </w:tc>
        <w:tc>
          <w:tcPr>
            <w:tcW w:w="0" w:type="dxa"/>
            <w:vAlign w:val="bottom"/>
          </w:tcPr>
          <w:p>
            <w:pPr>
              <w:spacing w:after="0"/>
              <w:rPr>
                <w:sz w:val="1"/>
                <w:szCs w:val="1"/>
                <w:color w:val="auto"/>
              </w:rPr>
            </w:pPr>
          </w:p>
        </w:tc>
      </w:tr>
      <w:tr>
        <w:trPr>
          <w:trHeight w:val="187"/>
        </w:trPr>
        <w:tc>
          <w:tcPr>
            <w:tcW w:w="82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Accident</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Accident</w:t>
            </w:r>
          </w:p>
        </w:tc>
        <w:tc>
          <w:tcPr>
            <w:tcW w:w="0" w:type="dxa"/>
            <w:vAlign w:val="bottom"/>
          </w:tcPr>
          <w:p>
            <w:pPr>
              <w:spacing w:after="0"/>
              <w:rPr>
                <w:sz w:val="1"/>
                <w:szCs w:val="1"/>
                <w:color w:val="auto"/>
              </w:rPr>
            </w:pPr>
          </w:p>
        </w:tc>
      </w:tr>
      <w:tr>
        <w:trPr>
          <w:trHeight w:val="238"/>
        </w:trPr>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220" w:type="dxa"/>
            <w:vAlign w:val="bottom"/>
          </w:tcPr>
          <w:p>
            <w:pPr>
              <w:spacing w:after="0"/>
              <w:rPr>
                <w:sz w:val="20"/>
                <w:szCs w:val="20"/>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IBNR</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rPr>
              <w:t>(Unaudited 2015 - 2023)</w:t>
            </w: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$ 22,340</w:t>
            </w:r>
          </w:p>
        </w:tc>
        <w:tc>
          <w:tcPr>
            <w:tcW w:w="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$ 21,994</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$ 22,148</w:t>
            </w: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1"/>
              </w:rPr>
              <w:t>$ 22,491</w:t>
            </w: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$ 23,386</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$ 23,291</w:t>
            </w: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$ 23,528</w:t>
            </w:r>
          </w:p>
        </w:tc>
        <w:tc>
          <w:tcPr>
            <w:tcW w:w="8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$ 23,533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$ 23,428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23,499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281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2,559</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26,062</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24,941</w:t>
            </w:r>
          </w:p>
        </w:tc>
        <w:tc>
          <w:tcPr>
            <w:tcW w:w="2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24,789</w:t>
            </w:r>
          </w:p>
        </w:tc>
        <w:tc>
          <w:tcPr>
            <w:tcW w:w="20" w:type="dxa"/>
            <w:vAlign w:val="bottom"/>
          </w:tcPr>
          <w:p>
            <w:pPr>
              <w:spacing w:after="0"/>
              <w:rPr>
                <w:sz w:val="18"/>
                <w:szCs w:val="18"/>
                <w:color w:val="auto"/>
              </w:rPr>
            </w:pPr>
          </w:p>
        </w:tc>
        <w:tc>
          <w:tcPr>
            <w:tcW w:w="8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27,887</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27,966</w:t>
            </w:r>
          </w:p>
        </w:tc>
        <w:tc>
          <w:tcPr>
            <w:tcW w:w="8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27,417</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27,352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27,271</w:t>
            </w:r>
          </w:p>
        </w:tc>
        <w:tc>
          <w:tcPr>
            <w:tcW w:w="14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27,247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2,881</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31,605</w:t>
            </w: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32,169</w:t>
            </w: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35,304</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36,160</w:t>
            </w: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36,532</w:t>
            </w:r>
          </w:p>
        </w:tc>
        <w:tc>
          <w:tcPr>
            <w:tcW w:w="8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36,502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36,819</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54,455</w:t>
            </w:r>
          </w:p>
        </w:tc>
        <w:tc>
          <w:tcPr>
            <w:tcW w:w="20" w:type="dxa"/>
            <w:vAlign w:val="bottom"/>
          </w:tcPr>
          <w:p>
            <w:pPr>
              <w:spacing w:after="0"/>
              <w:rPr>
                <w:sz w:val="18"/>
                <w:szCs w:val="18"/>
                <w:color w:val="auto"/>
              </w:rPr>
            </w:pPr>
          </w:p>
        </w:tc>
        <w:tc>
          <w:tcPr>
            <w:tcW w:w="8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56,351</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58,441</w:t>
            </w:r>
          </w:p>
        </w:tc>
        <w:tc>
          <w:tcPr>
            <w:tcW w:w="8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59,404</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61,237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61,145</w:t>
            </w:r>
          </w:p>
        </w:tc>
        <w:tc>
          <w:tcPr>
            <w:tcW w:w="14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61,252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4,236</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75,092</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72,368</w:t>
            </w: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71,544</w:t>
            </w:r>
          </w:p>
        </w:tc>
        <w:tc>
          <w:tcPr>
            <w:tcW w:w="8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71,964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73,310</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73,438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4,505</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63,083</w:t>
            </w:r>
          </w:p>
        </w:tc>
        <w:tc>
          <w:tcPr>
            <w:tcW w:w="8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62,833</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63,217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63,562</w:t>
            </w:r>
          </w:p>
        </w:tc>
        <w:tc>
          <w:tcPr>
            <w:tcW w:w="14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63,583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1,418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5,889</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96,425</w:t>
            </w:r>
          </w:p>
        </w:tc>
        <w:tc>
          <w:tcPr>
            <w:tcW w:w="8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96,673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96,134</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96,468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5,819</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79,835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78,759</w:t>
            </w:r>
          </w:p>
        </w:tc>
        <w:tc>
          <w:tcPr>
            <w:tcW w:w="14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79,274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5,540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4,692</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78,978</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76,887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4,024</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16,827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7,683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10"/>
        </w:trPr>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555,304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2320" w:type="dxa"/>
            <w:vAlign w:val="bottom"/>
            <w:tcBorders>
              <w:top w:val="single" w:sz="8" w:color="CCEEFF"/>
            </w:tcBorders>
            <w:gridSpan w:val="11"/>
          </w:tcPr>
          <w:p>
            <w:pPr>
              <w:spacing w:after="0"/>
              <w:rPr>
                <w:sz w:val="20"/>
                <w:szCs w:val="20"/>
                <w:color w:val="auto"/>
              </w:rPr>
            </w:pPr>
            <w:r>
              <w:rPr>
                <w:rFonts w:ascii="Times New Roman" w:cs="Times New Roman" w:eastAsia="Times New Roman" w:hAnsi="Times New Roman"/>
                <w:sz w:val="18"/>
                <w:szCs w:val="18"/>
                <w:b w:val="1"/>
                <w:bCs w:val="1"/>
                <w:color w:val="auto"/>
              </w:rPr>
              <w:t>All Lines of Business</w:t>
            </w:r>
          </w:p>
        </w:tc>
        <w:tc>
          <w:tcPr>
            <w:tcW w:w="16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5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560" w:type="dxa"/>
            <w:vAlign w:val="bottom"/>
            <w:gridSpan w:val="37"/>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Cumulative Paid Loss and Allocated Loss Adjustment Expenses, Net of Reinsurance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560" w:type="dxa"/>
            <w:vAlign w:val="bottom"/>
            <w:tcBorders>
              <w:bottom w:val="single" w:sz="8" w:color="auto"/>
            </w:tcBorders>
            <w:gridSpan w:val="37"/>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Three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14"/>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14"/>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10"/>
        </w:trPr>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Accident Year</w:t>
            </w:r>
          </w:p>
        </w:tc>
        <w:tc>
          <w:tcPr>
            <w:tcW w:w="100" w:type="dxa"/>
            <w:vAlign w:val="bottom"/>
          </w:tcPr>
          <w:p>
            <w:pPr>
              <w:spacing w:after="0"/>
              <w:rPr>
                <w:sz w:val="18"/>
                <w:szCs w:val="18"/>
                <w:color w:val="auto"/>
              </w:rPr>
            </w:pPr>
          </w:p>
        </w:tc>
        <w:tc>
          <w:tcPr>
            <w:tcW w:w="160" w:type="dxa"/>
            <w:vAlign w:val="bottom"/>
            <w:tcBorders>
              <w:bottom w:val="single" w:sz="8" w:color="auto"/>
            </w:tcBorders>
            <w:gridSpan w:val="2"/>
          </w:tcPr>
          <w:p>
            <w:pPr>
              <w:spacing w:after="0"/>
              <w:rPr>
                <w:sz w:val="18"/>
                <w:szCs w:val="18"/>
                <w:color w:val="auto"/>
              </w:rPr>
            </w:pPr>
          </w:p>
        </w:tc>
        <w:tc>
          <w:tcPr>
            <w:tcW w:w="6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1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(Unaudited 2015 - 2023)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2015</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12,295</w:t>
            </w:r>
          </w:p>
        </w:tc>
        <w:tc>
          <w:tcPr>
            <w:tcW w:w="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16,181</w:t>
            </w: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18,266</w:t>
            </w:r>
          </w:p>
        </w:tc>
        <w:tc>
          <w:tcPr>
            <w:tcW w:w="9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19,984</w:t>
            </w:r>
          </w:p>
        </w:tc>
        <w:tc>
          <w:tcPr>
            <w:tcW w:w="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21,067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22,104</w:t>
            </w: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22,473</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22,519</w:t>
            </w:r>
          </w:p>
        </w:tc>
        <w:tc>
          <w:tcPr>
            <w:tcW w:w="2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22,530</w:t>
            </w:r>
          </w:p>
        </w:tc>
        <w:tc>
          <w:tcPr>
            <w:tcW w:w="0" w:type="dxa"/>
            <w:vAlign w:val="bottom"/>
          </w:tcPr>
          <w:p>
            <w:pPr>
              <w:spacing w:after="0"/>
              <w:rPr>
                <w:sz w:val="1"/>
                <w:szCs w:val="1"/>
                <w:color w:val="auto"/>
              </w:rPr>
            </w:pPr>
          </w:p>
        </w:tc>
      </w:tr>
      <w:tr>
        <w:trPr>
          <w:trHeight w:val="216"/>
        </w:trPr>
        <w:tc>
          <w:tcPr>
            <w:tcW w:w="8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2016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15,364</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19,001</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21,106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6"/>
              </w:rPr>
              <w:t>23,974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25,234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25,750</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26,854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26,860</w:t>
            </w:r>
          </w:p>
        </w:tc>
        <w:tc>
          <w:tcPr>
            <w:tcW w:w="0" w:type="dxa"/>
            <w:vAlign w:val="bottom"/>
          </w:tcPr>
          <w:p>
            <w:pPr>
              <w:spacing w:after="0"/>
              <w:rPr>
                <w:sz w:val="1"/>
                <w:szCs w:val="1"/>
                <w:color w:val="auto"/>
              </w:rPr>
            </w:pPr>
          </w:p>
        </w:tc>
      </w:tr>
      <w:tr>
        <w:trPr>
          <w:trHeight w:val="216"/>
        </w:trPr>
        <w:tc>
          <w:tcPr>
            <w:tcW w:w="820" w:type="dxa"/>
            <w:vAlign w:val="bottom"/>
            <w:gridSpan w:val="2"/>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2017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16,704</w:t>
            </w:r>
          </w:p>
        </w:tc>
        <w:tc>
          <w:tcPr>
            <w:tcW w:w="9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28,693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31,393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32,529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33,522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34,683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34,729</w:t>
            </w:r>
          </w:p>
        </w:tc>
        <w:tc>
          <w:tcPr>
            <w:tcW w:w="0" w:type="dxa"/>
            <w:vAlign w:val="bottom"/>
          </w:tcPr>
          <w:p>
            <w:pPr>
              <w:spacing w:after="0"/>
              <w:rPr>
                <w:sz w:val="1"/>
                <w:szCs w:val="1"/>
                <w:color w:val="auto"/>
              </w:rPr>
            </w:pPr>
          </w:p>
        </w:tc>
      </w:tr>
      <w:tr>
        <w:trPr>
          <w:trHeight w:val="216"/>
        </w:trPr>
        <w:tc>
          <w:tcPr>
            <w:tcW w:w="8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2018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32,383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6"/>
              </w:rPr>
              <w:t>44,516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50,553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52,025</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54,424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56,199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56,313</w:t>
            </w:r>
          </w:p>
        </w:tc>
        <w:tc>
          <w:tcPr>
            <w:tcW w:w="0" w:type="dxa"/>
            <w:vAlign w:val="bottom"/>
          </w:tcPr>
          <w:p>
            <w:pPr>
              <w:spacing w:after="0"/>
              <w:rPr>
                <w:sz w:val="1"/>
                <w:szCs w:val="1"/>
                <w:color w:val="auto"/>
              </w:rPr>
            </w:pPr>
          </w:p>
        </w:tc>
      </w:tr>
      <w:tr>
        <w:trPr>
          <w:trHeight w:val="216"/>
        </w:trPr>
        <w:tc>
          <w:tcPr>
            <w:tcW w:w="820" w:type="dxa"/>
            <w:vAlign w:val="bottom"/>
            <w:gridSpan w:val="2"/>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2019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40,933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54,897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58,055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60,374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63,932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64,845</w:t>
            </w:r>
          </w:p>
        </w:tc>
        <w:tc>
          <w:tcPr>
            <w:tcW w:w="0" w:type="dxa"/>
            <w:vAlign w:val="bottom"/>
          </w:tcPr>
          <w:p>
            <w:pPr>
              <w:spacing w:after="0"/>
              <w:rPr>
                <w:sz w:val="1"/>
                <w:szCs w:val="1"/>
                <w:color w:val="auto"/>
              </w:rPr>
            </w:pPr>
          </w:p>
        </w:tc>
      </w:tr>
      <w:tr>
        <w:trPr>
          <w:trHeight w:val="216"/>
        </w:trPr>
        <w:tc>
          <w:tcPr>
            <w:tcW w:w="8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2020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39,045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50,719</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56,523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57,938</w:t>
            </w:r>
          </w:p>
        </w:tc>
        <w:tc>
          <w:tcPr>
            <w:tcW w:w="0" w:type="dxa"/>
            <w:vAlign w:val="bottom"/>
          </w:tcPr>
          <w:p>
            <w:pPr>
              <w:spacing w:after="0"/>
              <w:rPr>
                <w:sz w:val="1"/>
                <w:szCs w:val="1"/>
                <w:color w:val="auto"/>
              </w:rPr>
            </w:pPr>
          </w:p>
        </w:tc>
      </w:tr>
      <w:tr>
        <w:trPr>
          <w:trHeight w:val="216"/>
        </w:trPr>
        <w:tc>
          <w:tcPr>
            <w:tcW w:w="820" w:type="dxa"/>
            <w:vAlign w:val="bottom"/>
            <w:gridSpan w:val="2"/>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2021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56,282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77,756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82,317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83,311</w:t>
            </w:r>
          </w:p>
        </w:tc>
        <w:tc>
          <w:tcPr>
            <w:tcW w:w="0" w:type="dxa"/>
            <w:vAlign w:val="bottom"/>
          </w:tcPr>
          <w:p>
            <w:pPr>
              <w:spacing w:after="0"/>
              <w:rPr>
                <w:sz w:val="1"/>
                <w:szCs w:val="1"/>
                <w:color w:val="auto"/>
              </w:rPr>
            </w:pPr>
          </w:p>
        </w:tc>
      </w:tr>
      <w:tr>
        <w:trPr>
          <w:trHeight w:val="216"/>
        </w:trPr>
        <w:tc>
          <w:tcPr>
            <w:tcW w:w="8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2022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45,856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65,732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66,367</w:t>
            </w:r>
          </w:p>
        </w:tc>
        <w:tc>
          <w:tcPr>
            <w:tcW w:w="0" w:type="dxa"/>
            <w:vAlign w:val="bottom"/>
          </w:tcPr>
          <w:p>
            <w:pPr>
              <w:spacing w:after="0"/>
              <w:rPr>
                <w:sz w:val="1"/>
                <w:szCs w:val="1"/>
                <w:color w:val="auto"/>
              </w:rPr>
            </w:pPr>
          </w:p>
        </w:tc>
      </w:tr>
      <w:tr>
        <w:trPr>
          <w:trHeight w:val="216"/>
        </w:trPr>
        <w:tc>
          <w:tcPr>
            <w:tcW w:w="820" w:type="dxa"/>
            <w:vAlign w:val="bottom"/>
            <w:gridSpan w:val="2"/>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2023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46,280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53,203</w:t>
            </w:r>
          </w:p>
        </w:tc>
        <w:tc>
          <w:tcPr>
            <w:tcW w:w="0" w:type="dxa"/>
            <w:vAlign w:val="bottom"/>
          </w:tcPr>
          <w:p>
            <w:pPr>
              <w:spacing w:after="0"/>
              <w:rPr>
                <w:sz w:val="1"/>
                <w:szCs w:val="1"/>
                <w:color w:val="auto"/>
              </w:rPr>
            </w:pPr>
          </w:p>
        </w:tc>
      </w:tr>
      <w:tr>
        <w:trPr>
          <w:trHeight w:val="216"/>
        </w:trPr>
        <w:tc>
          <w:tcPr>
            <w:tcW w:w="8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2024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470,076</w:t>
            </w:r>
          </w:p>
        </w:tc>
        <w:tc>
          <w:tcPr>
            <w:tcW w:w="0" w:type="dxa"/>
            <w:vAlign w:val="bottom"/>
          </w:tcPr>
          <w:p>
            <w:pPr>
              <w:spacing w:after="0"/>
              <w:rPr>
                <w:sz w:val="1"/>
                <w:szCs w:val="1"/>
                <w:color w:val="auto"/>
              </w:rPr>
            </w:pPr>
          </w:p>
        </w:tc>
      </w:tr>
      <w:tr>
        <w:trPr>
          <w:trHeight w:val="209"/>
        </w:trPr>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76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gridSpan w:val="3"/>
          </w:tcPr>
          <w:p>
            <w:pPr>
              <w:spacing w:after="0"/>
              <w:rPr>
                <w:sz w:val="18"/>
                <w:szCs w:val="18"/>
                <w:color w:val="auto"/>
              </w:rPr>
            </w:pPr>
          </w:p>
        </w:tc>
        <w:tc>
          <w:tcPr>
            <w:tcW w:w="780" w:type="dxa"/>
            <w:vAlign w:val="bottom"/>
            <w:tcBorders>
              <w:top w:val="single" w:sz="8" w:color="CCEEFF"/>
            </w:tcBorders>
            <w:gridSpan w:val="3"/>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gridSpan w:val="3"/>
          </w:tcPr>
          <w:p>
            <w:pPr>
              <w:spacing w:after="0"/>
              <w:rPr>
                <w:sz w:val="18"/>
                <w:szCs w:val="18"/>
                <w:color w:val="auto"/>
              </w:rPr>
            </w:pPr>
          </w:p>
        </w:tc>
        <w:tc>
          <w:tcPr>
            <w:tcW w:w="980" w:type="dxa"/>
            <w:vAlign w:val="bottom"/>
            <w:tcBorders>
              <w:top w:val="single" w:sz="8" w:color="CCEEFF"/>
            </w:tcBorders>
            <w:gridSpan w:val="5"/>
          </w:tcPr>
          <w:p>
            <w:pPr>
              <w:spacing w:after="0"/>
              <w:rPr>
                <w:sz w:val="18"/>
                <w:szCs w:val="18"/>
                <w:color w:val="auto"/>
              </w:rPr>
            </w:pPr>
          </w:p>
        </w:tc>
        <w:tc>
          <w:tcPr>
            <w:tcW w:w="220" w:type="dxa"/>
            <w:vAlign w:val="bottom"/>
            <w:tcBorders>
              <w:top w:val="single" w:sz="8" w:color="CCEEFF"/>
            </w:tcBorders>
            <w:gridSpan w:val="3"/>
          </w:tcPr>
          <w:p>
            <w:pPr>
              <w:spacing w:after="0"/>
              <w:rPr>
                <w:sz w:val="18"/>
                <w:szCs w:val="18"/>
                <w:color w:val="auto"/>
              </w:rPr>
            </w:pPr>
          </w:p>
        </w:tc>
        <w:tc>
          <w:tcPr>
            <w:tcW w:w="1760" w:type="dxa"/>
            <w:vAlign w:val="bottom"/>
            <w:tcBorders>
              <w:top w:val="single" w:sz="8" w:color="CCEEFF"/>
            </w:tcBorders>
            <w:gridSpan w:val="6"/>
          </w:tcPr>
          <w:p>
            <w:pPr>
              <w:spacing w:after="0"/>
              <w:rPr>
                <w:sz w:val="18"/>
                <w:szCs w:val="18"/>
                <w:color w:val="auto"/>
              </w:rPr>
            </w:pPr>
          </w:p>
        </w:tc>
        <w:tc>
          <w:tcPr>
            <w:tcW w:w="200" w:type="dxa"/>
            <w:vAlign w:val="bottom"/>
            <w:tcBorders>
              <w:top w:val="single" w:sz="8" w:color="CCEEFF"/>
            </w:tcBorders>
            <w:gridSpan w:val="3"/>
          </w:tcPr>
          <w:p>
            <w:pPr>
              <w:spacing w:after="0"/>
              <w:rPr>
                <w:sz w:val="18"/>
                <w:szCs w:val="18"/>
                <w:color w:val="auto"/>
              </w:rPr>
            </w:pPr>
          </w:p>
        </w:tc>
        <w:tc>
          <w:tcPr>
            <w:tcW w:w="820" w:type="dxa"/>
            <w:vAlign w:val="bottom"/>
            <w:tcBorders>
              <w:top w:val="single" w:sz="8" w:color="CCEEFF"/>
            </w:tcBorders>
            <w:gridSpan w:val="4"/>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560" w:type="dxa"/>
            <w:vAlign w:val="bottom"/>
            <w:gridSpan w:val="37"/>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Net liability for unpaid loss and allocated loss adjustment expenses for the accident years presented</w:t>
            </w:r>
          </w:p>
        </w:tc>
        <w:tc>
          <w:tcPr>
            <w:tcW w:w="2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85,228</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gridSpan w:val="22"/>
          </w:tcPr>
          <w:p>
            <w:pPr>
              <w:jc w:val="right"/>
              <w:ind w:right="40"/>
              <w:spacing w:after="0"/>
              <w:rPr>
                <w:sz w:val="20"/>
                <w:szCs w:val="20"/>
                <w:color w:val="auto"/>
              </w:rPr>
            </w:pPr>
            <w:r>
              <w:rPr>
                <w:rFonts w:ascii="Times New Roman" w:cs="Times New Roman" w:eastAsia="Times New Roman" w:hAnsi="Times New Roman"/>
                <w:sz w:val="18"/>
                <w:szCs w:val="18"/>
                <w:color w:val="auto"/>
              </w:rPr>
              <w:t>All outstanding liabilities before 2015, net of reinsurance</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740" w:type="dxa"/>
            <w:vAlign w:val="bottom"/>
            <w:gridSpan w:val="28"/>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Liabilities for loss and allocated loss adjustment expenses, net of reinsurance</w:t>
            </w:r>
          </w:p>
        </w:tc>
        <w:tc>
          <w:tcPr>
            <w:tcW w:w="2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85,753</w:t>
            </w:r>
          </w:p>
        </w:tc>
        <w:tc>
          <w:tcPr>
            <w:tcW w:w="0" w:type="dxa"/>
            <w:vAlign w:val="bottom"/>
          </w:tcPr>
          <w:p>
            <w:pPr>
              <w:spacing w:after="0"/>
              <w:rPr>
                <w:sz w:val="1"/>
                <w:szCs w:val="1"/>
                <w:color w:val="auto"/>
              </w:rPr>
            </w:pP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may not sum to totals due to rounding)</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ectPr>
          <w:pgSz w:w="11900" w:h="16838" w:orient="portrait"/>
          <w:cols w:equalWidth="0" w:num="1">
            <w:col w:w="11240"/>
          </w:cols>
          <w:pgMar w:left="320" w:top="337" w:right="339" w:bottom="206" w:gutter="0" w:footer="0" w:header="0"/>
        </w:sectPr>
      </w:pPr>
    </w:p>
    <w:bookmarkStart w:id="15" w:name="page16"/>
    <w:bookmarkEnd w:id="15"/>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 of the net incurred and paid loss development tables to the loss and LAE reserves in the condensed consolidated balance sheet is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the Disclosure of Incurred and Paid Loss Development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Liability for Loss and LAE Reserves</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8"/>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for allocated loss and loss adjustment expenses, net of reinsurance</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Total reinsurance recoverable on unpaid losses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loss adjustment expenses</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Total gross liability for loss and LAE reserves</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color w:val="auto"/>
        </w:rPr>
        <w:t>(Components may not sum to totals due to rounding)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Reinsurance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December 31, 2021, the Company entered into a quota share reinsurance treaty for its personal lines business, which primarily consists of homeowners’ and dwelling fire policies, covering the period from December 31, 2021 through January 1, 2023 (“2021/2023 Treaty”). Upon the expiration of the 2021/2023 Treaty on January 1, 2023, the Company entered into a new 30% quota share reinsurance treaty for its personal lines business, covering the period from January 1, 2023 through January 1, 2024 (“2023/2024 Treaty”). Upon the expiration of the 2023/2024 Treaty on January 1, 2024, the Company entered into a new 27% quota share reinsurance treaty for its personal lines business, covering the period from January 1, 2024 through January 1, 2025 (“2024/2025 Treaty”).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excess of loss and catastrophe reinsurance treaties expired on June 30, 2023 and the Company entered into new excess of loss and catastrophe reinsurance treaties effective July 1, 2023. Effective January 1, 2022, the Company entered into an underlying excess of loss reinsurance treaty (“Underlying XOL Treaty”) covering the period from January 1, 2022 through January 1, 2023. The treaty provided 50% reinsurance coverage for losses of $400,000 in excess of $600,000. Losses from named storms are excluded from the treaty. Effective January 1, 2023, the Underlying XOL Treaty was renewed covering the period from January 1, 2023 through January 1, 2024. Effective January 1, 2024, the Underlying XOL Treaty was renewed covering the period from January 1, 2024 through January 1, 2025. Material terms for reinsurance treaties in effect for the treaty years shown below are as follows: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52"/>
        </w:trPr>
        <w:tc>
          <w:tcPr>
            <w:tcW w:w="1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Treaty Period</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2024/2025 Treaty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2023/2024 Treaty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2021/2023 Treaty</w:t>
            </w:r>
          </w:p>
        </w:tc>
        <w:tc>
          <w:tcPr>
            <w:tcW w:w="160" w:type="dxa"/>
            <w:vAlign w:val="bottom"/>
          </w:tcPr>
          <w:p>
            <w:pPr>
              <w:spacing w:after="0"/>
              <w:rPr>
                <w:sz w:val="18"/>
                <w:szCs w:val="18"/>
                <w:color w:val="auto"/>
              </w:rPr>
            </w:pPr>
          </w:p>
        </w:tc>
      </w:tr>
      <w:tr>
        <w:trPr>
          <w:trHeight w:val="187"/>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July 1,</w:t>
            </w: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July 1,</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July 1,</w:t>
            </w:r>
          </w:p>
        </w:tc>
        <w:tc>
          <w:tcPr>
            <w:tcW w:w="106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to</w:t>
            </w: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3"/>
              </w:rPr>
              <w:t>to</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36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Line of Business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Pr>
          <w:p>
            <w:pPr>
              <w:spacing w:after="0"/>
              <w:rPr>
                <w:sz w:val="20"/>
                <w:szCs w:val="20"/>
                <w:color w:val="auto"/>
              </w:rPr>
            </w:pPr>
          </w:p>
        </w:tc>
      </w:tr>
      <w:tr>
        <w:trPr>
          <w:trHeight w:val="385"/>
        </w:trPr>
        <w:tc>
          <w:tcPr>
            <w:tcW w:w="3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3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Homeowners,  dwelling  fire  and  canine  legal</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liability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37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Quota share treaty:</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700" w:type="dxa"/>
            <w:vAlign w:val="bottom"/>
            <w:gridSpan w:val="5"/>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Percent ceded (7)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198"/>
        </w:trPr>
        <w:tc>
          <w:tcPr>
            <w:tcW w:w="3700" w:type="dxa"/>
            <w:vAlign w:val="bottom"/>
            <w:gridSpan w:val="5"/>
          </w:tcPr>
          <w:p>
            <w:pPr>
              <w:ind w:left="220"/>
              <w:spacing w:after="0" w:line="198" w:lineRule="exact"/>
              <w:rPr>
                <w:sz w:val="20"/>
                <w:szCs w:val="20"/>
                <w:color w:val="auto"/>
              </w:rPr>
            </w:pPr>
            <w:r>
              <w:rPr>
                <w:rFonts w:ascii="Times New Roman" w:cs="Times New Roman" w:eastAsia="Times New Roman" w:hAnsi="Times New Roman"/>
                <w:sz w:val="18"/>
                <w:szCs w:val="18"/>
                <w:color w:val="auto"/>
              </w:rPr>
              <w:t>Risk retained on intial $1,000,000 of losses (5)</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 (7)</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730,000</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730,000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700,000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700,000</w:t>
            </w:r>
          </w:p>
        </w:tc>
      </w:tr>
      <w:tr>
        <w:trPr>
          <w:trHeight w:val="198"/>
        </w:trPr>
        <w:tc>
          <w:tcPr>
            <w:tcW w:w="3700" w:type="dxa"/>
            <w:vAlign w:val="bottom"/>
            <w:gridSpan w:val="5"/>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Losses per occurrence subject to quota share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70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reinsurance coverage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700" w:type="dxa"/>
            <w:vAlign w:val="bottom"/>
            <w:gridSpan w:val="5"/>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Expiration date</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360"/>
              <w:spacing w:after="0" w:line="198" w:lineRule="exact"/>
              <w:rPr>
                <w:sz w:val="20"/>
                <w:szCs w:val="20"/>
                <w:color w:val="auto"/>
              </w:rPr>
            </w:pPr>
            <w:r>
              <w:rPr>
                <w:rFonts w:ascii="Times New Roman" w:cs="Times New Roman" w:eastAsia="Times New Roman" w:hAnsi="Times New Roman"/>
                <w:sz w:val="18"/>
                <w:szCs w:val="18"/>
                <w:color w:val="auto"/>
                <w:w w:val="99"/>
              </w:rPr>
              <w:t>January 1,</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9"/>
              </w:rPr>
              <w:t>January 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360"/>
              <w:spacing w:after="0" w:line="198" w:lineRule="exact"/>
              <w:rPr>
                <w:sz w:val="20"/>
                <w:szCs w:val="20"/>
                <w:color w:val="auto"/>
              </w:rPr>
            </w:pPr>
            <w:r>
              <w:rPr>
                <w:rFonts w:ascii="Times New Roman" w:cs="Times New Roman" w:eastAsia="Times New Roman" w:hAnsi="Times New Roman"/>
                <w:sz w:val="18"/>
                <w:szCs w:val="18"/>
                <w:color w:val="auto"/>
                <w:w w:val="99"/>
              </w:rPr>
              <w:t>January 1,</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300"/>
              <w:spacing w:after="0" w:line="198" w:lineRule="exact"/>
              <w:rPr>
                <w:sz w:val="20"/>
                <w:szCs w:val="20"/>
                <w:color w:val="auto"/>
              </w:rPr>
            </w:pPr>
            <w:r>
              <w:rPr>
                <w:rFonts w:ascii="Times New Roman" w:cs="Times New Roman" w:eastAsia="Times New Roman" w:hAnsi="Times New Roman"/>
                <w:sz w:val="18"/>
                <w:szCs w:val="18"/>
                <w:color w:val="auto"/>
                <w:w w:val="99"/>
              </w:rPr>
              <w:t>January 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360"/>
              <w:spacing w:after="0" w:line="198" w:lineRule="exact"/>
              <w:rPr>
                <w:sz w:val="20"/>
                <w:szCs w:val="20"/>
                <w:color w:val="auto"/>
              </w:rPr>
            </w:pPr>
            <w:r>
              <w:rPr>
                <w:rFonts w:ascii="Times New Roman" w:cs="Times New Roman" w:eastAsia="Times New Roman" w:hAnsi="Times New Roman"/>
                <w:sz w:val="18"/>
                <w:szCs w:val="18"/>
                <w:color w:val="auto"/>
                <w:w w:val="99"/>
              </w:rPr>
              <w:t>January 1,</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9"/>
              </w:rPr>
              <w:t>January 1,</w:t>
            </w:r>
          </w:p>
        </w:tc>
      </w:tr>
      <w:tr>
        <w:trPr>
          <w:trHeight w:val="234"/>
        </w:trPr>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2025</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2023</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shd w:val="clear" w:color="auto" w:fill="CCEEFF"/>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700" w:type="dxa"/>
            <w:vAlign w:val="bottom"/>
            <w:gridSpan w:val="5"/>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Excess of loss coverage and facultative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700" w:type="dxa"/>
            <w:vAlign w:val="bottom"/>
            <w:gridSpan w:val="5"/>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facility coverage (1) (5) (6)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8,400,000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8,400,000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8,400,000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8,400,000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8,400,000</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excess of</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excess of</w:t>
            </w: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in excess of</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excess of</w:t>
            </w: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in excess of</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excess of</w:t>
            </w:r>
          </w:p>
        </w:tc>
      </w:tr>
      <w:tr>
        <w:trPr>
          <w:trHeight w:val="216"/>
        </w:trPr>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600,000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600,000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700" w:type="dxa"/>
            <w:vAlign w:val="bottom"/>
            <w:gridSpan w:val="5"/>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Total reinsurance coverage per occurrence (5)</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470,000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8,470,000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8,500,000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8,500,000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8,500,000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8,500,000</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700" w:type="dxa"/>
            <w:vAlign w:val="bottom"/>
            <w:gridSpan w:val="5"/>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Losses per occurrence subject to reinsurance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70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coverage (6)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9,000,000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9,000,000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9,000,000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9,000,000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9,000,000</w:t>
            </w:r>
          </w:p>
        </w:tc>
      </w:tr>
      <w:tr>
        <w:trPr>
          <w:trHeight w:val="216"/>
        </w:trPr>
        <w:tc>
          <w:tcPr>
            <w:tcW w:w="37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Expiration date</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6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6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June 30, 2022</w:t>
            </w:r>
          </w:p>
        </w:tc>
      </w:tr>
      <w:tr>
        <w:trPr>
          <w:trHeight w:val="216"/>
        </w:trPr>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6"/>
        </w:trPr>
        <w:tc>
          <w:tcPr>
            <w:tcW w:w="37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Catastrophe Reinsurance:</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8"/>
        </w:trPr>
        <w:tc>
          <w:tcPr>
            <w:tcW w:w="3700" w:type="dxa"/>
            <w:vAlign w:val="bottom"/>
            <w:gridSpan w:val="5"/>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Initial loss subject to personal lines quota</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70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 treaty (6)</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$10,000,000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10,000,000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10,000,000</w:t>
            </w:r>
          </w:p>
        </w:tc>
      </w:tr>
      <w:tr>
        <w:trPr>
          <w:trHeight w:val="232"/>
        </w:trPr>
        <w:tc>
          <w:tcPr>
            <w:tcW w:w="1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r>
    </w:tbl>
    <w:p>
      <w:pPr>
        <w:sectPr>
          <w:pgSz w:w="11900" w:h="16900" w:orient="portrait"/>
          <w:cols w:equalWidth="0" w:num="1">
            <w:col w:w="11240"/>
          </w:cols>
          <w:pgMar w:left="320" w:top="121" w:right="3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Risk retained per catastrophe occurrence (7)</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9,500,000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8,750,000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8,750,000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7,400,000</w:t>
            </w:r>
          </w:p>
        </w:tc>
      </w:tr>
      <w:tr>
        <w:trPr>
          <w:trHeight w:val="234"/>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6"/>
        </w:trPr>
        <w:tc>
          <w:tcPr>
            <w:tcW w:w="3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8"/>
        </w:trPr>
        <w:tc>
          <w:tcPr>
            <w:tcW w:w="39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Catastrophe loss coverage in excess of quota</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 coverage (2)</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7"/>
              </w:rPr>
              <w:t>315,000,000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315,000,000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335,000,000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335,000,000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490,000,000</w:t>
            </w:r>
          </w:p>
        </w:tc>
      </w:tr>
      <w:tr>
        <w:trPr>
          <w:trHeight w:val="216"/>
        </w:trPr>
        <w:tc>
          <w:tcPr>
            <w:tcW w:w="3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Reinstatement premium protection (3) (4)</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Yes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Yes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Yes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Yes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Yes</w:t>
            </w:r>
          </w:p>
        </w:tc>
      </w:tr>
    </w:tbl>
    <w:p>
      <w:pPr>
        <w:spacing w:after="0" w:line="198" w:lineRule="exact"/>
        <w:rPr>
          <w:sz w:val="20"/>
          <w:szCs w:val="20"/>
          <w:color w:val="auto"/>
        </w:rPr>
      </w:pPr>
    </w:p>
    <w:p>
      <w:pPr>
        <w:ind w:left="460" w:right="20" w:hanging="452"/>
        <w:spacing w:after="0" w:line="28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personal lines, includes the addition of an automatic facultative facility allowing KICO to obtain homeowners single risk coverage up to $9,000,000 in total insured value, which covers direct losses from $3,500,000 to $9,000,000 through June 30, 2024.</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Catastrophe coverage is limited on an annual basis to two times the per occurrence amounts. Duration of 168 consecutive hours for a catastrophe occurrence from windstorm, hail, tornado, hurricane and cyclone.</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December 31, 2021 through June 30, 2022, reinstatement premium protection for $70,000,000 of catastrophe coverage in excess of $10,000,000.</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July 1, 2022 through June 30, 2023, reinstatement premium protection for $12,500,000 of catastrophe coverage in excess of $10,000,000. For the period July 1, 2023 through June 30, 2024 (expiration date of the catastrophe reinsurance treaty), reinstatement premium protection for $50,000,000 of catastrophe coverage in excess of $10,000,000.</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January 1, 2022 through January 1, 2025, underlying excess of loss treaty provides 50% reinsurance coverage for losses of $400,000 in excess of $600,000. Excludes losses from named storms. Reduces retention to $500,000 from $700,000 under the 2021/2023 Treaty and 2023/2024 Treaty. Reduces retention to $530,000 from $730,000 under the 2024/2025 Treaty.</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58"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of loss coverage and facultative facility and catastrophe reinsurance treaties will expire on June 30, 2024, with none of these coverages to be in effect during the period from July 1 2024 through January 1, 2025. If and when these treaties are renewed on July 1, 2024, the excess of loss and facultative facility, and the catastrophe reinsurance treaty, will be as provided for therein. Reinsurance coverage in effect from July 1, 2024 through January 1, 2025 is currently only covered under the 2024/2025 Treaty and underlying excess of loss reinsurance treaty. The 2024/2025 Treaty and underlying excess of loss reinsurance treaty will expire on January 1, 2025.</w:t>
      </w:r>
    </w:p>
    <w:p>
      <w:pPr>
        <w:spacing w:after="0" w:line="183"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2021/2023 Treaty, 4% of the 30% total of losses ceded under this treaty are excluded from a named catastrophe event. For the 2023/2024 Treaty, 17.5% of the 30% total of losses ceded under this treaty are excluded from a named catastrophe event. For the 2024/2025 Treaty, 22% of the 27% total of losses ceded under this treaty are excluded from a named catastrophe event.</w:t>
      </w:r>
    </w:p>
    <w:p>
      <w:pPr>
        <w:spacing w:after="0" w:line="17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losses in excess of catastrophe coverage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53"/>
        </w:trPr>
        <w:tc>
          <w:tcPr>
            <w:tcW w:w="1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Treaty Year</w:t>
            </w:r>
          </w:p>
        </w:tc>
      </w:tr>
      <w:tr>
        <w:trPr>
          <w:trHeight w:val="187"/>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July 1, 2023</w:t>
            </w: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July 1, 2022</w:t>
            </w:r>
          </w:p>
        </w:tc>
        <w:tc>
          <w:tcPr>
            <w:tcW w:w="16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8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38"/>
        </w:trPr>
        <w:tc>
          <w:tcPr>
            <w:tcW w:w="84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Line of Business</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60" w:type="dxa"/>
            <w:vAlign w:val="bottom"/>
          </w:tcPr>
          <w:p>
            <w:pPr>
              <w:spacing w:after="0"/>
              <w:rPr>
                <w:sz w:val="20"/>
                <w:szCs w:val="20"/>
                <w:color w:val="auto"/>
              </w:rPr>
            </w:pPr>
          </w:p>
        </w:tc>
      </w:tr>
      <w:tr>
        <w:trPr>
          <w:trHeight w:val="385"/>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Personal Umbrella</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86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Quota share treaty:</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860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Percent ceded - first $1,000,000 of coverage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6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Percent ceded - excess of $1,000,000 dollars of coverage</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860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Risk retained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86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Total reinsurance coverage per occurrence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4,700,000</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4,700,000</w:t>
            </w:r>
          </w:p>
        </w:tc>
      </w:tr>
      <w:tr>
        <w:trPr>
          <w:trHeight w:val="216"/>
        </w:trPr>
        <w:tc>
          <w:tcPr>
            <w:tcW w:w="860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Losses per occurrence subject to quota share reinsurance coverage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5,000,000</w:t>
            </w:r>
          </w:p>
        </w:tc>
      </w:tr>
      <w:tr>
        <w:trPr>
          <w:trHeight w:val="234"/>
        </w:trPr>
        <w:tc>
          <w:tcPr>
            <w:tcW w:w="86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Expiration date</w:t>
            </w:r>
          </w:p>
        </w:tc>
        <w:tc>
          <w:tcPr>
            <w:tcW w:w="8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June 30, 2024</w:t>
            </w:r>
          </w:p>
        </w:tc>
        <w:tc>
          <w:tcPr>
            <w:tcW w:w="8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2023</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Lines (1)</w:t>
      </w:r>
    </w:p>
    <w:p>
      <w:pPr>
        <w:spacing w:after="0" w:line="200" w:lineRule="exact"/>
        <w:rPr>
          <w:sz w:val="20"/>
          <w:szCs w:val="20"/>
          <w:color w:val="auto"/>
        </w:rPr>
      </w:pPr>
    </w:p>
    <w:p>
      <w:pPr>
        <w:spacing w:after="0" w:line="241" w:lineRule="exact"/>
        <w:rPr>
          <w:sz w:val="20"/>
          <w:szCs w:val="20"/>
          <w:color w:val="auto"/>
        </w:rPr>
      </w:pPr>
    </w:p>
    <w:p>
      <w:pPr>
        <w:ind w:left="900" w:hanging="447"/>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on all commercial lines policies expired in September 2020; reinsurance coverage is based on treaties in effect on the date of loss.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Ceding Commission Revenue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earned ceding commission revenue under the 2024/2025 Treaty for the three months ended March 31, 2024, and under the 2023/2024 Treaty for the three months ended March 31, 2023, based on a fixed provisional commission rate at which provisional ceding commissions are earned. The Company earned ceding commission revenue under its quota share reinsurance agreements that expired prior to the 2021/2023 Treaty based on: (i) a fixed provisional commission rate at which provisional ceding commissions were earned, and (ii) under certain of the quota share reinsurance agreements, a continuing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w:t>
      </w:r>
    </w:p>
    <w:p>
      <w:pPr>
        <w:sectPr>
          <w:pgSz w:w="11900" w:h="16838" w:orient="portrait"/>
          <w:cols w:equalWidth="0" w:num="1">
            <w:col w:w="11240"/>
          </w:cols>
          <w:pgMar w:left="320" w:top="130" w:right="339" w:bottom="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ratios. The commission rate and contingent ceding commissions earned increase when the estimated ultimate loss ratio decreases and, conversely, the commission rate and contingent ceding commissions earned decrease when the estimated ultimate loss ratio increases.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48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Ceding commission revenue consists of the following:</w:t>
            </w: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Provisional ceding commissions earned</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4,555,240</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ceding commissions earned</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6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4,567,111</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5,445,407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Provisional ceding commissions are settled monthly. Balances due from reinsurers for contingent ceding commissions on quota share treaties are settled periodically based on the Loss Ratio of each treaty year that ends on June 30, for the expired treaties that were subject to contingent commissions. As discussed above, the Loss Ratios from prior years’ treaties are subject to change as incurred losses from those periods develop, resulting in an increase or decrease in the commission rate and contingent ceding commissions earned. As of March 31, 2024 and December 31, 2023, net contingent ceding commissions payable to reinsurers under all treaties was approximately $3,290,000 and $3,302,000, respectively, which is recorded in reinsurance balances payable on the accompanying condensed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Expected Credit Losses – Uncollectible Reinsurance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reinsurance receivables which relate to both amounts already billed on ceded paid losses as well as ceded reserves that will be billed when losses are paid in the future. The Company has not recorded an allowance for uncollectible reinsurance as there is no perceived credit risk. The principal credit quality indicator used in the valuation of the allowance on reinsurance receivables is the financial strength rating of the reinsurer sourced from major rating agencies. Changes in the allowance are presented as a component of other underwriting expenses on the condensed consolidated statements of operations and comprehensive income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Federal Home Loan Bank</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2017, KICO became a member of, and invested in, the FHLBNY. KICO is required to maintain an investment in the capital stock of FHLBNY. Based on redemption provisions of FHLBNY, the stock has no quoted market value and is carried at cost. At its discretion, FHLBNY may declare dividends on the stock. Management reviews for impairment based on the ultimate recoverability of the cost basis in the stock. At March 31, 2024 and December 31, 2023, no impairment has been recognized. FHLBNY members have access to a variety of flexible, low cost funding through FHLBNY’s credit products, enabling members to customize advances, which are to be fully collateralized. Eligible collateral to pledge to FHLBNY includes residential and commercial mortgage-backed securities, along with U.S. Treasury and agency securities. See Note 3 – Investments for eligible collateral held in a designated custodian account available for future advances. Advances are limited to 5% of KICO’s net admitted assets as of the previous quarter. On July 6, 2023, A.M. Best withdrew KICO’s ratings as KICO requested to no longer participate in A.M. Best’s interactive rating process. As a result of the withdrawal of A.M. Best ratings, KICO is currently only able to borrow on an overnight basis. If KICO has collateral, based on KICO’s net admitted assets, the maximum allowable advance as of March 31, 2024 and December 31, 2023 was approximately $12,512,000 and $12,813,000, respectively. Available collateral as of March 31, 2024 and December 31, 2023 was approximately $10,929,000 and $11,412,000, respectively. Advances are limited to 85% of the amount of available collateral. There were no borrowings under this facility during the three months ended March 31, 2024 and 2023.</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5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Debt</w:t>
            </w:r>
          </w:p>
        </w:tc>
        <w:tc>
          <w:tcPr>
            <w:tcW w:w="6460" w:type="dxa"/>
            <w:vAlign w:val="bottom"/>
            <w:gridSpan w:val="3"/>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Debt as of March 31, 2024 and December 31, 2023 consists of the following:</w:t>
            </w: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22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0" w:type="dxa"/>
            <w:vAlign w:val="bottom"/>
            <w:vMerge w:val="restart"/>
          </w:tcPr>
          <w:p>
            <w:pPr>
              <w:spacing w:after="0"/>
              <w:rPr>
                <w:sz w:val="18"/>
                <w:szCs w:val="18"/>
                <w:color w:val="auto"/>
              </w:rPr>
            </w:pPr>
          </w:p>
        </w:tc>
        <w:tc>
          <w:tcPr>
            <w:tcW w:w="50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Notes, net</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$ 18,723,166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18,426,247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 financing</w:t>
            </w:r>
          </w:p>
        </w:tc>
        <w:tc>
          <w:tcPr>
            <w:tcW w:w="12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6,535,107</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6,817,283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$ 25,258,273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25,243,530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and Warrant Exchange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9, 2022, the Company entered into a Note and Warrant Exchange Agreement (the “Exchange Agreement”) with several holders (the “Exchanging Noteholders”) of the Company’s outstanding 5.50% Senior Notes due 2022 (the “2017 Notes”). On the date of the Exchange Agreement, the Exchanging Noteholders held 2017 Notes in the aggregate principal amount of $21,545,000 of the $30,000,000 aggregate principal amount of the 2017 Notes then outstanding. Pursuant to the Exchange Agreement, on December 15, 2022, the Exchanging Noteholders exchanged their respective 2017 Notes for the following: (i) new 12.0% Senior Notes due December 30, 2024 of the Company in the aggregate approximate principal amount of $19,950,000 (the “2022 Notes”); (ii) cash in the aggregate approximate amount of $1,595,000, together with accrued interest on the 2017 Notes; and (iii) three-year warrants for the purchase of an aggregate of 969,525 shares of Common Stock of the Company, exercisable at an exercise price of $1.00 per share (the “Warrants”).</w:t>
      </w:r>
    </w:p>
    <w:p>
      <w:pPr>
        <w:sectPr>
          <w:pgSz w:w="11900" w:h="16838" w:orient="portrait"/>
          <w:cols w:equalWidth="0" w:num="1">
            <w:col w:w="11240"/>
          </w:cols>
          <w:pgMar w:left="320" w:top="121" w:right="339" w:bottom="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The remaining $8,455,000 principal amount of the 2017 Notes, together with accrued interest thereon, was paid on the maturity date of the 2017 Notes of December 30,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Notes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15, 2022, the Company issued $19,950,000 of its 2022 Notes pursuant to the Exchange Agreement. Interest is payable semi-annually in arrears on June 30 and December 30 of each year, which commenced on June 30, 2023 at the rate of 12.0% per annum. Warrants were issued with a fair value of $993,200 (see Note 8 – Stockholders’ Equity) and transaction costs were $1,758,112, for an effective yield of 13.92% per annum. The balance of the 2022 Notes as of March 31, 2024 and December 31, 2023 is as follows:</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12.0% Senior Unsecured Notes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$ 19,950,000</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(571,482)</w:t>
            </w: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(655,352)</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(870,630)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2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2022 Notes, net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$ 18,723,166</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18,426,247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Exchange Agreement provided for a mandatory redemption of the 2022 Notes on December 30, 2023, in an amount such that the aggregate principal amount of the 2022 Notes to be redeemed plus accrued and unpaid interest thereon was to be equal to the amount by which the maximum Ordinary Dividend Paying Capacity of KICO (as defined below) measured as of December 15, 2023 exceeded the Company’s Holding Company Expenses (as defined below) for the calendar year ended December 31, 2023. “Ordinary Dividend Paying Capacity” means the sum, as measured on December 15, 2023, of (i) the maximum allowable amount of dividends that KICO is permitted to pay without seeking any regulatory approval in accordance with New York insurance regulations based on its statutory annual and quarterly financial statements filed with the National Association of Insurance Commissioners as of and for the thirty-six (36) month period ended September 30, 2023 plus (ii) any dividends paid by KICO to the Company during the period beginning January 1, 2023 and ending September 30, 2023. “Holding Company Expenses” means the sum of (i) cash interest expense paid during the calendar year ended December 31, 2023 on the 2022 Notes, intercompany loans and any other indebtedness of the holding company on a stand-alone basis and (ii) other cash operating expenses, including taxes, paid by the holding company during the calendar year ended December 31, 2023. The amount of other operating expenses paid in cash in the preceding clause (ii) shall not exceed $2.5 million. Holding Company Expenses was determined based on the actual Holding Company Expenses for the nine months ending September 30, 2023, and an estimate of Holding Company Expenses for the three months ending December 30, 2023. The Ordinary Dividend Paying Capacity of KICO as defined above was zero and, accordingly, the Company was not required to make a mandatory redemption of the 2022 Notes on December 30, 2023.</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2022 Notes are unsecured obligations of the Company and are not the obligations of or guaranteed by any of the Company’s subsidiaries. The 2022 Notes rank senior in right of payment to any of the Company’s existing and future indebtedness that is by its terms expressly subordinated or junior in right of payment to the 2022 Notes. The Notes rank equally in right of payment to all of the Company’s existing and future senior indebtedness, but are effectively subordinated to any secured indebtedness to the extent of the value of the collateral securing such secured indebtedness. In addition, the 2022 Notes are structurally subordinated to the indebtedness and other obligations of the Company’s subsidiaries.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2022 Notes will be redeemable, at the Company’s option, in whole or in part, at any time or in part from time to time, on and after December 30, 2022, upon not less than fifteen (15) nor more than sixty (60) days’ notice, at the following redemption prices (“Redemption Prices” ) (expressed as percentages of the principal amount thereof) if redeemed during the respective period set forth below, plus, in each case, accrued and unpaid interest, if any, to the date of redemption (subject to the right of holders of record on the relevant record date to receive interest due on the relevant interest payment date):</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30, 2022 to December 29, 2023</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December 30, 2023 to September 29, 2024</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 to December 29, 2024</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Redemption Prices, management intends to retire the 2022 Notes after September 29, 2024 and before the scheduled maturity date of December 30, 2024. Management plans to refinance the 2022 Notes with a new issue of equity securities and/or debt of similar or longer maturity that would result in net proceeds equal to or greater than the principal amount of the current issue. In connection therewith, the Company will be utilizing investment bankers to serve as underwriters or placement agents for proposed offerings by the Company of its securities (including debt, common and/or preferred securities).</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offerings would be of such size as to generate proceeds to the Company of no less than $19,500,000. The Company, subject to regulatory approval, may receive distributions paid to it by KICO, its insurance subsidiary, that could be utilized to repay the 2022 Notes. Further, the Company may also use available invested assets and cash to repay a portion of the 2022 Notes. As of March 31, 2024, invested assets and cash was approximately $1,789,000.</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the end of each calendar quarter, commencing with the calendar quarter ending December 31, 2022, the Company is subject to a leverage maintenance test (“Leverage Maintenance Test”), which requires that the Total Consolidated Indebtedness (as defined below) of the Company not be greater than 30% of Total Consolidated Capitalization (as defined below). As of March 31, 2024 and December 31, 2023, the ratio as defined under the Leverage Maintenance Test was 29.2% and 29.9%, respectively. As of September 30, 2023, the ratio as defined under the Leverage Maintenance Test was 31.4%. On November 7, 2023, a majority of the holders of the outstanding 2022 Notes (on behalf of all holders of the 2022 Notes) agreed to a waiver regarding the satisfaction of the Leverage Maintenance Test as of September 30, 2023. “Total Consolidated Indebtedness” is the aggregate principal amount (or accreted value in the case of any Indebtedness issued with more than de minimis original issue discount) of all outstanding long-term of the Company except for the sale- leaseback transaction described below under “Equipment Financing”, any refinancing or any future sale-leaseback transaction. “Total Consolidated Capitalization” is the amount equal to the sum of (x) Total Consolidated Indebtedness outstanding as of such date and (y) the total consolidated shareholders’ equity of the Company, excluding accumulated other comprehensive (loss) income, as recorded on the Company’s consolidated balance sheet.</w:t>
      </w:r>
    </w:p>
    <w:p>
      <w:pPr>
        <w:sectPr>
          <w:pgSz w:w="11900" w:h="16838" w:orient="portrait"/>
          <w:cols w:equalWidth="0" w:num="1">
            <w:col w:w="11240"/>
          </w:cols>
          <w:pgMar w:left="320" w:top="121" w:right="339" w:bottom="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Equipment Financing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27, 2022, KICO entered into a sale-leaseback transaction, whereby KICO sold $8,096,824 of fixed assets to a bank. Under GAAP, the sale-leaseback transaction is recorded as equipment financing (“Financing”). The provisions of the Financing require KICO to pay a monthly payment of principal and interest at the rate of 5.86% per annum totaling $126,877 for a term of 60 months, which commenced on October 27, 2022. The terms of the Financing provide buyout options to KICO at the end of the 60 month term, which are as follows:</w:t>
      </w:r>
    </w:p>
    <w:p>
      <w:pPr>
        <w:spacing w:after="0" w:line="180" w:lineRule="exact"/>
        <w:rPr>
          <w:sz w:val="20"/>
          <w:szCs w:val="20"/>
          <w:color w:val="auto"/>
        </w:rPr>
      </w:pPr>
    </w:p>
    <w:p>
      <w:pPr>
        <w:ind w:left="900" w:right="20" w:hanging="447"/>
        <w:spacing w:after="0" w:line="261"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lease, KICO may purchase the fixed assets for a purchase price of $2,024,206, which is 25% of the original fixed asset cost of $8,096,824; or</w:t>
      </w:r>
    </w:p>
    <w:p>
      <w:pPr>
        <w:ind w:left="900" w:hanging="447"/>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KICO may renew the lease for 16 months at the same rental rate, which totals $2,030,036.</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provision of the Financing requires KICO to pledge collateral for the lease obligation. As of March 31, 2024 and December 31, 2023, the amount of required collateral was approximately $6,576,000 and $6,999,000, respectively. As of March 31, 2024, the fair value of KICO’s pledged collateral was approximately $6,576,000, consisting of approximately $5,969,000 in United States Treasury securities and the remaining balance of $607,000 in cash. As of December 31, 2023, the fair value of KICO’s pledged collateral was approximately $11,960,000 in United States Treasury securities.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contractual payment obligations under the Financing as of March 31, 2024 are as follows: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0" w:type="dxa"/>
            <w:vAlign w:val="bottom"/>
          </w:tcPr>
          <w:p>
            <w:pPr>
              <w:spacing w:after="0"/>
              <w:rPr>
                <w:sz w:val="24"/>
                <w:szCs w:val="24"/>
                <w:color w:val="auto"/>
              </w:rPr>
            </w:pPr>
          </w:p>
        </w:tc>
        <w:tc>
          <w:tcPr>
            <w:tcW w:w="840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For the Years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840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Ending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60" w:type="dxa"/>
            <w:vAlign w:val="bottom"/>
          </w:tcPr>
          <w:p>
            <w:pPr>
              <w:spacing w:after="0"/>
              <w:rPr>
                <w:sz w:val="20"/>
                <w:szCs w:val="20"/>
                <w:color w:val="auto"/>
              </w:rPr>
            </w:pPr>
          </w:p>
        </w:tc>
        <w:tc>
          <w:tcPr>
            <w:tcW w:w="8400" w:type="dxa"/>
            <w:vAlign w:val="bottom"/>
            <w:tcBorders>
              <w:bottom w:val="single" w:sz="8" w:color="auto"/>
            </w:tcBorders>
          </w:tcPr>
          <w:p>
            <w:pPr>
              <w:ind w:left="37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871,686</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1,223,293</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1,296,901</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1,119,021</w:t>
            </w:r>
          </w:p>
        </w:tc>
        <w:tc>
          <w:tcPr>
            <w:tcW w:w="100" w:type="dxa"/>
            <w:vAlign w:val="bottom"/>
          </w:tcPr>
          <w:p>
            <w:pPr>
              <w:spacing w:after="0"/>
              <w:rPr>
                <w:sz w:val="18"/>
                <w:szCs w:val="18"/>
                <w:color w:val="auto"/>
              </w:rPr>
            </w:pPr>
          </w:p>
        </w:tc>
      </w:tr>
      <w:tr>
        <w:trPr>
          <w:trHeight w:val="209"/>
        </w:trPr>
        <w:tc>
          <w:tcPr>
            <w:tcW w:w="860" w:type="dxa"/>
            <w:vAlign w:val="bottom"/>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4,510,901</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2027 purchase price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2,024,206</w:t>
            </w:r>
          </w:p>
        </w:tc>
        <w:tc>
          <w:tcPr>
            <w:tcW w:w="100" w:type="dxa"/>
            <w:vAlign w:val="bottom"/>
          </w:tcPr>
          <w:p>
            <w:pPr>
              <w:spacing w:after="0"/>
              <w:rPr>
                <w:sz w:val="18"/>
                <w:szCs w:val="18"/>
                <w:color w:val="auto"/>
              </w:rPr>
            </w:pPr>
          </w:p>
        </w:tc>
      </w:tr>
      <w:tr>
        <w:trPr>
          <w:trHeight w:val="229"/>
        </w:trPr>
        <w:tc>
          <w:tcPr>
            <w:tcW w:w="860" w:type="dxa"/>
            <w:vAlign w:val="bottom"/>
          </w:tcPr>
          <w:p>
            <w:pPr>
              <w:spacing w:after="0"/>
              <w:rPr>
                <w:sz w:val="19"/>
                <w:szCs w:val="19"/>
                <w:color w:val="auto"/>
              </w:rPr>
            </w:pPr>
          </w:p>
        </w:tc>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6,535,107</w:t>
            </w:r>
          </w:p>
        </w:tc>
        <w:tc>
          <w:tcPr>
            <w:tcW w:w="100" w:type="dxa"/>
            <w:vAlign w:val="bottom"/>
            <w:shd w:val="clear" w:color="auto" w:fill="CCEEFF"/>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8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 Declared and Paid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11, 2022, the Company’s Board of Directors determined to suspend regular quarterly dividends. Future dividend policy will be subject to the discretion of the Company’s Board of Directors.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2014 Equity Participation Plan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August 12, 2014, the Company adopted the 2014 Equity Participation Plan (the “2014 Plan”) pursuant to which a maximum of 700,000 shares of Common Stock of the Company were initially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Non-statutory stock options granted under the 2014 Plan expire no later than ten years from the date of grant. The Board of Directors or the Compensation Committee determines the vesting provisions for stock awards granted under the 2014 Plan, subject to the provisions of the 2014 Plan. On August 5, 2020, the Company’s stockholders approved amendments to the 2014 Plan, including an increase in the maximum number of shares of Common Stock of the Company that are authorized to be issued pursuant to the 2014 Plan to 1,400,000. On August 9, 2023, the Company’s stockholders approved an amendment to the 2014 Plan to increase the maximum number of shares of Common Stock of the Company that are authorized to be issued pursuant to the 2014 Plan to 1,900,000. The 2014 Plan terminates on August 12, 2024 and no further awards may be granted under the 2014 Plan after such date.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there were 118,329 shares reserved for grants under the 2014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of operations for the three months ended March 31, 2024 and 2023 include stock-based compensation expense for stock options totaling approximately $53,000 and $-0-, respectively. Stock-based compensation expense related to stock options for the three months ended March 31, 2024 is net of estimated forfeitures of approximately 12%. Such amounts have been included in the condensed consolidated statements of operations and comprehensive income (loss) within other operating expenses.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weighted average estimated fair value of stock options granted during the three months ended March 31, 2024 was $1.24 per share. No options were granted during the three months ended March 31, 2023. The fair value of stock options at the grant date was estimated using the Black-Scholes option-pricing model. The Black-Scholes option - 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stock options.</w:t>
      </w:r>
    </w:p>
    <w:p>
      <w:pPr>
        <w:sectPr>
          <w:pgSz w:w="11900" w:h="16838" w:orient="portrait"/>
          <w:cols w:equalWidth="0" w:num="1">
            <w:col w:w="11240"/>
          </w:cols>
          <w:pgMar w:left="320" w:top="337" w:right="339" w:bottom="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following weighted average assumptions were used for grants during the following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48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5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74.72%</w:t>
            </w:r>
          </w:p>
        </w:tc>
        <w:tc>
          <w:tcPr>
            <w:tcW w:w="28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4140" w:type="dxa"/>
            <w:vAlign w:val="bottom"/>
          </w:tcPr>
          <w:p>
            <w:pPr>
              <w:spacing w:after="0"/>
              <w:rPr>
                <w:sz w:val="20"/>
                <w:szCs w:val="20"/>
                <w:color w:val="auto"/>
              </w:rPr>
            </w:pPr>
          </w:p>
        </w:tc>
        <w:tc>
          <w:tcPr>
            <w:tcW w:w="14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3.50 years</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8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right"/>
              <w:ind w:right="2350"/>
              <w:spacing w:after="0"/>
              <w:rPr>
                <w:sz w:val="20"/>
                <w:szCs w:val="20"/>
                <w:color w:val="auto"/>
              </w:rPr>
            </w:pPr>
            <w:r>
              <w:rPr>
                <w:rFonts w:ascii="Times New Roman" w:cs="Times New Roman" w:eastAsia="Times New Roman" w:hAnsi="Times New Roman"/>
                <w:sz w:val="18"/>
                <w:szCs w:val="18"/>
                <w:color w:val="auto"/>
              </w:rPr>
              <w:t>29</w:t>
            </w: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under the Company’s 2014 Plan for the three months ended March 31, 2024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940" w:type="dxa"/>
            <w:vAlign w:val="bottom"/>
          </w:tcPr>
          <w:p>
            <w:pPr>
              <w:ind w:left="24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107,201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318,750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701,250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Expired/Forfeited</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18,150</w:t>
            </w:r>
          </w:p>
        </w:tc>
      </w:tr>
      <w:tr>
        <w:trPr>
          <w:trHeight w:val="210"/>
        </w:trPr>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410,951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668,250</w:t>
            </w:r>
          </w:p>
        </w:tc>
      </w:tr>
      <w:tr>
        <w:trPr>
          <w:trHeight w:val="196"/>
        </w:trPr>
        <w:tc>
          <w:tcPr>
            <w:tcW w:w="5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March 31, 2024</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107,201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options outstanding and options exercisable at March 31, 2024 is calculated as the difference between the exercise price of the underlying options and the market price of the Company’s Common Stock for the options that had exercise prices that were lower than the $4.45 closing price of the Company’s Common Stock on March 31, 2024. The total intrinsic value of options when forfeited are determined as of the date of forfeiture. The total intrinsic value of options when expired are determined as of the date of expiration.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in the 2014 Plan may exercise their outstanding vested options, in whole or in part, by having the Company reduce the number of shares otherwise issuable by a number of shares having a fair market value equal to the exercise price of the option being exercised, or by exchanging a number of shares owned for a period of greater than one year having a fair market value equal to the exercise price of the option being exercised.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the estimated fair value of unamortized compensation cost related to 303,750 unvested stock option awards was approximately $270,000. Unamortized compensation cost as of March 31, 2024 is expected to be recognized over a remaining weighted-average vesting period of 2.77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restricted Common Stock activity under the 2014 Plan for three months ended March 31, 2024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38"/>
        </w:trPr>
        <w:tc>
          <w:tcPr>
            <w:tcW w:w="7280" w:type="dxa"/>
            <w:vAlign w:val="bottom"/>
          </w:tcPr>
          <w:p>
            <w:pPr>
              <w:ind w:left="270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0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09"/>
        </w:trPr>
        <w:tc>
          <w:tcPr>
            <w:tcW w:w="7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550,581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2,103,219</w:t>
            </w: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163,617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348,504</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(233,627)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(427,537)</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(5,280)</w:t>
            </w:r>
          </w:p>
        </w:tc>
      </w:tr>
      <w:tr>
        <w:trPr>
          <w:trHeight w:val="209"/>
        </w:trPr>
        <w:tc>
          <w:tcPr>
            <w:tcW w:w="7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479,471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2,018,573</w:t>
            </w:r>
          </w:p>
        </w:tc>
      </w:tr>
      <w:tr>
        <w:trPr>
          <w:trHeight w:val="20"/>
        </w:trPr>
        <w:tc>
          <w:tcPr>
            <w:tcW w:w="7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21" w:right="339" w:bottom="379"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Fair value was calculated using the closing price of the Company’s Common Stock on the grant date. For the three months ended March 31, 2024 and 2023, stock-based compensation for these grants was approximately $213,000 and $217,000, respectively, which is included in other operating expenses on the accompanying condensed consolidated statements of operations and comprehensive income (loss). These amounts reflect the Company’s accounting expense and do not correspond to the actual value that will be recognized by the directors, executives and employees.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Exchange Agreement (see Note 7 – Debt – “Note and Warrant Exchange”), as additional consideration, on December 15, 2022, the Company issued warrants to the Exchanging Noteholders to purchase 969,525 shares of Common Stock. The fair value of the warrants, using the Black-Scholes valuation formula, was $993,200, which has been capitalized as a deferred financing cost of the 2022 Notes. The fair value of the warrants is being amortized over the life of the warrants, which is 36.5 months.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are exercisable through December 30, 2025 at an exercise price of $1.00 per share. Holders of the warrants may exercise their outstanding warrants in cash, or, in whole or in part, by having the Company reduce the number of shares otherwise issuable by a number of shares having a fair market value equal to the exercise price of the warrants being exercised.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all warrants for the purchase of an aggregate of 969,525 shares of Common Stock were outstanding.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warrants were granted during the three months ended March 31,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files a consolidated U.S. federal income tax return that includes all wholly-owned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as follows: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425"/>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carryovers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4,810,024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5,283,016</w:t>
            </w: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Claims reserve discount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1,221,272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1,204,334</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premium</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3,165,074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2,742,603</w:t>
            </w: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ceding commission revenue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1,950,921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1,986,782</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losses on securities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3,170,352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3,357,463</w:t>
            </w: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1,101,750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1,153,903</w:t>
            </w:r>
          </w:p>
        </w:tc>
        <w:tc>
          <w:tcPr>
            <w:tcW w:w="100" w:type="dxa"/>
            <w:vAlign w:val="bottom"/>
          </w:tcPr>
          <w:p>
            <w:pPr>
              <w:spacing w:after="0"/>
              <w:rPr>
                <w:sz w:val="18"/>
                <w:szCs w:val="18"/>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15,419,393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15,728,101</w:t>
            </w:r>
          </w:p>
        </w:tc>
      </w:tr>
      <w:tr>
        <w:trPr>
          <w:trHeight w:val="209"/>
        </w:trPr>
        <w:tc>
          <w:tcPr>
            <w:tcW w:w="87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KICO (2)</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759,543</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4,079,702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4,158,538</w:t>
            </w: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105,000</w:t>
            </w:r>
          </w:p>
        </w:tc>
      </w:tr>
      <w:tr>
        <w:trPr>
          <w:trHeight w:val="216"/>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184,281</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5,128,526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5,176,282</w:t>
            </w:r>
          </w:p>
        </w:tc>
      </w:tr>
      <w:tr>
        <w:trPr>
          <w:trHeight w:val="209"/>
        </w:trPr>
        <w:tc>
          <w:tcPr>
            <w:tcW w:w="87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income tax asset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10,290,867</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10,551,819</w:t>
            </w:r>
          </w:p>
        </w:tc>
      </w:tr>
      <w:tr>
        <w:trPr>
          <w:trHeight w:val="20"/>
        </w:trPr>
        <w:tc>
          <w:tcPr>
            <w:tcW w:w="8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900" w:hanging="447"/>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deferred tax assets from net operating loss carryovers (“NOL”)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14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rPr>
              <w:t>Type of NOL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09"/>
        </w:trPr>
        <w:tc>
          <w:tcPr>
            <w:tcW w:w="6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only, NOL from 2023 and 2022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4,810,024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5,283,016</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None</w:t>
            </w:r>
          </w:p>
        </w:tc>
      </w:tr>
      <w:tr>
        <w:trPr>
          <w:trHeight w:val="209"/>
        </w:trPr>
        <w:tc>
          <w:tcPr>
            <w:tcW w:w="6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8"/>
        </w:trPr>
        <w:tc>
          <w:tcPr>
            <w:tcW w:w="6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State only (A)</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December 2027 - December</w:t>
            </w:r>
          </w:p>
        </w:tc>
      </w:tr>
      <w:tr>
        <w:trPr>
          <w:trHeight w:val="234"/>
        </w:trPr>
        <w:tc>
          <w:tcPr>
            <w:tcW w:w="6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2,645,169</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2,560,372</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shd w:val="clear" w:color="auto" w:fill="CCEEFF"/>
          </w:tcPr>
          <w:p>
            <w:pPr>
              <w:spacing w:after="0"/>
              <w:rPr>
                <w:sz w:val="20"/>
                <w:szCs w:val="20"/>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(2,645,169)</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(2,560,372)</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only, net of valuation allowance</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 from net operating loss carryovers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4,810,024</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5,283,016</w:t>
            </w:r>
          </w:p>
        </w:tc>
        <w:tc>
          <w:tcPr>
            <w:tcW w:w="22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bl>
    <w:p>
      <w:pPr>
        <w:sectPr>
          <w:pgSz w:w="11900" w:h="16838" w:orient="portrait"/>
          <w:cols w:equalWidth="0" w:num="1">
            <w:col w:w="11240"/>
          </w:cols>
          <w:pgMar w:left="320" w:top="121" w:right="339" w:bottom="0" w:gutter="0" w:footer="0" w:header="0"/>
        </w:sectPr>
      </w:pPr>
    </w:p>
    <w:bookmarkStart w:id="22" w:name="page23"/>
    <w:bookmarkEnd w:id="22"/>
    <w:p>
      <w:pPr>
        <w:jc w:val="both"/>
        <w:ind w:left="660" w:hanging="4"/>
        <w:spacing w:after="0" w:line="256" w:lineRule="auto"/>
        <w:tabs>
          <w:tab w:leader="none" w:pos="9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Kingstone generates operating losses for state purposes and has prior year NOLs available. The state NOL as of March 31, 2024 and December 31, 2023 was approximately $40,695,000 and $39,390,000, respectively. KICO, the Company’s insurance underwriting subsidiary, is not subject to state income taxes. KICO’s state tax obligations are paid through a gross premiums tax, which is included in the condensed consolidated statements of operations and comprehensive income (loss) within other underwriting expenses. Kingstone has recorded a valuation allowance due to the uncertainty of generating enough state taxable income to utilize 100% of the available state NOLs over their remaining lives, which expire between 2027 and 2044.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ind w:left="900" w:hanging="447"/>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liability – Investment in KICO</w:t>
      </w:r>
    </w:p>
    <w:p>
      <w:pPr>
        <w:spacing w:after="0" w:line="225" w:lineRule="exact"/>
        <w:rPr>
          <w:sz w:val="20"/>
          <w:szCs w:val="20"/>
          <w:color w:val="auto"/>
        </w:rPr>
      </w:pPr>
    </w:p>
    <w:p>
      <w:pPr>
        <w:jc w:val="both"/>
        <w:ind w:left="620"/>
        <w:spacing w:after="0" w:line="253" w:lineRule="auto"/>
        <w:rPr>
          <w:sz w:val="20"/>
          <w:szCs w:val="20"/>
          <w:color w:val="auto"/>
        </w:rPr>
      </w:pPr>
      <w:r>
        <w:rPr>
          <w:rFonts w:ascii="Times New Roman" w:cs="Times New Roman" w:eastAsia="Times New Roman" w:hAnsi="Times New Roman"/>
          <w:sz w:val="18"/>
          <w:szCs w:val="18"/>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no material unrecognized tax benefit and no adjustments to liabilities or operations were required. There were no interest or penalties related to income taxes that have been accrued or recognized as of and for the three months ended March 31, 2024 and 2023. If any had been recognized these would have been reported in income tax expense.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taxing authorities may examine the Company’s tax returns for the three years from the date of filing. The Company’s tax returns for the years ended December 31, 2020 through December 31, 2022 remain subject to examination.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Earnings (Loss) Per Common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earnings (loss) per common share is computed by dividing net income (loss) by the weighted-average number of shares of Common Stock outstanding. Diluted earnings (loss) per common share reflects, in periods in which it has a dilutive effect, the impact of common shares issuable upon exercise of stock options and warrants as well as non-vested restricted stock awards. The computation of diluted earnings (loss) per common share excludes those options and warrants with an exercise price in excess of the average market price of the Company’s Common Stock during the periods presented.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computation of diluted earnings (loss) per common share excludes outstanding options, warrants and non-vested restricted stock awards in periods where the exercise of such options and warrants or vesting of such restricted stock awards would be anti-dilutive. For the three months ended March 31, 2024 there were 120,553 options with an exercise price below the average market price of the Company’s Common Stock during the period. For the three months ended March 31, 2023, no options, warrants or restricted stock awards were included in the computation of diluted loss per common share as they would have been anti-dilutive for the relevant periods and, as a result, the weighted average number of shares of Common Stock used in the calculation of diluted loss per common share has not been adjusted for the effect of such options, warrants and non-vested restricted stock awards.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reconciliation of the weighted average number of shares of Common Stock used in the calculation of basic and diluted earnings (loss) per common share follows:</w:t>
      </w:r>
    </w:p>
    <w:p>
      <w:pPr>
        <w:spacing w:after="0" w:line="15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1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1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Borders>
              <w:top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10,999,662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 common share equivalents: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518,094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awards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259,862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used for computing diluted loss per share</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11,791,520</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10,756,913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ectPr>
          <w:pgSz w:w="11900" w:h="16838" w:orient="portrait"/>
          <w:cols w:equalWidth="0" w:num="1">
            <w:col w:w="11240"/>
          </w:cols>
          <w:pgMar w:left="320" w:top="121" w:right="339" w:bottom="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Office Lease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a party to a non-cancellable operating lease, dated March 27, 2015, for its office facility for KICO located in Valley Stream, New York, which expired on March 31, 2024. The lease was not renewed.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6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information regarding the Company’s office operating leases is as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7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714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41,342</w:t>
            </w: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7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lease cost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41,342</w:t>
            </w:r>
          </w:p>
        </w:tc>
        <w:tc>
          <w:tcPr>
            <w:tcW w:w="2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0" w:type="dxa"/>
            <w:vAlign w:val="bottom"/>
            <w:vMerge w:val="restart"/>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information on operating leases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included in the measurement of lease liability reported in operating cash flows</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49,145</w:t>
            </w: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w:t>
            </w:r>
          </w:p>
        </w:tc>
        <w:tc>
          <w:tcPr>
            <w:tcW w:w="3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lease term in years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Rent expense for the three months ended March 31, 2024 and 2023 amounted to $41,342 and $40,815, respectively, and is included in the accompanying condensed consolidated statements of operations and comprehensive income (loss) within other underwriting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Meryl Golden, President and Chief Executive Officer; formerly Chief Operating Officer (See Note 13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16, 2019, the Company and Meryl Golden entered into an employment agreement (the “Golden Employment Agreement”) pursuant to which Ms. Golden served as the Company’s Chief Operating Officer. Ms. Golden also served as KICO’s President and Chief Operating Officer. The Golden Employment Agreement became effective as of September 25, 2019 (amended on December 24, 2020) and expired on December 31, 2022.</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Golden Employment Agreement, Ms. Golden was entitled to receive an annual salary of $500,000. The Golden Employment Agreement also provided for the grant on the effective date of a five year option for the purchase of 50,000 shares of the Company’s Common Stock pursuant to the 2014 Plan. The options granted vested in four equal installments, with the first installment vesting on the grant date, and the remaining installments vesting on the first, second, and third anniversaries of the grant date. Pursuant to the Golden Employment Agreement, as amended, in each of January 2021 and January 2022, Ms. Golden was granted 30,000 shares of restricted Common Stock pursuant to the 2014 Plan. Each such grant will vest in three equal installments on each of the first, second and third anniversaries of the grant date. Pursuant to the 2014 Plan, Ms. Golden’s outstanding stock options and restricted stock awards will vest in the event of a change in control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2023</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27, 2022, the Company and Ms. Golden entered into a second amended and restated employment agreement which took effect as of January 1, 2023, and expires on December 31, 2024 (the “Second Amended Golden Employment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Second Amended Golden Employment Agreement, Ms. Golden is entitled to receive an annual base salary of $500,000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her base salary. In addition, pursuant to the Second Amended Golden Employment Agreement, Ms. Golden was granted, under the terms of the 2014 Plan, during each of January 2023 and January 2024, a number of shares of restricted stock determined by dividing $136,500 by the fair market value of the Company’s Common Stock on the date of grant. In January 2023, Ms. Golden was granted 101,111 shares of restricted stock pursuant to this provision. The 2023 grant will vest with respect to one-half of the award on the first anniversary of the grant date and one-half of the award on December 31, 2024, based on the continued provision of services through such dates. In January 2024, Ms. Golden was granted 64,085 shares of restricted stock pursuant to this provision. The 2024 grant will vest on January 2, 2025, based on the continued provision of services through such date. Further, pursuant to the Second Amended Golden Employment Agreement, Ms. Golden would be entitled to receive, under certain circumstances, a payment equal to 1.5 times her then annual base salary and her accrued bonus in the event of the termination of her employment within eighteen months following a change of control of the Company.</w:t>
      </w:r>
    </w:p>
    <w:p>
      <w:pPr>
        <w:sectPr>
          <w:pgSz w:w="11900" w:h="16838" w:orient="portrait"/>
          <w:cols w:equalWidth="0" w:num="1">
            <w:col w:w="11240"/>
          </w:cols>
          <w:pgMar w:left="320" w:top="337" w:right="339" w:bottom="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Effective as of October 1, 2023, Ms. Golden was appointed to the position of President and Chief Executive Officer of the Company to succeed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Goldstein.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Barry Goldstein, Executive Chairman of the Board; and formerly President and Chief Executive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2020</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14, 2019, the Company and Barry B. Goldstein, the Company’s then President, Chief Executive Officer and Executive Chairman of the Board, entered into a Second Amended and Restated Employment Agreement (the “Second Amended Goldstein Employment Agreement”). The Second Amended Goldstein Employment Agreement became effective as of January 1, 2020 and expired on December 31, 2022. The Second Amended Goldstein Employment Agreement extended the expiration date of the employment agreement in effect for Mr. Goldstein from December 31, 2021 to December 31, 2022.</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Pursuant to the Second Amended Goldstein Employment Agreement, Mr. Goldstein was entitled to receive an annual base salary of $500,000 and an annual bonus equal to 6% of the Company’s consolidated income from operations before taxes, exclusive of the Company’s consolidated net investment income (loss), net unrealized gains (losses) on equity securities and net realized gains (losses) on investments, up to a maximum of 2.5 times his base salary. In addition, pursuant to the Second Amended Goldstein Employment Agreement, Mr. Goldstein was entitled to receive a long-term compensation (“LTC”) award of between $945,000 and $2,835,000 based on a specified minimum increase in the Company’s adjusted book value per share (as defined in the Second Amended Goldstein Employment Agreement) as of December 31, 2022 as compared to December 31, 2019 (with the maximum LTC payment being due if the average per annum increase was at least 14%). Pursuant to the Third Amended Goldstein Employment Agreement (discussed below), Mr. Goldstein relinquished the right to receive the LTC. Pursuant to the Second Amended Goldstein Employment Agreement, in the event that Mr. Goldstein’s employment was terminated by the Company without cause or he resigned for good reason (each as defined in the Second Amended Goldstein Employment Agreement), Mr. Goldstein would have been entitled to receive his base salary and the 6% bonus for the remainder of the term. In addition, in the event of Mr. Goldstein’s death, his estate would have been entitled to receive his base salary and accrued bonus through the date of death. Further, in the event that Mr. Goldstein’s employment was terminated by the Company without cause or he resigned for good reason, or, in the event of the termination of Mr. Goldstein’s employment due to disability or death, Mr. Goldstein’s granted but unvested restricted stock awards would have vested. Mr. Goldstein would have been entitled, under certain circumstances, to a payment equal to 3.82 times his then annual salary and his accrued 6% bonus in the event of the termination of his employment within eighteen months following a change of control of the Company.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Pursuant to the Second Amended Goldstein Employment Agreement, in January 2020, Mr. Goldstein received a grant of 157,431 shares of restricted stock under the terms of the Company’s 2014 Plan determined by dividing $1,250,000 by the fair market value of the Company’s Common Stock on the date of grant. This 2020 grant vested with respect to one-third of the award on each of the first and second anniversaries of the grant date and was scheduled to vest with respect to one-sixth of the award on each of December 29, 2023 and December 30, 2024 based on the continued provision of services through such dates. On September 18, 2023, Mr. Goldstein and the Company agreed to extend the vesting date of the one-sixth of the award that was scheduled to vest on December 29, 2023 to December 30, 2024. Also pursuant to the Second Amended Goldstein Employment Agreement, Mr. Goldstein received a grant, under the terms of the 2014 Plan, during January 2021, of 230,769 shares of restricted stock determined by dividing $1,500,000 by the fair market value of the Company’s Common Stock on the date of grant. This 2021 grant vested with respect to one-half of the award on the first anniversary of the grant date and was scheduled to vest with respect to one-fourth of the award on each of December 29, 2023 and December 30, 2024 based on the continued provision of services through such dates. On September 18, 2023, Mr. Goldstein and the Company agreed to extend the vesting date of the one-fourth of the award that was scheduled to vest on December 29, 2023 to December 30, 2024. Further, pursuant to the Second Amended Goldstein Employment Agreement, Mr. Goldstein received in 2020, 2021, and 2022 a grant, under the terms of the 2014 Plan of a number of shares of restricted stock determined by dividing $136,500 by the fair market value of the Company’s Common Stock on the date of grant. In January 2020, Mr. Goldstein was granted 17,191 shares of restricted stock pursuant to this provision. This grant vested with respect to one-third of the award on each of the first and second anniversaries of the grant date and was scheduled to vest with respect to one-sixth of the award on each of December 29, 2023 and December 30, 2024 based on the continued provision of services through such dates. On September 18, 2023, Mr. Goldstein and the Company agreed to extend the vesting date for the one-sixth of the award that was scheduled to vest on December 29, 2023 to December 30, 2024. In January 2021, Mr. Goldstein was granted 21,000 shares of restricted stock pursuant to this provision. This grant vested with respect to one-half of the award on the first anniversary of the grant date and was scheduled to vest with respect to one-fourth of the award on each of December 29, 2023 and December 30, 2024 based on the continued provision of services through such dates. On September 18, 2023, Mr. Goldstein and the Company agreed to extend the vesting date for the one-fourth of the award that was scheduled to vest on December 29, 2023 to December 30, 2024. In January 2022, Mr. Goldstein was granted 27,300 shares of restricted stock pursuant to this provision. This grant was scheduled to vest with respect to one-half of the award on each of December 29, 2023 and December 30, 2024 based on the continued provision of services through such dates. On September 18, 2023, Mr. Goldstein and the Company agreed to extend the vesting date for the one-half of the award that was scheduled to vest on December 29, 2023 to December 30, 2024. Pursuant to the 2014 Plan, Mr. Goldstein’s unvested restricted stock awards will vest in the event of a change in control of the Company. In addition, in the event of the termination of Mr. Goldstein’s employment with the Company for any reason, his unvested restricted stock will vest.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27, 2022, the Company and Mr. Goldstein entered into a third amended and restated employment agreement which took effect as of January 1, 2023, and expires on December 31, 2024 (the “Third Amended Goldstein Employment Agreement”).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Third Amended Goldstein Employment Agreement, Mr. Goldstein is entitled to receive an annual base salary of $500,000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his base salary. Pursuant to the Third Amended Goldstein Employment Agreement, Mr. Goldstein would be entitled to receive, under certain circumstances, a payment equal to 1.5 times his then annual base salary and his accrued bonus in the event of the termination of his employment within eighteen months following a change of control of the Company.</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October 1, 2023</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9, 2023, the Company and Mr. Goldstein entered into an amendment to the Third Amended Goldstein Employment Agreement which took effect as of October 1, 2023. Pursuant to the amendment, effective as of October 1, 2023, Mr. Goldstein is no longer serving as President and Chief Executive Officer of the Company, the expiration date of the Third Amended Goldstein Employment Agreement shall be the earlier of (a) December 31, 2024 or (b) in the event Mr. Goldstein is not re-elected as Chairman of the Board of the Company following its 2024 annual meeting of stockholders, then the date of such annual meeting, Mr. Goldstein’s salary was reduced to $300,000 per annum, and Mr. Goldstein is no longer entitled to receive a bonus based upon the Company’s net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Employee Benefit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Bonus Plan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 Company accrued approximately $82,000 related to an employee bonus plan, which is recorded in other underwriting expenses on the accompanying condensed consolidated statements of operations and comprehensive income (loss). For the three months ended March 31, 2023 the Company did not accrue for, or pay, bonuses related to an employee bonus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401(k) Plan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a salary reduction plan under Section 401(k) of the Internal Revenue Code (the “401(k) Plan”) for its qualified employees. The Company matches 100% of each participant’s contribution up to 4% of the participant’s eligible contribution. The Company incurred approximately $72,000 and $85,000, respectively, of expense for the three months ended March 31, 2024 and 2023, related to the 401(k) Plan, which is recorded in other underwriting expenses on the accompanying condensed consolidated statements of operations and comprehensive income (loss).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Compensation Plan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18, 2018, the Company adopted the Kingstone Companies, Inc. Deferred Compensation Plan (the “Deferred Compensation Plan”). Effective December 22, 2022, the Company terminated the Deferred Compensation Plan. The assets of the Deferred Compensation Plan will be liquidated by making payments to Participants in full satisfaction of their interest in the Deferred Compensation Plan (“Termination Payments”), which Termination Payments would not be made earlier than December 22, 2023 and will be completed no later than December 22,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deferred compensation liability as of March 31, 2024 and December 31, 2023 amounted to $910,709 and $937,025, respectively, and is recorded in accounts payable, accrued expenses and other liabilities in the accompanying consolidated balance sheets.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Subsequent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evaluated events that occurred subsequent to March 31, 2024 through the date these condensed consolidated financial statements were issued for matters that required disclosure or adjustment in these condensed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Effective as of April 15, 2024, Ms. Golden, the Company’s President and Chief Executive Officer, entered into a Third Amended and Restated Employment Agreement (the “Third Amended Golden Employment Agreement”). The Third Amended Golden Employment Agreement is effective as of January 1, 2025 and expires on December 31, 2026. The Third Amended Golden Employment Agreement extends the expiration date of the Second Amended Golden Employment Agreement currently in effect for Ms. Golden from December 31, 2024 to December 31, 2026. Pursuant to the Third Amended Golden Employment Agreement, Ms. Golden is entitled to receive an annual base salary of $550,000 (increased from $500,000 currently in effect)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her base annual salary (the same as currently in effect). Pursuant to the Third Amended Golden Employment Agreement (and as provided for in the Second Amended Golden Employment Agreement), in the event that Ms. Golden’s employment is terminated by the Company without cause or she resigns for good reason (each as defined in the Third Amended Golden Employment Agreement), Ms. Golden would be entitled to receive her base salary and the 3% bonus for the remainder of the term. Ms. Golden would be entitled, under certain circumstances, to a payment equal to 1.5 times her then annual salary and her accrued 3% bonus in the event of the termination of her employment following a change of control of the Company (also as is provided for in the Second Amended Golden Employment Agreement). Pursuant to the Third Amended Golden Employment Agreement, Ms. Golden will be entitled to receive, under certain circumstances, a grant, during each of January 2025 and January 2026, of 40,000 shares of restricted stock. The 2025 grant will become vested with respect to one-half of the award on the first anniversary of the grant date and one-half on December 31, 2026. The 2026 grant will become vested on the first anniversary of the grant date. The above grants are generally consistent with the grants provided for in the Second Amended Golden Employment Agreement. In the event that the Company is precluded from making a grant to Ms. Golden in either 2025 or 2026, she would instead be entitled to a cash bonus of $136,500 for such year.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Shelf Registration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5, 2024, the Company filed a shelf registration statement on Form S-3 with the SEC under the Securities Act with regard to the registration of $50,000,000 of its equity and debt securities. The registration statement was declared effective by the SEC on April 22, 2024. Pursuant to the requirements of Form S-3, the Company currently may sell pursuant to such Form S-3, during any 12 month period, securities having an aggregate market value of no more than one-third of the aggregate market value of the shares of its common stock held by non-affiliates. Any offering made pursuant to such Form S-3</w:t>
      </w:r>
    </w:p>
    <w:p>
      <w:pPr>
        <w:sectPr>
          <w:pgSz w:w="11900" w:h="16838" w:orient="portrait"/>
          <w:cols w:equalWidth="0" w:num="1">
            <w:col w:w="11240"/>
          </w:cols>
          <w:pgMar w:left="320" w:top="119" w:right="339" w:bottom="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may only be made by means of a prospectus, including a prospectus supplement, forming a part of the effective registration statement, relating to the offering, which will be filed with the SEC.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offer property and casualty insurance products through our wholly-owned subsidiary, Kingstone Insurance Company (“KICO”). KICO is a New York domiciled carrier writing business through retail and wholesale agents and brokers. KICO is actively writing personal lines and commercial auto insurance in New York, and in 2023 was the 15th largest writer of homeowners insurance in New York. KICO is also licensed in the states of New Jersey, Rhode Island, Massachusetts, Connecticut, Pennsylvania, New Hampshire, and Maine. For the three months ended March 31, 2024 and 2023, respectively, 94.4% and 87.0% of KICO’s direct written premiums came from the New York policies. We refer to our New York business as our “Core” business and the business outside of New York as our “non-Core” business.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our subsidiary, Cosi Agency, Inc. (“Cosi”), a multi-state licensed general agency, receives commission revenue from KICO for the policies it places with others and pays commissions to these agencies. Cosi retains the profit between the commission revenue received and the commission expense paid (“Net Cosi Revenue”). Commission expense is reduced by Net Cosi Revenue. Cosi-related operating expenses are minimal and are included in other operating expenses.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one-year term. Earned premiums represent premiums received from insureds, which are recognized as revenue over the period of time that insurance coverage is provided (i.e., ratably over the one-year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operating expenses include our corporate expenses as a holding company. These corporate expenses include legal and auditing fees, executive employment costs, and other costs directly associated with being a public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Lines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product lines include the following:</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Personal lines: </w:t>
      </w:r>
      <w:r>
        <w:rPr>
          <w:rFonts w:ascii="Times New Roman" w:cs="Times New Roman" w:eastAsia="Times New Roman" w:hAnsi="Times New Roman"/>
          <w:sz w:val="18"/>
          <w:szCs w:val="18"/>
          <w:color w:val="auto"/>
        </w:rPr>
        <w:t>Our largest line of business is personal lines, consisting of homeowners, dwelling fire, cooperative/condominium, renters,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personal umbrella policies.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Commercial liability: </w:t>
      </w:r>
      <w:r>
        <w:rPr>
          <w:rFonts w:ascii="Times New Roman" w:cs="Times New Roman" w:eastAsia="Times New Roman" w:hAnsi="Times New Roman"/>
          <w:sz w:val="18"/>
          <w:szCs w:val="18"/>
          <w:color w:val="auto"/>
        </w:rPr>
        <w:t>Through July 2019, we offered businessowners policies, which consist primarily of small business retail, service, and office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risks, with 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2019, due to the poor performance of this line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In-force policies as of July 31, 2019 for these lines were non-renewed at the end of their annual terms. As of March 31, 2024 and December 31, 2023, there were no commercial liability policies in-force. As of March 31, 2024, these expired policies represent approximately 15.1% of loss and LAE reserves net of reinsurance recoverables. See discussion below under “Additional Financial Information”.</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Livery physical damage: </w:t>
      </w:r>
      <w:r>
        <w:rPr>
          <w:rFonts w:ascii="Times New Roman" w:cs="Times New Roman" w:eastAsia="Times New Roman" w:hAnsi="Times New Roman"/>
          <w:sz w:val="18"/>
          <w:szCs w:val="18"/>
          <w:color w:val="auto"/>
        </w:rPr>
        <w:t>We write for-hire vehicle physical damage only policies for livery and car service vehicles and taxicabs. These policies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insure only the physical damage portion of insurance for such vehicles, with no liability coverage included.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We write canine legal liability policies and have a small participation in mandatory state joint underwriting associations.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Measures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utilize the following key measures in analyzing the results of our insurance underwriting business:</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ratio: </w:t>
      </w:r>
      <w:r>
        <w:rPr>
          <w:rFonts w:ascii="Times New Roman" w:cs="Times New Roman" w:eastAsia="Times New Roman" w:hAnsi="Times New Roman"/>
          <w:sz w:val="18"/>
          <w:szCs w:val="18"/>
          <w:color w:val="auto"/>
        </w:rPr>
        <w:t>The net loss ratio is a measure of the underwriting profitability of an insurance company’s business. Expressed as a percentage,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the ratio of net losses and LAE incurred to net premiums earned.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underwriting expense ratio: </w:t>
      </w:r>
      <w:r>
        <w:rPr>
          <w:rFonts w:ascii="Times New Roman" w:cs="Times New Roman" w:eastAsia="Times New Roman" w:hAnsi="Times New Roman"/>
          <w:sz w:val="18"/>
          <w:szCs w:val="18"/>
          <w:color w:val="auto"/>
        </w:rPr>
        <w:t>The net underwriting expense ratio is a measure of an insurance company’s operational efficiency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administering its business. Expressed as a percentage, this is the ratio of the sum of acquisition costs (the most significant being commissions paid to our</w:t>
      </w:r>
    </w:p>
    <w:p>
      <w:pPr>
        <w:sectPr>
          <w:pgSz w:w="11900" w:h="16838" w:orient="portrait"/>
          <w:cols w:equalWidth="0" w:num="1">
            <w:col w:w="11240"/>
          </w:cols>
          <w:pgMar w:left="320" w:top="121" w:right="339" w:bottom="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producers) and other underwriting expenses less ceding commission revenue less other income to net premiums earned.</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combined ratio: </w:t>
      </w:r>
      <w:r>
        <w:rPr>
          <w:rFonts w:ascii="Times New Roman" w:cs="Times New Roman" w:eastAsia="Times New Roman" w:hAnsi="Times New Roman"/>
          <w:sz w:val="18"/>
          <w:szCs w:val="18"/>
          <w:color w:val="auto"/>
        </w:rPr>
        <w:t>The net combined ratio is a measure of an insurance company’s overall underwriting profit. This is the sum of the net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net underwriting expense ratios. If the net combined ratio is at or above 100 percent, an insurance company cannot be profitable without investment income, and may not be profitable if investment income is insufficient.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Underwriting income: </w:t>
      </w:r>
      <w:r>
        <w:rPr>
          <w:rFonts w:ascii="Times New Roman" w:cs="Times New Roman" w:eastAsia="Times New Roman" w:hAnsi="Times New Roman"/>
          <w:sz w:val="18"/>
          <w:szCs w:val="18"/>
          <w:color w:val="auto"/>
        </w:rPr>
        <w:t>Underwriting income is net pre-tax income attributable to our insurance underwriting business before investment activity.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 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include the accounts of Kingstone Companies, Inc. and all majority-owned and controlled subsidiaries. The preparation of financial statements in conformity with GAAP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and the current economic environment, and other factors, in forming its estimates and judgments of certain amounts included in the condensed consolidated financial statements, giving due consideration to materiality. It is possible that the ultimate outcome as anticipated by our management in formulating its estimates in these financial statements may not materialize.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similar companies.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below a description of these critical accounting estimates. Also see Note 2 to the consolidated financial statements in our Annual Report on Form 10-K for the year ended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and Loss Adjustment Expense Reserves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Property and casualty loss and loss adjustment expense (“LAE”) reserves are established to provide for the estimated cost of settling both reported (“case”) and incurred but not reported (“IBNR”) claims and claims adjusting expenses. The liability for these reserves is estimated on an undiscounted basis, using individual case-basis valuations and paid claims, pending claims, statistical analyses and various actuarial reserving methodologies. Due to the inherent uncertainty of the reserve process, actual loss costs could vary significantly compared to estimated loss costs. The below table provides detail of our reserves as of March 31, 2024 and December 31,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vMerge w:val="restart"/>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7"/>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Ceded</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Ceded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45,845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19,538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47,570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Case LAE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1,134</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5,726</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4,605</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IBNR loss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11,395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37,262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26,597</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IBNR LAE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2,291</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11,722</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9,757</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122,498</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32,724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89,774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121,818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33,289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88,529</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(Components may not sum due to rounding)</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Case Reserves – Reserves for reported losses are based on an estimate of ultimate loss costs of an individual claim derived from individual case-basis valuations, actual claims paid, pending claims, statistical analyses and various actuarial reserving methodologies.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IBNR Reserves – IBNR reserves are estimates of claims that have occurred but as to which we have not yet been notified to establish the case reserve. IBNR is determined using historical information aggregated by line of insurance and adjusted to current conditions.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Reinsurance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purchase reinsurance to manage our underwriting risk on certain policies. Reinsurance receivables represent management’s best estimate of loss and LAE recoverable from reinsurers. Reinsurance receivables are estimated using the same methodologies as loss and LAE reserves. Changes in the methods and assumptions used could result in significant variances between actual and estimated losses.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effective tax rate is based on GAAP income at statutory tax rates, adjusted for non-taxable and non-deductible items, and tax credits. Changes in estimates used in preparing the condensed consolidated statements of operations and comprehensive income (loss) could result in significant changes to our deferred tax asset or liability.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ectPr>
          <w:pgSz w:w="11900" w:h="16838" w:orient="portrait"/>
          <w:cols w:equalWidth="0" w:num="1">
            <w:col w:w="11240"/>
          </w:cols>
          <w:pgMar w:left="320" w:top="121" w:right="339" w:bottom="0" w:gutter="0" w:footer="0" w:header="0"/>
        </w:sectPr>
      </w:pPr>
    </w:p>
    <w:bookmarkStart w:id="28" w:name="page29"/>
    <w:bookmarkEnd w:id="2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Deferred tax assets or liabilities are recognized for estimated future tax consequences which result in differences between the financial statement carrying amounts of assets and liabilities and their respective tax basis. These assets and liabilities are carried at the enacted tax rates expected to apply when the asset or liability is expected to be recovered or settled. Changes in estimates and assumptions in the condensed consolidated statements of operations and comprehensive income (loss), or changes in the enacted tax rate, could result in significant variances between our carried deferred tax and tax recognized on the recovery or settlement of the asset or liability.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Bonds are classified as held-to-maturity (“HTM”) or available-for-sale (“AFS”), and stocks are generally classified as AFS. Investments classified as HTM are carried at amortized cost, which requires very little judgement. Investments classified as AFS are generally carried at fair value with an unrealized gain/loss recorded in income. Actual results could vary significantly from the fair values recognized in the condensed consolidated statements of operations and comprehensive income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Kingstone 2.0 (completed) and Kingstone 3.0 (underway)</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Beginning in the fourth quarter of 2019, a series of strategic initiatives, coined “Kingstone 2.0”, were commenced to modernize our company. The pillars of the new strategy were as follows:</w:t>
      </w:r>
    </w:p>
    <w:p>
      <w:pPr>
        <w:spacing w:after="0" w:line="162" w:lineRule="exact"/>
        <w:rPr>
          <w:sz w:val="20"/>
          <w:szCs w:val="20"/>
          <w:color w:val="auto"/>
        </w:rPr>
      </w:pPr>
    </w:p>
    <w:p>
      <w:pPr>
        <w:ind w:left="920" w:hanging="467"/>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the management team by adding highly qualified professionals with deep domain experience and diverse backgrounds;</w:t>
      </w:r>
    </w:p>
    <w:p>
      <w:pPr>
        <w:spacing w:after="0" w:line="225" w:lineRule="exact"/>
        <w:rPr>
          <w:rFonts w:ascii="Times New Roman" w:cs="Times New Roman" w:eastAsia="Times New Roman" w:hAnsi="Times New Roman"/>
          <w:sz w:val="18"/>
          <w:szCs w:val="18"/>
          <w:color w:val="auto"/>
        </w:rPr>
      </w:pPr>
    </w:p>
    <w:p>
      <w:pPr>
        <w:ind w:left="920" w:right="20" w:hanging="467"/>
        <w:spacing w:after="0" w:line="282" w:lineRule="auto"/>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expenses and increase efficiency by embracing technology, including converting to a new policy management system, retiring multiple legacy systems and starting up a new claims system, among other technology initiatives;</w:t>
      </w:r>
    </w:p>
    <w:p>
      <w:pPr>
        <w:spacing w:after="0" w:line="161" w:lineRule="exact"/>
        <w:rPr>
          <w:rFonts w:ascii="Times New Roman" w:cs="Times New Roman" w:eastAsia="Times New Roman" w:hAnsi="Times New Roman"/>
          <w:sz w:val="18"/>
          <w:szCs w:val="18"/>
          <w:color w:val="auto"/>
        </w:rPr>
      </w:pPr>
    </w:p>
    <w:p>
      <w:pPr>
        <w:ind w:left="920" w:right="440" w:hanging="467"/>
        <w:spacing w:after="0" w:line="282" w:lineRule="auto"/>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implement a new, more highly segmented product suite (Kingstone Select) which better matches rate to risk using advanced analytics and an abundance of data; and</w:t>
      </w:r>
    </w:p>
    <w:p>
      <w:pPr>
        <w:spacing w:after="0" w:line="161" w:lineRule="exact"/>
        <w:rPr>
          <w:rFonts w:ascii="Times New Roman" w:cs="Times New Roman" w:eastAsia="Times New Roman" w:hAnsi="Times New Roman"/>
          <w:sz w:val="18"/>
          <w:szCs w:val="18"/>
          <w:color w:val="auto"/>
        </w:rPr>
      </w:pPr>
    </w:p>
    <w:p>
      <w:pPr>
        <w:ind w:left="920" w:right="280" w:hanging="467"/>
        <w:spacing w:after="0" w:line="282" w:lineRule="auto"/>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manage our catastrophe exposure in order to reduce loss cost and the growth rate of our probable maximum loss (“PML”) in order to mitigate the impact of the then emerging “hard market” in catastrophe reinsurance.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announced the substantive completion of Kingstone 2.0 in late 2022 and embarked on a new strategy to optimize our in-force business, which we coined as “Kingstone 3.0”. The four pillars of this new strategy entail:</w:t>
      </w:r>
    </w:p>
    <w:p>
      <w:pPr>
        <w:spacing w:after="0" w:line="162" w:lineRule="exact"/>
        <w:rPr>
          <w:sz w:val="20"/>
          <w:szCs w:val="20"/>
          <w:color w:val="auto"/>
        </w:rPr>
      </w:pPr>
    </w:p>
    <w:p>
      <w:pPr>
        <w:jc w:val="both"/>
        <w:ind w:left="920" w:hanging="467"/>
        <w:spacing w:after="0" w:line="258" w:lineRule="auto"/>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Aggressively reducing the non-Core book of business, which has had a disproportionately negative impact on underwriting results, by slowing new business, re-underwriting the book, culling the agent base, reducing commissions, or other means, subject to regulatory constraints. We stopped writing all new non-Core business and have been aggressively reducing policy count. Our request to withdraw from the state of New Jersey was acknowledged in October 2023 and all remaining policies will be non-renewed over a two year period starting January 1, 2024. As of March 31, 2024, our non-Core policy count was down by 52.1% compared to March 31, 2023;</w:t>
      </w:r>
    </w:p>
    <w:p>
      <w:pPr>
        <w:spacing w:after="0" w:line="183" w:lineRule="exact"/>
        <w:rPr>
          <w:rFonts w:ascii="Times New Roman" w:cs="Times New Roman" w:eastAsia="Times New Roman" w:hAnsi="Times New Roman"/>
          <w:sz w:val="18"/>
          <w:szCs w:val="18"/>
          <w:color w:val="auto"/>
        </w:rPr>
      </w:pPr>
    </w:p>
    <w:p>
      <w:pPr>
        <w:jc w:val="both"/>
        <w:ind w:left="920" w:hanging="467"/>
        <w:spacing w:after="0" w:line="255" w:lineRule="auto"/>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pricing to stay ahead of loss trends, including inflation, by filing the maximum annual rate change that can be supported in each state and product and ensuring all policyholders are insured to value. Inflation has been a dominant headwind that is showing signs of stabilizing. We have been cognizant that inflation’s impact on loss costs places added pressure on premiums and, as such, we have been more frequent and aggressive with our rate change requests. Similarly, home replacement values reflect that same inflationary pressure. In September 2023, we completed our first cycle of valuation adjustments, making sure that all homes were insured to value. As a result, we have seen a rise in premiums attributable to the heightened replacement costs. Overall average written premium for our legacy Core homeowners policies for the last 12 months, reflecting both rate and replacement cost changes, increased by 24.2%;</w:t>
      </w:r>
    </w:p>
    <w:p>
      <w:pPr>
        <w:spacing w:after="0" w:line="188" w:lineRule="exact"/>
        <w:rPr>
          <w:rFonts w:ascii="Times New Roman" w:cs="Times New Roman" w:eastAsia="Times New Roman" w:hAnsi="Times New Roman"/>
          <w:sz w:val="18"/>
          <w:szCs w:val="18"/>
          <w:color w:val="auto"/>
        </w:rPr>
      </w:pPr>
    </w:p>
    <w:p>
      <w:pPr>
        <w:jc w:val="both"/>
        <w:ind w:left="920" w:hanging="467"/>
        <w:spacing w:after="0" w:line="256" w:lineRule="auto"/>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Tightly managing reinsurance requirements and costs, using risk selection and other underwriting capabilities to manage the growth rate of our PML. We needed to contain our exposure to spiking reinsurance pricing. We did so and were able to reduce the required limit to be purchased while maintaining our same risk tolerance. We used all the tools available to us to limit new business that was deemed to be too expensive and at the same time re-underwrote the book to cull those risks which presented the greatest risk. The combination of stricter new business underwriting and increased non-renewals gave rise to the 7.1% decline in policy count for our Core business. We have now reverted most of our new business underwriting standards back to what they were previously so Core new business growth should increase going forward; and</w:t>
      </w:r>
    </w:p>
    <w:p>
      <w:pPr>
        <w:spacing w:after="0" w:line="187" w:lineRule="exact"/>
        <w:rPr>
          <w:rFonts w:ascii="Times New Roman" w:cs="Times New Roman" w:eastAsia="Times New Roman" w:hAnsi="Times New Roman"/>
          <w:sz w:val="18"/>
          <w:szCs w:val="18"/>
          <w:color w:val="auto"/>
        </w:rPr>
      </w:pPr>
    </w:p>
    <w:p>
      <w:pPr>
        <w:jc w:val="both"/>
        <w:ind w:left="920" w:hanging="467"/>
        <w:spacing w:after="0" w:line="266" w:lineRule="auto"/>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expense reduction focus with a goal of reducing the net expense ratio to 33% by year-end 2024. For the year ended December 31, 2023, we achieved our goal, with a net underwriting expense ratio of 32.9%. For the three months March 31, 2024, the net underwriting expense ratio was 31.3%, a reduction of 3.4 points compared to the three months March 31, 2023.</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See the tables for our Core and non-Core business for policies in force and direct written premiums as of and for the three months ended March 31, 2024 and 2023. For the three months ended March 31, 2024, our Core direct written premiums increased by 12.5% compared to the three months ended March 31, 2023, while Core policies in force decreased by 7.1% as of March 31, 2024. For the same periods, our non-Core policies in force decreased by 52.1% and non-Core direct written premiums decreased by 55.6%. We believe that the above actions taken resulted in our return to profitability for the three months ended March 31, 2024, will continue to have the intended effect and will continue through the remainder 2024 to result in a return to annual profitability.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(000’s except percentages and Policies in Force)</w:t>
            </w:r>
          </w:p>
        </w:tc>
        <w:tc>
          <w:tcPr>
            <w:tcW w:w="100" w:type="dxa"/>
            <w:vAlign w:val="bottom"/>
            <w:vMerge w:val="restart"/>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Policies In Force, as of end of Three Month Period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66,991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72,081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(5,090)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Non-Core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18,945</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(9,865)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policies in force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76,071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91,026</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(14,955)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1" w:right="339" w:bottom="0" w:gutter="0" w:footer="0" w:header="0"/>
        </w:sectPr>
      </w:pPr>
    </w:p>
    <w:bookmarkStart w:id="29" w:name="page30"/>
    <w:bookmarkEnd w:id="2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 written premiums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46,587</w:t>
            </w:r>
          </w:p>
        </w:tc>
        <w:tc>
          <w:tcPr>
            <w:tcW w:w="22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41,427</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5,160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Non-Core</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(3,432)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0"/>
        </w:trPr>
        <w:tc>
          <w:tcPr>
            <w:tcW w:w="59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direct written premiums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49,325</w:t>
            </w:r>
          </w:p>
        </w:tc>
        <w:tc>
          <w:tcPr>
            <w:tcW w:w="22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47,597</w:t>
            </w:r>
          </w:p>
        </w:tc>
        <w:tc>
          <w:tcPr>
            <w:tcW w:w="2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1,728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5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(Columns in the table above may not sum to totals due to rounding)</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to Three Months Ended March 31, 2023</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following table summarizes the changes in the results of our operations (in thousands)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written premiums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49,325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1,728</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Assumed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1,728</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Ceded written premiums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Ceded to quota share treaties (1)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9,831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15,588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(5,757)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5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Ceded to excess of loss treaties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Ceded to catastrophe treaties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ceded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(4,875)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written premiums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38,095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31,492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6,603</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Direct and assumed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Ceded to reinsurance treaties (1)</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(9,947)</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(5,570)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(4,377)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(9,275)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(6,038)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Premiums earned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 and assumed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49,996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49,930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Ceded to reinsurance treaties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(21,176)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(21,675)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Ceding commission revenue (1)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gains on investments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Direct and assumed: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and loss adjustment expenses excluding the effect of catastrophes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20,642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31,910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(11,268)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Losses from catastrophes (2)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direct and assumed loss and loss adjustment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(14,576)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Ceded loss and loss adjustment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and loss adjustment expenses excluding the effect of catastrophes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10,614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(6,346)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Losses from catastrophes (2)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ceded loss and loss adjustment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(7,396)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and loss adjustment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and loss adjustment expenses excluding the effect of catastrophes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16,374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21,296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Losses from catastrophes (2)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loss and loss adjustment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(7,179)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Commission expense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7,852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(8,970)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before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(6,304)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8,109</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36"/>
        </w:trPr>
        <w:tc>
          <w:tcPr>
            <w:tcW w:w="5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240"/>
          </w:cols>
          <w:pgMar w:left="320" w:top="355" w:right="339" w:bottom="0" w:gutter="0" w:footer="0" w:header="0"/>
        </w:sectPr>
      </w:pPr>
    </w:p>
    <w:bookmarkStart w:id="30" w:name="page31"/>
    <w:bookmarkEnd w:id="30"/>
    <w:p>
      <w:pPr>
        <w:spacing w:after="0"/>
        <w:tabs>
          <w:tab w:leader="none" w:pos="5920" w:val="left"/>
          <w:tab w:leader="none" w:pos="6640" w:val="left"/>
          <w:tab w:leader="none" w:pos="7260" w:val="left"/>
          <w:tab w:leader="none" w:pos="7900" w:val="left"/>
          <w:tab w:leader="none" w:pos="8580" w:val="left"/>
          <w:tab w:leader="none" w:pos="9280" w:val="left"/>
          <w:tab w:leader="none" w:pos="10840" w:val="left"/>
        </w:tabs>
        <w:rPr>
          <w:sz w:val="20"/>
          <w:szCs w:val="20"/>
          <w:color w:val="auto"/>
        </w:rPr>
      </w:pPr>
      <w:r>
        <w:rPr>
          <w:rFonts w:ascii="Times New Roman" w:cs="Times New Roman" w:eastAsia="Times New Roman" w:hAnsi="Times New Roman"/>
          <w:sz w:val="18"/>
          <w:szCs w:val="18"/>
          <w:b w:val="1"/>
          <w:bCs w:val="1"/>
          <w:color w:val="auto"/>
        </w:rPr>
        <w:t>Net income (loss)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1,427</w:t>
        <w:tab/>
        <w:t>$</w:t>
      </w:r>
      <w:r>
        <w:rPr>
          <w:sz w:val="20"/>
          <w:szCs w:val="20"/>
          <w:color w:val="auto"/>
        </w:rPr>
        <w:tab/>
      </w:r>
      <w:r>
        <w:rPr>
          <w:rFonts w:ascii="Times New Roman" w:cs="Times New Roman" w:eastAsia="Times New Roman" w:hAnsi="Times New Roman"/>
          <w:sz w:val="18"/>
          <w:szCs w:val="18"/>
          <w:color w:val="auto"/>
        </w:rPr>
        <w:t>(5,055)</w:t>
        <w:tab/>
        <w:t>$</w:t>
      </w:r>
      <w:r>
        <w:rPr>
          <w:sz w:val="20"/>
          <w:szCs w:val="20"/>
          <w:color w:val="auto"/>
        </w:rPr>
        <w:tab/>
      </w:r>
      <w:r>
        <w:rPr>
          <w:rFonts w:ascii="Times New Roman" w:cs="Times New Roman" w:eastAsia="Times New Roman" w:hAnsi="Times New Roman"/>
          <w:sz w:val="18"/>
          <w:szCs w:val="18"/>
          <w:color w:val="auto"/>
        </w:rPr>
        <w:t>6,482</w:t>
      </w:r>
      <w:r>
        <w:rPr>
          <w:sz w:val="20"/>
          <w:szCs w:val="20"/>
          <w:color w:val="auto"/>
        </w:rPr>
        <w:tab/>
      </w: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(Columns in the table above may not sum to totals due to rounding)</w:t>
      </w:r>
    </w:p>
    <w:p>
      <w:pPr>
        <w:spacing w:after="0" w:line="200" w:lineRule="exact"/>
        <w:rPr>
          <w:sz w:val="20"/>
          <w:szCs w:val="20"/>
          <w:color w:val="auto"/>
        </w:rPr>
      </w:pPr>
    </w:p>
    <w:p>
      <w:pPr>
        <w:spacing w:after="0" w:line="243" w:lineRule="exact"/>
        <w:rPr>
          <w:sz w:val="20"/>
          <w:szCs w:val="20"/>
          <w:color w:val="auto"/>
        </w:rPr>
      </w:pPr>
    </w:p>
    <w:p>
      <w:pPr>
        <w:jc w:val="both"/>
        <w:ind w:left="900" w:hanging="447"/>
        <w:spacing w:after="0" w:line="257"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2023, our personal lines business was subject a 30% quota share treaty, expiring on January 1, 2024, which included a runoff of an 8.5% portion through the remainder of 2023. Effective January 1, 2024, we entered into a 27% personal lines quota share treaty, which includes a runoff of a 3.0% portion through the end of 2024.</w:t>
      </w:r>
    </w:p>
    <w:p>
      <w:pPr>
        <w:spacing w:after="0" w:line="1" w:lineRule="exact"/>
        <w:rPr>
          <w:rFonts w:ascii="Times New Roman" w:cs="Times New Roman" w:eastAsia="Times New Roman" w:hAnsi="Times New Roman"/>
          <w:sz w:val="18"/>
          <w:szCs w:val="18"/>
          <w:color w:val="auto"/>
        </w:rPr>
      </w:pPr>
    </w:p>
    <w:p>
      <w:pPr>
        <w:jc w:val="both"/>
        <w:ind w:left="900" w:hanging="447"/>
        <w:spacing w:after="0" w:line="253"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March 31, 2024 and 2023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87"/>
        </w:trPr>
        <w:tc>
          <w:tcPr>
            <w:tcW w:w="5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5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Point</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38"/>
        </w:trPr>
        <w:tc>
          <w:tcPr>
            <w:tcW w:w="58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r>
      <w:tr>
        <w:trPr>
          <w:trHeight w:val="425"/>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ratios:</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6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ratio</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7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5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combined ratio</w:t>
            </w:r>
          </w:p>
        </w:tc>
        <w:tc>
          <w:tcPr>
            <w:tcW w:w="7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93.3%</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 Written Premiums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Direct written premiums during the three months ended March 31, 2024 (“Three Months 2024”) were $49,325,000 compared to $47,597,000 during the three months ended March 31, 2023 (“Three Months 2023”). The increase of $1,728,000, or 3.6%, was primarily due to an increase in premiums from our personal lines business.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Direct written premiums from our personal lines business for Three Months 2024 were $45,740,000, an increase of $1,569,000, or 3.5%, from $44,171,000 in Three Months 2023. The 3.5% increase in premiums from our personal lines business was primarily due to the increase in premiums associated with our Core business of 13.2% offsetting a 55.6% decrease in our non-Core business. The increase in our Core business premiums and the decrease in our non-Core business premiums is in accordance with both our Kingstone 2.0 and Kingstone 3.0 strategic plans.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Direct written premiums from our livery physical damage business for Three Months 2024 were $3,562,000, an increase of $156,000, or 4.6%, from $3,406,000 in Three Months 2023. The increase in livery physical damage direct written premiums was due to an increasing number of policies and an increase in the values of the autos insured.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Direct written premiums from our Core business were $46,587,000 in Three Months 2024 compared to $41,427,000 in Three Months 2023, an increase of $5,160,000, or 12.5%. The increase in direct written premiums from our Core business was due to rate increases, offset by a decrease in policies in force. Policies in force from our Core business decreased by 7.1% in Three Months 2024 compared to Three Months 2023. Direct written premiums from our non-Core business were $2,738,000 in Three Months 2024 down from $6,170,000 in Three Months 2023, a decrease of $3,432,000, or 55.6%. The decrease in direct written premiums from our non-Core business is a result of our decision to aggressively reduce the book of business in these states. Policies in force from our non-Core business decreased by 52.1% in Three Months 2024 compared to Three Months 2023. The increase in our Core business and the decrease in our non-Core business is consistent with a key pillar of our Kingstone 3.0 strategy to reduce our non-Core business due to profitability concerns.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Written Premiums and Net Premiums Earned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written premiums increased $6,603,000, or 21.0%, to $38,095,000 in Three Months 2024 from $31,492,000 in Three Months 2023. Net written premiums include direct premiums, less the amount of written premiums ceded under our reinsurance treaties (quota share, excess of loss, and catastrophe). The increase in Three Months 2024 is primarily due to changes to our personal lines quota share reinsurance treaty. See quota share reinsurance treaties discussion below.</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Quota share reinsurance treaties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1, 2023, we entered into a new 30% quota share reinsurance treaty for our personal lines business, covering the period from January 1, 2023 through January 1, 2024 (“2023/2024 Treaty”). Upon expiration of the 2023/2024 Treaty on January 1, 2024, we entered into a new 27% quota share reinsurance treaty for our personal lines business, covering the period from January 1, 2024 through January 1, 2025 (“2024/2025 Treaty”). In Three Months 2024, our premiums ceded under quota share treaties decreased by $5,757,000 in comparison to premiums ceded under quota share treaties in Three Months 2023 (see table above). The decrease in Three Months 2024 was attributable to the decrease in quota share rates and by the runoff in Three Months 2023 of an 8.5% portion of a 30% quota share treaty that was in effect through January 1, 2024 (“2021-2023 Treaty”). Our personal lines business was subject to the 2024/2025 Treaty in Three Months 2024, and the 2023/2024 Treaty in Three Months 2023.</w:t>
      </w:r>
    </w:p>
    <w:p>
      <w:pPr>
        <w:sectPr>
          <w:pgSz w:w="11900" w:h="16838" w:orient="portrait"/>
          <w:cols w:equalWidth="0" w:num="1">
            <w:col w:w="11240"/>
          </w:cols>
          <w:pgMar w:left="320" w:top="117" w:right="339" w:bottom="0" w:gutter="0" w:footer="0" w:header="0"/>
        </w:sectPr>
      </w:pP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i w:val="1"/>
          <w:iCs w:val="1"/>
          <w:color w:val="auto"/>
        </w:rPr>
        <w:t>Excess of loss reinsurance treaties</w:t>
      </w:r>
    </w:p>
    <w:p>
      <w:pPr>
        <w:sectPr>
          <w:pgSz w:w="11900" w:h="16838" w:orient="portrait"/>
          <w:cols w:equalWidth="0" w:num="1">
            <w:col w:w="11240"/>
          </w:cols>
          <w:pgMar w:left="320" w:top="117" w:right="339" w:bottom="0" w:gutter="0" w:footer="0" w:header="0"/>
          <w:type w:val="continuous"/>
        </w:sectPr>
      </w:pPr>
    </w:p>
    <w:bookmarkStart w:id="31" w:name="page32"/>
    <w:bookmarkEnd w:id="3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 increase in written premiums will increase the premiums ceded under our excess of loss treaties. In Three Months 2024, our ceded excess of loss reinsurance premiums increased by $326,000 over the comparable ceded excess of loss premiums for Three Months 2023. The increase was due to an increase in subject premiums and the heightened cost of coverage obtained. Effective January 1, 2023, we entered into an underlying excess of loss reinsurance treaty (the “Underlying XOL Treaty”) covering the period from January 1, 2023 through January 1, 2024. The treaty provided 50% reinsurance coverage for losses of $400,000 in excess of $600,000. Losses from named storms were excluded from the treaty. Effective January 1, 2024, the Underlying XOL Treaty was renewed covering the period from January 1, 2024 through January 1, 2025.</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Catastrophe reinsurance treaties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An increase in our personal lines business results in an increase in premiums ceded under our catastrophe treaties if reinsurance rates are stable or are increasing. On July 1, 2023 and 2022, we recorded our catastrophe premiums for the entire treaty period covering July 1 through June 30, resulting in the entire annual premium being recorded in the third quarter. The $556,000 negative catastrophe premium in Three Months 2023 was due to a true-up of premiums originally recorded on July 1, 2022.</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premiums earned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premiums earned increased $565,000, or 2.0%, to $28,820,000 in Three Months 2024 from $28,255,000 in Three Months 2023. The increase was due to the three point reduction in quota share rates discussed above, the run-off of a portion of the 2021-2023 Treaty, which increased the premiums ceded and reduced the net premiums earned in Three Months 2023, offset by an increase in catastrophe premium rates, reflected in ceded catastrophe premiums earned, which reduced the amount of growth in net premiums earned.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Ceding Commission Revenue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components of ceding commission revenue (in thousands)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Provisional ceding commissions earned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ceding commissions earned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ceding commission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(Columns in the table above may not sum to totals due to rounding)</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Ceding commission revenue was $4,567,000 in Three Months 2024 compared to $5,445,000 in Three Months 2023. The decrease of $878,000 is explained below in the discussion of provisional ceding commissions earned and contingent ceding commissions earned.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Provisional Ceding Commissions Earned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Three Months 2024, we earned provisional ceding commissions of $4,555,000 from personal lines earned premiums ceded under the 2024/2025 Treaty, and in Three Months 2023, we earned provisional ceding commissions of $5,447,000 from personal lines earned premiums ceded under the 2023/2024 Treaty. The decrease of $892,000 in provisional ceding commissions earned was due to the decrease in premiums ceded under these treaties during Three Months 2024 compared to Three Months 2023, offset by an increase in ceding commission rates under the 2024/2025 Treaty.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Contingent Ceding Commissions Earned</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structure of the 2024/2025 Treaty and the 2023/2024 Treaty calls for a fixed provisional ceding commission with no opportunity to earn additional contingent ceding commissions. Under our prior years’ quota share treaties, we received a contingent ceding commission based on a sliding scale in relation to the losses incurred under our quota share treaties. The lower the ceded loss ratio, the more contingent commission we received.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Income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investment income was $1,503,000 in Three Months 2024 compared to $1,541,000 in Three Months 2023, a decrease of $38,000, or 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yield on non-cash invested assets was 3.77% as of March 31, 2024 compared to 3.35% as of March 31, 2023.</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invested assets were $189,109,000 as of March 31, 2024 compared to $190,665,000 as of March 31, 2023, a decrease of $1,556,000.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Gains on Investments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gains on investments were $726,000 in Three Months 2024 compared to net gains of $1,225,000 in Three Months 2023. Unrealized gains on our equity securities and other investments in Three Months 2024 were $819,000, compared to unrealized gains of $1,228,000 in Three Months 2023. Net realized (losses) on sales of investments were $(92,000) in Three Months 2024 compared to net realized (losses) of $(3,000) in Three Months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Other income was $149,000 in Three Months 2024 compared to $161,000 in Three Months 2023, a decrease of $12,000, or 7.5%.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 and LAE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loss and LAE was $17,860,000 for Three Months 2024 compared to $25,039,000 for Three Months 2023. The net loss ratio was 62.0% in Three Months 2024 compared to 88.6% in Three Months 2023, a decrease of 26.6 percentage points.</w:t>
      </w:r>
    </w:p>
    <w:p>
      <w:pPr>
        <w:spacing w:after="0" w:line="162"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114300</wp:posOffset>
            </wp:positionV>
            <wp:extent cx="5271770" cy="3943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7177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(Percent components may not sum to totals due to rounding)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loss ratio for Three Months 2024 improved significantly compared to Three Months 2023. For Three Months 2024, the catastrophe impact, prior year development, and underlying loss ratio (loss ratio excluding the impact of catastrophe and prior year development) were all lower than Three Months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were six newly designated catastrophe events for Three Months 2024. The estimated total net catastrophe losses for the calendar quarter were $1,486,000, which contributed 5.2 points to the loss ratio. By comparison, the catastrophe impact for Three Months 2023 was 13.2 points. Losses from winter-related catastrophe claims were minimal during Three Months 2024, whereas the previous year was impacted by a major winter event in February 2023.</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underlying loss ratio was 58.8% for Three Months 2024, a decrease of 16.6 points from the 75.4% underlying loss ratio recorded for Three Months 2023. Overall non-catastrophe frequency and severity for Three Months 2024 were both lower than for Three Months 2023.</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was favorable prior year development of $566,000 during Three Months 2024, which translates to a 2.0 point decrease to the loss ratio. By comparison, the impact of prior year development for Three Months 2023 was negligible. The favorable development in Three Months 2024 is mainly driven by the re-evaluation of the catastrophe events from the third quarter of 2023.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table below under “Additional Financial Information” summarizing net loss ratios by line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Commission Expense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Commission expense was $7,852,000 in Three Months 2024 or 15.7% of direct earned premiums. Commission expense was $8,540,000 in Three Month 2023 or 17.1% of direct earned premiums. The decrease of $688,000 was primarily due to a reduction in commission rates on our legacy policies in accordance with our Kingstone 3.0 strategy as well as the lower commission rate paid on Select products as compared to legacy products. The decrease was offset by an accrual of $303,000 for an estimated contingent commission to be recalculated quarterly if we continue to be profitable for the remainder of the year.</w:t>
      </w:r>
    </w:p>
    <w:p>
      <w:pPr>
        <w:sectPr>
          <w:pgSz w:w="11900" w:h="16838" w:orient="portrait"/>
          <w:cols w:equalWidth="0" w:num="1">
            <w:col w:w="11240"/>
          </w:cols>
          <w:pgMar w:left="320" w:top="119" w:right="339" w:bottom="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auto"/>
        </w:rPr>
        <w:t>Other Underwriting Expenses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underwriting expenses were $5,881,000, or 11.8% of direct earned premiums, in Three Months 2024 compared to $6,872,000, or 13.8% of direct earned premiums, in Three Months 2023. The decrease of $991,000, or 14.4%, was primarily due to decreases in salaries and employment costs as described below, policy management system fees as result of the completion of our policy management system conversion, allowing us to eliminate multiple legacy systems, and other IT costs as a result of the completion of these projects. The decreases were partially offset by the impact of high inflation.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largest single component of other underwriting expenses is salaries and employment costs, with costs of $2,601,000 in Three Months 2024 compared to $2,933,000 in Three Months Ended 2023. The decrease of $332,000, or 11.3%, is favorable when compared to the 3.6% increase in direct written premiums. The decrease in salaries and employment costs was due to a reduction in our staff in June and July of 2023 as we have been reducing our non-Core business. The decrease from the reduction in staff was partially offset in the periods following Three Months 2023, as we began to strengthen our professional team by investing in the hiring of higher-level and higher compensated managers and staff needed to manage the business consistent with our Kingstone 2.0 and Kingstone 3.0 strategies.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net underwriting expense ratio in Three Months 2024 was 31.3% compared to 34.7% in Three Months 2023. The following table shows the individual components of our net underwriting expense ratio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Point Change</w:t>
            </w:r>
          </w:p>
        </w:tc>
        <w:tc>
          <w:tcPr>
            <w:tcW w:w="0" w:type="dxa"/>
            <w:vAlign w:val="bottom"/>
          </w:tcPr>
          <w:p>
            <w:pPr>
              <w:spacing w:after="0"/>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Employment costs</w:t>
            </w: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Underwriting fees (inspections/surveys)</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expenses</w:t>
            </w:r>
          </w:p>
        </w:tc>
        <w:tc>
          <w:tcPr>
            <w:tcW w:w="1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Professional fees</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7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underwriting 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Commission expense</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27.2</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Ceding commission revenue</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Provisional</w:t>
            </w: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(15.8)</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ceding commission revenue</w:t>
            </w: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(15.8)</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0"/>
        </w:trPr>
        <w:tc>
          <w:tcPr>
            <w:tcW w:w="7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(0.5)</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9"/>
        </w:trPr>
        <w:tc>
          <w:tcPr>
            <w:tcW w:w="7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3"/>
        </w:trPr>
        <w:tc>
          <w:tcPr>
            <w:tcW w:w="7280" w:type="dxa"/>
            <w:vAlign w:val="bottom"/>
            <w:tcBorders>
              <w:top w:val="single" w:sz="8" w:color="CCEEFF"/>
            </w:tcBorders>
          </w:tcPr>
          <w:p>
            <w:pPr>
              <w:ind w:left="3160"/>
              <w:spacing w:after="0"/>
              <w:rPr>
                <w:sz w:val="20"/>
                <w:szCs w:val="20"/>
                <w:color w:val="auto"/>
              </w:rPr>
            </w:pPr>
            <w:r>
              <w:rPr>
                <w:rFonts w:ascii="Times New Roman" w:cs="Times New Roman" w:eastAsia="Times New Roman" w:hAnsi="Times New Roman"/>
                <w:sz w:val="18"/>
                <w:szCs w:val="18"/>
                <w:i w:val="1"/>
                <w:iCs w:val="1"/>
                <w:color w:val="auto"/>
              </w:rPr>
              <w:t>(Components may not sum to totals due to rounding)</w:t>
            </w: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Operating Expenses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operating expenses, related to the expenses of our holding company and Cosi, were $778,000 for Three Months 2024 compared to $663,000 for Three Months 2023. The following table shows a breakdown of the significant components of other operating expenses for the periods indicated:</w:t>
      </w:r>
    </w:p>
    <w:p>
      <w:pPr>
        <w:jc w:val="center"/>
        <w:ind w:left="32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9" w:lineRule="exact"/>
        <w:rPr>
          <w:sz w:val="20"/>
          <w:szCs w:val="20"/>
          <w:color w:val="auto"/>
        </w:rPr>
      </w:pPr>
    </w:p>
    <w:p>
      <w:pPr>
        <w:jc w:val="center"/>
        <w:ind w:left="32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r>
      <w:tr>
        <w:trPr>
          <w:trHeight w:val="425"/>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6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Employement costs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67.0%</w:t>
            </w:r>
          </w:p>
        </w:tc>
      </w:tr>
      <w:tr>
        <w:trPr>
          <w:trHeight w:val="216"/>
        </w:trPr>
        <w:tc>
          <w:tcPr>
            <w:tcW w:w="6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Equity compensation</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6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6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Directors fees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6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6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operating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i w:val="1"/>
          <w:iCs w:val="1"/>
          <w:color w:val="auto"/>
        </w:rPr>
        <w:t>(Components may not sum to totals due to rounding)</w:t>
      </w:r>
    </w:p>
    <w:p>
      <w:pPr>
        <w:sectPr>
          <w:pgSz w:w="11900" w:h="16838" w:orient="portrait"/>
          <w:cols w:equalWidth="0" w:num="1">
            <w:col w:w="11240"/>
          </w:cols>
          <w:pgMar w:left="320" w:top="121" w:right="339" w:bottom="382" w:gutter="0" w:footer="0" w:header="0"/>
        </w:sectPr>
      </w:pPr>
    </w:p>
    <w:bookmarkStart w:id="34" w:name="page35"/>
    <w:bookmarkEnd w:id="34"/>
    <w:p>
      <w:pPr>
        <w:spacing w:after="0" w:line="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in Three Months 2024 of $115,000, or 17.3%, as compared to Three Months 2023 was primarily due to increases in employment costs and equity compensation. The increase in employment costs was due to fluctuations in deferred compensation liability related to changes in the underlying invested portfolio.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Depreciation and amortization was $597,000 in Three Months 2024 compared to $808,000 in Three Months 2023. The decrease of $211,000, or 26.1%, in depreciation and amortization was primarily due to the completion and deployment of our customized policy management software as planned for in Kingstone 2.0, now allowing us to consolidate multiple legacy systems into one efficient system and retire those older more costly and less reliable systems. Depreciation on older assets that were retired, which had a shorter useful life, is greater than the depreciation on newly acquired assets which have a longer useful life.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in Three Months 2024 was $994,000 compared to $1,010,000 in Three Months 2023, a decrease of $16,000 or 1.6%. In Three Months 2024 and Three Months 2023, as disclosed in Note 7 to the condensed consolidated financial statements, we incurred interest expense in connection with the 2022 Notes, which provide for interest at the rate of 12% per annum, and the 2022 equipment financing.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Expense (Benefit)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Income tax expense in Three Months 2024 was $378,000, which resulted in an effective tax rate of 20.93%. Income tax (benefit) in Three Months 2023 was $(1,249,000), which resulted in an effective tax rate of 19.8%. Income before taxes was $1,805,000 in Three Months 2024 compared to a loss before taxes of $6,304,000 in Three Months 2023. The difference in effective tax rate is due to the effect of permanent differences in Three Months 2024 compared to Three Months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(Loss)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income was $1,427,000 in Three Months 2024 compared to loss of $5,055,000 in Three Months 2023. The increase from net loss to net income of $6,482,000 was due to the circumstances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Financial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operate our business as one segment, property and casualty insurance. Within this segment, we offer an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172"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3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10"/>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premiums written:</w:t>
            </w:r>
          </w:p>
        </w:tc>
        <w:tc>
          <w:tcPr>
            <w:tcW w:w="1740" w:type="dxa"/>
            <w:vAlign w:val="bottom"/>
          </w:tcPr>
          <w:p>
            <w:pPr>
              <w:spacing w:after="0"/>
              <w:rPr>
                <w:sz w:val="18"/>
                <w:szCs w:val="18"/>
                <w:color w:val="auto"/>
              </w:rPr>
            </w:pPr>
          </w:p>
        </w:tc>
        <w:tc>
          <w:tcPr>
            <w:tcW w:w="9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$ 45,740,238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$ 44,170,938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Livery physical damage</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3,562,328</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3,405,668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Other(1)</w:t>
            </w:r>
          </w:p>
        </w:tc>
        <w:tc>
          <w:tcPr>
            <w:tcW w:w="17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20,840</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gross premiums written</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$ 49,324,616</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$ 47,597,446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premiums written:</w:t>
            </w: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$ 34,516,450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$ 28,074,833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Livery physical damage</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3,562,328</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3,405,668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Other(1)</w:t>
            </w:r>
          </w:p>
        </w:tc>
        <w:tc>
          <w:tcPr>
            <w:tcW w:w="17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net premiums written</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$ 38,095,399</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$ 31,491,893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premiums earned:</w:t>
            </w: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$ 25,092,488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$ 25,019,085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Livery physical damage</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3,708,194</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3,211,834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Other(1)</w:t>
            </w:r>
          </w:p>
        </w:tc>
        <w:tc>
          <w:tcPr>
            <w:tcW w:w="17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$ 28,819,902</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$ 28,254,953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loss adjustment expenses(3):</w:t>
            </w: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$ 14,712,194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$ 22,569,609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Livery physical damage</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1,680,651</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1,385,141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Other(1)</w:t>
            </w:r>
          </w:p>
        </w:tc>
        <w:tc>
          <w:tcPr>
            <w:tcW w:w="2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(13,147)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Unallocated loss adjustment expenses</w:t>
            </w:r>
          </w:p>
        </w:tc>
        <w:tc>
          <w:tcPr>
            <w:tcW w:w="17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1,176,703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891,090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without commercial lines</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17,556,401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24,997,447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Commercial lines (in run-off effective July 2019)(2)</w:t>
            </w:r>
          </w:p>
        </w:tc>
        <w:tc>
          <w:tcPr>
            <w:tcW w:w="17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net loss and loss adjustment expenses</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$ 17,859,587</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$ 25,039,410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ratio(3):</w:t>
            </w:r>
          </w:p>
        </w:tc>
        <w:tc>
          <w:tcPr>
            <w:tcW w:w="3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3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58.6%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Livery physical damage</w:t>
            </w:r>
          </w:p>
        </w:tc>
        <w:tc>
          <w:tcPr>
            <w:tcW w:w="38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45.3%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Other(1)</w:t>
            </w:r>
          </w:p>
        </w:tc>
        <w:tc>
          <w:tcPr>
            <w:tcW w:w="3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w:t>
            </w:r>
          </w:p>
        </w:tc>
      </w:tr>
      <w:tr>
        <w:trPr>
          <w:trHeight w:val="104"/>
        </w:trPr>
        <w:tc>
          <w:tcPr>
            <w:tcW w:w="4780" w:type="dxa"/>
            <w:vAlign w:val="bottom"/>
            <w:shd w:val="clear" w:color="auto" w:fill="CCEEFF"/>
          </w:tcPr>
          <w:p>
            <w:pPr>
              <w:spacing w:after="0"/>
              <w:rPr>
                <w:sz w:val="9"/>
                <w:szCs w:val="9"/>
                <w:color w:val="auto"/>
              </w:rPr>
            </w:pPr>
          </w:p>
        </w:tc>
        <w:tc>
          <w:tcPr>
            <w:tcW w:w="38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r>
    </w:tbl>
    <w:p>
      <w:pPr>
        <w:sectPr>
          <w:pgSz w:w="11900" w:h="16900" w:orient="portrait"/>
          <w:cols w:equalWidth="0" w:num="1">
            <w:col w:w="11240"/>
          </w:cols>
          <w:pgMar w:left="320" w:top="121" w:right="339" w:bottom="0" w:gutter="0" w:footer="0" w:header="0"/>
        </w:sectPr>
      </w:pPr>
    </w:p>
    <w:bookmarkStart w:id="35" w:name="page36"/>
    <w:bookmarkEnd w:id="35"/>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without commercial lines</w:t>
            </w:r>
          </w:p>
        </w:tc>
        <w:tc>
          <w:tcPr>
            <w:tcW w:w="290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8"/>
              </w:rPr>
              <w:t>60.9%</w:t>
            </w:r>
          </w:p>
        </w:tc>
        <w:tc>
          <w:tcPr>
            <w:tcW w:w="84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8"/>
              </w:rPr>
              <w:t>88.5%</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Commercial lines (in run-off effective July 2019)(2)</w:t>
            </w:r>
          </w:p>
        </w:tc>
        <w:tc>
          <w:tcPr>
            <w:tcW w:w="290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8"/>
              </w:rPr>
              <w:t>62.0%</w:t>
            </w:r>
          </w:p>
        </w:tc>
        <w:tc>
          <w:tcPr>
            <w:tcW w:w="84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8"/>
              </w:rPr>
              <w:t>88.6%</w:t>
            </w:r>
          </w:p>
        </w:tc>
      </w:tr>
    </w:tbl>
    <w:p>
      <w:pPr>
        <w:spacing w:after="0" w:line="198" w:lineRule="exact"/>
        <w:rPr>
          <w:sz w:val="20"/>
          <w:szCs w:val="20"/>
          <w:color w:val="auto"/>
        </w:rPr>
      </w:pPr>
    </w:p>
    <w:p>
      <w:pPr>
        <w:ind w:left="900" w:right="540" w:hanging="447"/>
        <w:spacing w:after="0" w:line="261"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among other things, premiums and loss and loss adjustment expenses from our participation in a mandatory state joint underwriting association and loss and loss adjustment expenses from commercial auto.</w:t>
      </w:r>
    </w:p>
    <w:p>
      <w:pPr>
        <w:ind w:left="900" w:right="60" w:hanging="447"/>
        <w:spacing w:after="0" w:line="250"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2019, we decided that we will no longer underwrite Commercial Liability risks. See discussions above regarding the discontinuation of this line of business.</w:t>
      </w: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discussion above with regard to “Net Loss and LAE”, as to catastrophe losses in the three months March 31, 2024 and 2023.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Underwriting Business on a Standalone Basis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insurance underwriting business reported on a standalone basis for the periods indicated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40" w:type="dxa"/>
            <w:vAlign w:val="bottom"/>
            <w:gridSpan w:val="2"/>
            <w:vMerge w:val="restart"/>
          </w:tcPr>
          <w:p>
            <w:pPr>
              <w:ind w:left="8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3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28,819,902</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28,254,953</w:t>
            </w:r>
          </w:p>
        </w:tc>
        <w:tc>
          <w:tcPr>
            <w:tcW w:w="16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Ceding commission revenue</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4,567,111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5,445,407</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1,502,860</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1,541,492</w:t>
            </w:r>
          </w:p>
        </w:tc>
        <w:tc>
          <w:tcPr>
            <w:tcW w:w="16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gains on investments</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1,184,248</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148,167</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158,826</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35,691,859</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36,584,926</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17,859,587</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25,039,410</w:t>
            </w:r>
          </w:p>
        </w:tc>
        <w:tc>
          <w:tcPr>
            <w:tcW w:w="16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 expense</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7,851,812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8,539,762</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5,880,605</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6,871,619</w:t>
            </w:r>
          </w:p>
        </w:tc>
        <w:tc>
          <w:tcPr>
            <w:tcW w:w="16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808,130</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98,456</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114,472</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3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32,286,973</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41,373,393</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3,404,886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(4,788,467)</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719,114</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(938,223)</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2,685,772</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(3,850,244)</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0" w:type="dxa"/>
            <w:vAlign w:val="bottom"/>
            <w:vMerge w:val="restart"/>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Measures:</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ratio</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88.6%</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60" w:type="dxa"/>
            <w:vAlign w:val="bottom"/>
          </w:tcPr>
          <w:p>
            <w:pPr>
              <w:spacing w:after="0"/>
              <w:rPr>
                <w:sz w:val="21"/>
                <w:szCs w:val="21"/>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combined ratio</w:t>
            </w:r>
          </w:p>
        </w:tc>
        <w:tc>
          <w:tcPr>
            <w:tcW w:w="3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123.3%</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60" w:type="dxa"/>
            <w:vAlign w:val="bottom"/>
          </w:tcPr>
          <w:p>
            <w:pPr>
              <w:spacing w:after="0"/>
              <w:rPr>
                <w:sz w:val="17"/>
                <w:szCs w:val="17"/>
                <w:color w:val="auto"/>
              </w:rPr>
            </w:pPr>
          </w:p>
        </w:tc>
        <w:tc>
          <w:tcPr>
            <w:tcW w:w="4180" w:type="dxa"/>
            <w:vAlign w:val="bottom"/>
            <w:tcBorders>
              <w:top w:val="single" w:sz="8" w:color="CCEEFF"/>
            </w:tcBorders>
          </w:tcPr>
          <w:p>
            <w:pPr>
              <w:spacing w:after="0"/>
              <w:rPr>
                <w:sz w:val="17"/>
                <w:szCs w:val="17"/>
                <w:color w:val="auto"/>
              </w:rPr>
            </w:pPr>
          </w:p>
        </w:tc>
        <w:tc>
          <w:tcPr>
            <w:tcW w:w="30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Reconciliation of net underwriting expense ratio:</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costs and other</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underwriting expenses</w:t>
            </w:r>
          </w:p>
        </w:tc>
        <w:tc>
          <w:tcPr>
            <w:tcW w:w="3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13,732,417</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15,411,381</w:t>
            </w:r>
          </w:p>
        </w:tc>
        <w:tc>
          <w:tcPr>
            <w:tcW w:w="16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Ceding commission revenue</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(4,567,111)</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(5,445,407)</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Other income</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(148,167)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(158,826)</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underwriting expenses</w:t>
            </w:r>
          </w:p>
        </w:tc>
        <w:tc>
          <w:tcPr>
            <w:tcW w:w="3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9,017,139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9,807,148</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3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28,819,902</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28,254,953</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060" w:type="dxa"/>
            <w:vAlign w:val="bottom"/>
            <w:vMerge w:val="restart"/>
          </w:tcPr>
          <w:p>
            <w:pPr>
              <w:jc w:val="right"/>
              <w:ind w:right="229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analysis of our direct, assumed and ceded earned premiums, loss and loss adjustment expenses, and loss ratios is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20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16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Assumed</w:t>
            </w:r>
          </w:p>
        </w:tc>
        <w:tc>
          <w:tcPr>
            <w:tcW w:w="16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Ceded</w:t>
            </w:r>
          </w:p>
        </w:tc>
        <w:tc>
          <w:tcPr>
            <w:tcW w:w="18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Written premiums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49,324,616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(11,229,217)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38,095,399</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671,762</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(9,947,259)</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(9,275,497)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Earned premiums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49,996,378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(21,176,476)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28,819,902</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expenses excluding the effect of catastrophes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20,642,101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(4,268,162)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16,373,939</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Catastrophe loss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2,078,986</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(593,338)</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1,485,648</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22,721,087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(4,861,500)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17,859,587</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0" w:right="339" w:bottom="0" w:gutter="0" w:footer="0" w:header="0"/>
        </w:sectPr>
      </w:pPr>
    </w:p>
    <w:bookmarkStart w:id="36" w:name="page37"/>
    <w:bookmarkEnd w:id="36"/>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ratio excluding the effect of catastrophes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41.3%</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Catastrophe loss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4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ratio</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45.4%</w:t>
            </w:r>
          </w:p>
        </w:tc>
        <w:tc>
          <w:tcPr>
            <w:tcW w:w="4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62.0%</w:t>
            </w:r>
          </w:p>
        </w:tc>
      </w:tr>
      <w:tr>
        <w:trPr>
          <w:trHeight w:val="197"/>
        </w:trPr>
        <w:tc>
          <w:tcPr>
            <w:tcW w:w="5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Written premiums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47,597,446</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(16,105,553)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31,491,893</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2,332,884</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(5,569,824)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(3,236,940)</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Earned premiums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49,930,330</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(21,675,377)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28,254,953</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expenses excluding the effect of catastrophes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31,910,005</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(10,613,543)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21,296,462</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Catastrophe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5,385,831</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(1,642,883)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3,742,948</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37,295,836</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(12,256,426)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25,039,410</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ratio excluding the effect of catastrophes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63.9%</w:t>
            </w:r>
          </w:p>
        </w:tc>
        <w:tc>
          <w:tcPr>
            <w:tcW w:w="4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49.0%</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75.4%</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Catastrophe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74.7%</w:t>
            </w:r>
          </w:p>
        </w:tc>
        <w:tc>
          <w:tcPr>
            <w:tcW w:w="4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56.5%</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88.6%</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i w:val="1"/>
          <w:iCs w:val="1"/>
          <w:color w:val="auto"/>
        </w:rPr>
        <w:t>(Percent components may not sum to totals due to rounding)</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6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9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key measures for our insurance underwriting business for the periods indicated are as follows: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Borders>
              <w:top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28,819,902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$ 28,254,953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Ceding commission 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4,567,111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5,445,407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148,167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and loss adjustment expenses (1)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17,859,587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25,039,410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costs and other underwriting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Commission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7,851,812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8,539,762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5,880,605</w:t>
            </w: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6,871,619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acquisition costs and other underwriting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13,732,417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15,411,381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vMerge w:val="restart"/>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Underwriting income (loss)</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1,943,176</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(6,591,605)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Key Measures: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ratio excluding the effect of catastrophes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75.4%</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catastrophe loss on net loss ratio (1)</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r>
      <w:tr>
        <w:trPr>
          <w:trHeight w:val="20"/>
        </w:trPr>
        <w:tc>
          <w:tcPr>
            <w:tcW w:w="6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ratio</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88.6%</w:t>
            </w:r>
          </w:p>
        </w:tc>
      </w:tr>
      <w:tr>
        <w:trPr>
          <w:trHeight w:val="210"/>
        </w:trPr>
        <w:tc>
          <w:tcPr>
            <w:tcW w:w="6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underwriting expense ratio excluding the effect of catastrophes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catastrophe loss on net underwriting expense ratio</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6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w:t>
            </w:r>
          </w:p>
        </w:tc>
      </w:tr>
      <w:tr>
        <w:trPr>
          <w:trHeight w:val="210"/>
        </w:trPr>
        <w:tc>
          <w:tcPr>
            <w:tcW w:w="6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combined ratio excluding the effect of catastrophes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110.1%</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catastrophe loss on net combined ratio (1)</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r>
      <w:tr>
        <w:trPr>
          <w:trHeight w:val="20"/>
        </w:trPr>
        <w:tc>
          <w:tcPr>
            <w:tcW w:w="6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combined ratio</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123.3%</w:t>
            </w:r>
          </w:p>
        </w:tc>
      </w:tr>
      <w:tr>
        <w:trPr>
          <w:trHeight w:val="196"/>
        </w:trPr>
        <w:tc>
          <w:tcPr>
            <w:tcW w:w="6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Reconciliation of net underwriting expense ratio:</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costs and other underwriting expenses</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13,732,417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15,411,381</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Ceding commission revenue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(4,567,111)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(5,445,407)</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Other income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(148,167)</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(158,826)</w:t>
            </w:r>
          </w:p>
        </w:tc>
      </w:tr>
      <w:tr>
        <w:trPr>
          <w:trHeight w:val="20"/>
        </w:trPr>
        <w:tc>
          <w:tcPr>
            <w:tcW w:w="6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6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9,017,139</w:t>
            </w:r>
          </w:p>
        </w:tc>
        <w:tc>
          <w:tcPr>
            <w:tcW w:w="2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9,807,148</w:t>
            </w:r>
          </w:p>
        </w:tc>
        <w:tc>
          <w:tcPr>
            <w:tcW w:w="160" w:type="dxa"/>
            <w:vAlign w:val="bottom"/>
            <w:shd w:val="clear" w:color="auto" w:fill="CCEEFF"/>
          </w:tcPr>
          <w:p>
            <w:pPr>
              <w:spacing w:after="0"/>
              <w:rPr>
                <w:sz w:val="21"/>
                <w:szCs w:val="21"/>
                <w:color w:val="auto"/>
              </w:rPr>
            </w:pPr>
          </w:p>
        </w:tc>
      </w:tr>
      <w:tr>
        <w:trPr>
          <w:trHeight w:val="196"/>
        </w:trPr>
        <w:tc>
          <w:tcPr>
            <w:tcW w:w="6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5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earned premium</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28,819,902</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28,254,953</w:t>
            </w:r>
          </w:p>
        </w:tc>
        <w:tc>
          <w:tcPr>
            <w:tcW w:w="160" w:type="dxa"/>
            <w:vAlign w:val="bottom"/>
            <w:shd w:val="clear" w:color="auto" w:fill="CCEEFF"/>
          </w:tcPr>
          <w:p>
            <w:pPr>
              <w:spacing w:after="0"/>
              <w:rPr>
                <w:sz w:val="22"/>
                <w:szCs w:val="22"/>
                <w:color w:val="auto"/>
              </w:rPr>
            </w:pPr>
          </w:p>
        </w:tc>
      </w:tr>
      <w:tr>
        <w:trPr>
          <w:trHeight w:val="196"/>
        </w:trPr>
        <w:tc>
          <w:tcPr>
            <w:tcW w:w="6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3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w:t>
            </w:r>
          </w:p>
        </w:tc>
      </w:tr>
      <w:tr>
        <w:trPr>
          <w:trHeight w:val="20"/>
        </w:trPr>
        <w:tc>
          <w:tcPr>
            <w:tcW w:w="6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900" w:right="160" w:hanging="447"/>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2024 and 2023, includes the sum of net catastrophe losses and loss adjustment expenses of $1,485,648 and $3,742,848,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ectPr>
          <w:pgSz w:w="11900" w:h="16848" w:orient="portrait"/>
          <w:cols w:equalWidth="0" w:num="1">
            <w:col w:w="11240"/>
          </w:cols>
          <w:pgMar w:left="320" w:top="355" w:right="339" w:bottom="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Portfolio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Fixed-Maturity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a breakdown of the amortized cost, estimated fair value, and gross unrealized gains and losses of our investments in fixed-maturity securities classified as available-for-sale for which an allowance for credit loss has not been recorded, as of March 31, 2024 and December 31,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Cost or</w:t>
            </w:r>
          </w:p>
        </w:tc>
        <w:tc>
          <w:tcPr>
            <w:tcW w:w="160" w:type="dxa"/>
            <w:vAlign w:val="bottom"/>
          </w:tcPr>
          <w:p>
            <w:pPr>
              <w:spacing w:after="0"/>
              <w:rPr>
                <w:sz w:val="24"/>
                <w:szCs w:val="24"/>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24"/>
                <w:szCs w:val="24"/>
                <w:color w:val="auto"/>
              </w:rPr>
            </w:pPr>
          </w:p>
        </w:tc>
        <w:tc>
          <w:tcPr>
            <w:tcW w:w="23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00" w:type="dxa"/>
            <w:vAlign w:val="bottom"/>
          </w:tcPr>
          <w:p>
            <w:pPr>
              <w:spacing w:after="0"/>
              <w:rPr>
                <w:sz w:val="24"/>
                <w:szCs w:val="24"/>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187"/>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120" w:type="dxa"/>
            <w:vAlign w:val="bottom"/>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20" w:type="dxa"/>
            <w:vAlign w:val="bottom"/>
            <w:tcBorders>
              <w:top w:val="single" w:sz="8" w:color="auto"/>
            </w:tcBorders>
            <w:gridSpan w:val="3"/>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12</w:t>
            </w:r>
          </w:p>
        </w:tc>
        <w:tc>
          <w:tcPr>
            <w:tcW w:w="108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More than 12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40" w:type="dxa"/>
            <w:vAlign w:val="bottom"/>
            <w:gridSpan w:val="3"/>
          </w:tcPr>
          <w:p>
            <w:pPr>
              <w:jc w:val="center"/>
              <w:ind w:right="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8"/>
        </w:trPr>
        <w:tc>
          <w:tcPr>
            <w:tcW w:w="4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60" w:type="dxa"/>
            <w:vAlign w:val="bottom"/>
          </w:tcPr>
          <w:p>
            <w:pPr>
              <w:spacing w:after="0"/>
              <w:rPr>
                <w:sz w:val="20"/>
                <w:szCs w:val="20"/>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6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00" w:type="dxa"/>
            <w:vAlign w:val="bottom"/>
          </w:tcPr>
          <w:p>
            <w:pPr>
              <w:spacing w:after="0"/>
              <w:rPr>
                <w:sz w:val="20"/>
                <w:szCs w:val="20"/>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4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corporations and agencies (1)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35,735,950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35,707,358</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Political subdivisions of States, Territories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Possessions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16,600,086</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(3,289,577)</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13,310,509</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74,663,044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(6,019,568)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68,643,476</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Residential mortgage and other asset backed securities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50,345,615</w:t>
            </w:r>
          </w:p>
        </w:tc>
        <w:tc>
          <w:tcPr>
            <w:tcW w:w="22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133,220</w:t>
            </w:r>
          </w:p>
        </w:tc>
        <w:tc>
          <w:tcPr>
            <w:tcW w:w="20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(3,266)</w:t>
            </w:r>
          </w:p>
        </w:tc>
        <w:tc>
          <w:tcPr>
            <w:tcW w:w="16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(6,889,842)</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43,585,727</w:t>
            </w:r>
          </w:p>
        </w:tc>
        <w:tc>
          <w:tcPr>
            <w:tcW w:w="10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1"/>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4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fixed-maturity securities</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177,344,695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133,220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(31,858)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(16,198,987)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161,247,070</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160" w:type="dxa"/>
            <w:vAlign w:val="bottom"/>
          </w:tcPr>
          <w:p>
            <w:pPr>
              <w:spacing w:after="0"/>
              <w:rPr>
                <w:sz w:val="24"/>
                <w:szCs w:val="24"/>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24"/>
                <w:szCs w:val="24"/>
                <w:color w:val="auto"/>
              </w:rPr>
            </w:pPr>
          </w:p>
        </w:tc>
        <w:tc>
          <w:tcPr>
            <w:tcW w:w="23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00" w:type="dxa"/>
            <w:vAlign w:val="bottom"/>
          </w:tcPr>
          <w:p>
            <w:pPr>
              <w:spacing w:after="0"/>
              <w:rPr>
                <w:sz w:val="24"/>
                <w:szCs w:val="24"/>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187"/>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120" w:type="dxa"/>
            <w:vAlign w:val="bottom"/>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20" w:type="dxa"/>
            <w:vAlign w:val="bottom"/>
            <w:tcBorders>
              <w:top w:val="single" w:sz="8" w:color="auto"/>
            </w:tcBorders>
            <w:gridSpan w:val="3"/>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12</w:t>
            </w:r>
          </w:p>
        </w:tc>
        <w:tc>
          <w:tcPr>
            <w:tcW w:w="108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More than 12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40" w:type="dxa"/>
            <w:vAlign w:val="bottom"/>
            <w:gridSpan w:val="3"/>
          </w:tcPr>
          <w:p>
            <w:pPr>
              <w:jc w:val="center"/>
              <w:ind w:right="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8"/>
        </w:trPr>
        <w:tc>
          <w:tcPr>
            <w:tcW w:w="4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60" w:type="dxa"/>
            <w:vAlign w:val="bottom"/>
          </w:tcPr>
          <w:p>
            <w:pPr>
              <w:spacing w:after="0"/>
              <w:rPr>
                <w:sz w:val="20"/>
                <w:szCs w:val="20"/>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6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00" w:type="dxa"/>
            <w:vAlign w:val="bottom"/>
          </w:tcPr>
          <w:p>
            <w:pPr>
              <w:spacing w:after="0"/>
              <w:rPr>
                <w:sz w:val="20"/>
                <w:szCs w:val="20"/>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4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corporations and agencies (1)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20,954,764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20,939,190</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Political subdivisions of States, Territories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Possessions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16,607,713</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(3,209,161)</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13,398,552</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75,993,042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(5,885,296)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70,107,746</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Residential mortgage and other asset backed securities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50,905,423</w:t>
            </w:r>
          </w:p>
        </w:tc>
        <w:tc>
          <w:tcPr>
            <w:tcW w:w="22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113,761</w:t>
            </w:r>
          </w:p>
        </w:tc>
        <w:tc>
          <w:tcPr>
            <w:tcW w:w="20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(2,144)</w:t>
            </w:r>
          </w:p>
        </w:tc>
        <w:tc>
          <w:tcPr>
            <w:tcW w:w="16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(6,541,731)</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44,475,309</w:t>
            </w:r>
          </w:p>
        </w:tc>
        <w:tc>
          <w:tcPr>
            <w:tcW w:w="10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1"/>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4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fixed-maturity securities</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164,460,942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115,560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(15,636,188)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148,920,797</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920" w:hanging="467"/>
        <w:spacing w:after="0" w:line="258" w:lineRule="auto"/>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KICO placed certain U.S. Treasury securities to fulfill the required collateral for a sale leaseback transaction in a designated custodian account (see Note 9 – Debt - “Equipment Financing”). As of March 31, 2024 and December 31, 2023, the amount of required collateral was approximately $6,576,000 and $6,999,000, respectively. As of March 31, 2024 and December 31, 2023, the estimated fair value of the U.S. Treasury securities used as eligible collateral was approximately $ 5,969,000 and $11,960,000, respectively. As of March 31, 2024, cash was used to cover the remaining eligible collateral.</w:t>
      </w:r>
    </w:p>
    <w:p>
      <w:pPr>
        <w:spacing w:after="0" w:line="183" w:lineRule="exact"/>
        <w:rPr>
          <w:rFonts w:ascii="Times New Roman" w:cs="Times New Roman" w:eastAsia="Times New Roman" w:hAnsi="Times New Roman"/>
          <w:sz w:val="18"/>
          <w:szCs w:val="18"/>
          <w:color w:val="auto"/>
        </w:rPr>
      </w:pPr>
    </w:p>
    <w:p>
      <w:pPr>
        <w:jc w:val="both"/>
        <w:ind w:left="920" w:hanging="467"/>
        <w:spacing w:after="0" w:line="258" w:lineRule="auto"/>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KICO has placed certain residential mortgage backed securities as eligible collateral in a designated custodian account related to its membership in the Federal Home Loan Bank of New York (“FHLBNY”) (see Note 7 – Debt – “Federal Home Loan Bank”). The eligible collateral would be pledged to FHLBNY if KICO draws an advance from the FHLBNY credit line. As of March 31, 2024, the estimated fair value of the eligible investments was approximately $10,929,000. KICO will retain all rights regarding all securities if pledged as collateral. As of March 31, 2024 and December 31, 2023 there was no outstanding balance on the FHLBNY credit line.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Equity Securities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breakdown of the cost and estimated fair value of, and gross gains and losses on, investments in equity securities as of March 31, 2024 and December 31, 2023:</w:t>
      </w:r>
    </w:p>
    <w:p>
      <w:pPr>
        <w:spacing w:after="0" w:line="158"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19685</wp:posOffset>
            </wp:positionV>
            <wp:extent cx="40633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11" w:lineRule="exact"/>
        <w:rPr>
          <w:sz w:val="20"/>
          <w:szCs w:val="20"/>
          <w:color w:val="auto"/>
        </w:rPr>
      </w:pPr>
    </w:p>
    <w:p>
      <w:pPr>
        <w:ind w:left="6360"/>
        <w:spacing w:after="0"/>
        <w:tabs>
          <w:tab w:leader="none" w:pos="7660" w:val="left"/>
          <w:tab w:leader="none" w:pos="10320" w:val="left"/>
        </w:tabs>
        <w:rPr>
          <w:sz w:val="20"/>
          <w:szCs w:val="20"/>
          <w:color w:val="auto"/>
        </w:rPr>
      </w:pPr>
      <w:r>
        <w:rPr>
          <w:rFonts w:ascii="Times New Roman" w:cs="Times New Roman" w:eastAsia="Times New Roman" w:hAnsi="Times New Roman"/>
          <w:sz w:val="18"/>
          <w:szCs w:val="18"/>
          <w:b w:val="1"/>
          <w:bCs w:val="1"/>
          <w:color w:val="auto"/>
        </w:rPr>
        <w:t>Gross</w:t>
      </w:r>
      <w:r>
        <w:rPr>
          <w:sz w:val="20"/>
          <w:szCs w:val="20"/>
          <w:color w:val="auto"/>
        </w:rPr>
        <w:tab/>
      </w:r>
      <w:r>
        <w:rPr>
          <w:rFonts w:ascii="Times New Roman" w:cs="Times New Roman" w:eastAsia="Times New Roman" w:hAnsi="Times New Roman"/>
          <w:sz w:val="18"/>
          <w:szCs w:val="18"/>
          <w:b w:val="1"/>
          <w:bCs w:val="1"/>
          <w:color w:val="auto"/>
        </w:rPr>
        <w:t>Gross</w:t>
      </w:r>
      <w:r>
        <w:rPr>
          <w:sz w:val="20"/>
          <w:szCs w:val="20"/>
          <w:color w:val="auto"/>
        </w:rPr>
        <w:tab/>
      </w:r>
      <w:r>
        <w:rPr>
          <w:rFonts w:ascii="Times New Roman" w:cs="Times New Roman" w:eastAsia="Times New Roman" w:hAnsi="Times New Roman"/>
          <w:sz w:val="18"/>
          <w:szCs w:val="18"/>
          <w:b w:val="1"/>
          <w:bCs w:val="1"/>
          <w:color w:val="auto"/>
        </w:rPr>
        <w:t>% of</w:t>
      </w:r>
    </w:p>
    <w:p>
      <w:pPr>
        <w:spacing w:after="0" w:line="23" w:lineRule="exact"/>
        <w:rPr>
          <w:sz w:val="20"/>
          <w:szCs w:val="20"/>
          <w:color w:val="auto"/>
        </w:rPr>
      </w:pPr>
    </w:p>
    <w:p>
      <w:pPr>
        <w:ind w:left="6160"/>
        <w:spacing w:after="0"/>
        <w:tabs>
          <w:tab w:leader="none" w:pos="7460" w:val="left"/>
          <w:tab w:leader="none" w:pos="8820" w:val="left"/>
          <w:tab w:leader="none" w:pos="10120" w:val="left"/>
        </w:tabs>
        <w:rPr>
          <w:sz w:val="20"/>
          <w:szCs w:val="20"/>
          <w:color w:val="auto"/>
        </w:rPr>
      </w:pPr>
      <w:r>
        <w:rPr>
          <w:rFonts w:ascii="Times New Roman" w:cs="Times New Roman" w:eastAsia="Times New Roman" w:hAnsi="Times New Roman"/>
          <w:sz w:val="18"/>
          <w:szCs w:val="18"/>
          <w:b w:val="1"/>
          <w:bCs w:val="1"/>
          <w:color w:val="auto"/>
        </w:rPr>
        <w:t>Unrealized</w:t>
      </w:r>
      <w:r>
        <w:rPr>
          <w:sz w:val="20"/>
          <w:szCs w:val="20"/>
          <w:color w:val="auto"/>
        </w:rPr>
        <w:tab/>
      </w:r>
      <w:r>
        <w:rPr>
          <w:rFonts w:ascii="Times New Roman" w:cs="Times New Roman" w:eastAsia="Times New Roman" w:hAnsi="Times New Roman"/>
          <w:sz w:val="18"/>
          <w:szCs w:val="18"/>
          <w:b w:val="1"/>
          <w:bCs w:val="1"/>
          <w:color w:val="auto"/>
        </w:rPr>
        <w:t>Unrealized</w:t>
      </w:r>
      <w:r>
        <w:rPr>
          <w:sz w:val="20"/>
          <w:szCs w:val="20"/>
          <w:color w:val="auto"/>
        </w:rPr>
        <w:tab/>
      </w:r>
      <w:r>
        <w:rPr>
          <w:rFonts w:ascii="Times New Roman" w:cs="Times New Roman" w:eastAsia="Times New Roman" w:hAnsi="Times New Roman"/>
          <w:sz w:val="18"/>
          <w:szCs w:val="18"/>
          <w:b w:val="1"/>
          <w:bCs w:val="1"/>
          <w:color w:val="auto"/>
        </w:rPr>
        <w:t>Estimated</w:t>
      </w:r>
      <w:r>
        <w:rPr>
          <w:sz w:val="20"/>
          <w:szCs w:val="20"/>
          <w:color w:val="auto"/>
        </w:rPr>
        <w:tab/>
      </w:r>
      <w:r>
        <w:rPr>
          <w:rFonts w:ascii="Times New Roman" w:cs="Times New Roman" w:eastAsia="Times New Roman" w:hAnsi="Times New Roman"/>
          <w:sz w:val="18"/>
          <w:szCs w:val="18"/>
          <w:b w:val="1"/>
          <w:bCs w:val="1"/>
          <w:color w:val="auto"/>
        </w:rPr>
        <w:t>Estimated</w:t>
      </w:r>
    </w:p>
    <w:p>
      <w:pPr>
        <w:sectPr>
          <w:pgSz w:w="11900" w:h="16838" w:orient="portrait"/>
          <w:cols w:equalWidth="0" w:num="1">
            <w:col w:w="11240"/>
          </w:cols>
          <w:pgMar w:left="320" w:top="333" w:right="339" w:bottom="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45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426"/>
        </w:trPr>
        <w:tc>
          <w:tcPr>
            <w:tcW w:w="4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stocks</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11,815,602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(2,246,277)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9,569,325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exchange traded funds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3,711,232</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(723,832)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2,987,400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523,320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387,388</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910,708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FHLBNY common stock</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69,400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16,119,554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387,388</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(2,970,109)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13,536,833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87"/>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425"/>
        </w:trPr>
        <w:tc>
          <w:tcPr>
            <w:tcW w:w="4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stocks</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13,583,942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(2,870,027)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10,713,915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72.6%</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exchange traded funds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3,711,232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(669,232)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3,042,000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622,209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314,816</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937,025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FHLBNY common stock</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69,400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17,986,783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314,816</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(3,539,259)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14,762,340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Other Investments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breakdown of the cost and estimated fair value of, and gross gains on our other investments as of March 31, 2024 and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87"/>
        </w:trPr>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8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6"/>
                <w:szCs w:val="16"/>
                <w:color w:val="auto"/>
              </w:rPr>
            </w:pPr>
          </w:p>
        </w:tc>
      </w:tr>
      <w:tr>
        <w:trPr>
          <w:trHeight w:val="238"/>
        </w:trPr>
        <w:tc>
          <w:tcPr>
            <w:tcW w:w="4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425"/>
        </w:trPr>
        <w:tc>
          <w:tcPr>
            <w:tcW w:w="49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4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Hedge fund</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$ 1,987,040</w:t>
            </w:r>
          </w:p>
        </w:tc>
        <w:tc>
          <w:tcPr>
            <w:tcW w:w="12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$ 2,087,136</w:t>
            </w: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$ 4,074,176</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$ 1,987,040</w:t>
            </w:r>
          </w:p>
        </w:tc>
        <w:tc>
          <w:tcPr>
            <w:tcW w:w="116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1,910,110</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$ 3,897,150</w:t>
            </w:r>
          </w:p>
        </w:tc>
      </w:tr>
      <w:tr>
        <w:trPr>
          <w:trHeight w:val="845"/>
        </w:trPr>
        <w:tc>
          <w:tcPr>
            <w:tcW w:w="66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23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36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breakdown of the amortized cost and estimated fair value of, and gross unrealized gains and losses on, investments in held-to-maturity securities as of March 31, 2024 and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25"/>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Cost or</w:t>
            </w:r>
          </w:p>
        </w:tc>
        <w:tc>
          <w:tcPr>
            <w:tcW w:w="160" w:type="dxa"/>
            <w:vAlign w:val="bottom"/>
          </w:tcPr>
          <w:p>
            <w:pPr>
              <w:spacing w:after="0"/>
              <w:rPr>
                <w:sz w:val="24"/>
                <w:szCs w:val="2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80" w:type="dxa"/>
            <w:vAlign w:val="bottom"/>
          </w:tcPr>
          <w:p>
            <w:pPr>
              <w:spacing w:after="0"/>
              <w:rPr>
                <w:sz w:val="24"/>
                <w:szCs w:val="24"/>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187"/>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980" w:type="dxa"/>
            <w:vAlign w:val="bottom"/>
            <w:gridSpan w:val="3"/>
          </w:tcPr>
          <w:p>
            <w:pPr>
              <w:jc w:val="center"/>
              <w:ind w:right="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140" w:type="dxa"/>
            <w:vAlign w:val="bottom"/>
            <w:tcBorders>
              <w:top w:val="single" w:sz="8" w:color="auto"/>
            </w:tcBorders>
            <w:gridSpan w:val="3"/>
          </w:tcPr>
          <w:p>
            <w:pPr>
              <w:jc w:val="right"/>
              <w:ind w:right="14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12</w:t>
            </w: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More than 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ind w:right="6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40" w:type="dxa"/>
            <w:vAlign w:val="bottom"/>
            <w:gridSpan w:val="3"/>
          </w:tcPr>
          <w:p>
            <w:pPr>
              <w:jc w:val="center"/>
              <w:ind w:right="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60" w:type="dxa"/>
            <w:vAlign w:val="bottom"/>
          </w:tcPr>
          <w:p>
            <w:pPr>
              <w:spacing w:after="0"/>
              <w:rPr>
                <w:sz w:val="20"/>
                <w:szCs w:val="20"/>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425"/>
        </w:trPr>
        <w:tc>
          <w:tcPr>
            <w:tcW w:w="4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Held-to-Maturity Securities:</w:t>
            </w:r>
          </w:p>
        </w:tc>
        <w:tc>
          <w:tcPr>
            <w:tcW w:w="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$ 1,228,936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(14,906)</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(23,047)</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$ 1,192,801</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 States, Territories and Possessions</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499,306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495,980</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traded debt</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304,111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(64,111)</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240,000</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5,018,899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(903,769)</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4,115,130</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68.2%</w:t>
            </w:r>
          </w:p>
        </w:tc>
      </w:tr>
      <w:tr>
        <w:trPr>
          <w:trHeight w:val="209"/>
        </w:trPr>
        <w:tc>
          <w:tcPr>
            <w:tcW w:w="4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$ 7,051,252</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(18,232)</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(990,927)</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$ 6,043,911</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629"/>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425"/>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Cost or</w:t>
            </w:r>
          </w:p>
        </w:tc>
        <w:tc>
          <w:tcPr>
            <w:tcW w:w="160" w:type="dxa"/>
            <w:vAlign w:val="bottom"/>
          </w:tcPr>
          <w:p>
            <w:pPr>
              <w:spacing w:after="0"/>
              <w:rPr>
                <w:sz w:val="24"/>
                <w:szCs w:val="2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80" w:type="dxa"/>
            <w:vAlign w:val="bottom"/>
          </w:tcPr>
          <w:p>
            <w:pPr>
              <w:spacing w:after="0"/>
              <w:rPr>
                <w:sz w:val="24"/>
                <w:szCs w:val="24"/>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187"/>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980" w:type="dxa"/>
            <w:vAlign w:val="bottom"/>
            <w:gridSpan w:val="3"/>
          </w:tcPr>
          <w:p>
            <w:pPr>
              <w:jc w:val="center"/>
              <w:ind w:right="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140" w:type="dxa"/>
            <w:vAlign w:val="bottom"/>
            <w:tcBorders>
              <w:top w:val="single" w:sz="8" w:color="auto"/>
            </w:tcBorders>
            <w:gridSpan w:val="3"/>
          </w:tcPr>
          <w:p>
            <w:pPr>
              <w:jc w:val="right"/>
              <w:ind w:right="14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12</w:t>
            </w: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More than 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ind w:right="6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40" w:type="dxa"/>
            <w:vAlign w:val="bottom"/>
            <w:gridSpan w:val="3"/>
          </w:tcPr>
          <w:p>
            <w:pPr>
              <w:jc w:val="center"/>
              <w:ind w:right="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60" w:type="dxa"/>
            <w:vAlign w:val="bottom"/>
          </w:tcPr>
          <w:p>
            <w:pPr>
              <w:spacing w:after="0"/>
              <w:rPr>
                <w:sz w:val="20"/>
                <w:szCs w:val="20"/>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425"/>
        </w:trPr>
        <w:tc>
          <w:tcPr>
            <w:tcW w:w="4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Held-to-Maturity Securities:</w:t>
            </w:r>
          </w:p>
        </w:tc>
        <w:tc>
          <w:tcPr>
            <w:tcW w:w="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$ 1,228,860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15,045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(6,914)</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(18,163)</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$ 1,218,828</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448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20" w:type="dxa"/>
            <w:vAlign w:val="bottom"/>
            <w:gridSpan w:val="3"/>
          </w:tcPr>
          <w:p>
            <w:pPr>
              <w:spacing w:after="0"/>
              <w:rPr>
                <w:sz w:val="18"/>
                <w:szCs w:val="18"/>
                <w:color w:val="auto"/>
              </w:rPr>
            </w:pPr>
          </w:p>
        </w:tc>
        <w:tc>
          <w:tcPr>
            <w:tcW w:w="1040" w:type="dxa"/>
            <w:vAlign w:val="bottom"/>
            <w:gridSpan w:val="3"/>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 States, Territories and Possessions</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499,170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500,060</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traded debt</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304,111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(70,111)</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234,000</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5,020,400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(867,140)</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4,153,260</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68.0%</w:t>
            </w:r>
          </w:p>
        </w:tc>
      </w:tr>
      <w:tr>
        <w:trPr>
          <w:trHeight w:val="209"/>
        </w:trPr>
        <w:tc>
          <w:tcPr>
            <w:tcW w:w="4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$ 7,052,541</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15,935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(6,914)</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(955,414)</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$ 6,106,148</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Held-to-maturity U.S. Treasury securities are held in trust pursuant to various states’ minimum fund requirements.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 summary of the amortized cost and fair value of our investments in held-to-maturity securities by contractual maturity as of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is shown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87"/>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6"/>
                <w:szCs w:val="16"/>
                <w:color w:val="auto"/>
              </w:rPr>
            </w:pPr>
          </w:p>
        </w:tc>
      </w:tr>
      <w:tr>
        <w:trPr>
          <w:trHeight w:val="238"/>
        </w:trPr>
        <w:tc>
          <w:tcPr>
            <w:tcW w:w="6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1,121,488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1,087,009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1,121,288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1,097,101</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1,418,024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1,289,190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1,414,911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1,270,770</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4,511,740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3,667,712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4,516,342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3,738,277</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7,051,252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6,043,911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7,052,541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6,106,148</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Credit Rating of Fixed-Maturity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summarizes the credit quality of our available-for-sale fixed-maturity securities as of March 31, 2024 and December 31, 2023 as rated by Standard &amp; Poor’s (or, if unavailable from Standard &amp; Poor’s, then Moody’s, Fitch, or Kroll):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Pr>
          <w:p>
            <w:pPr>
              <w:spacing w:after="0"/>
              <w:rPr>
                <w:sz w:val="20"/>
                <w:szCs w:val="20"/>
                <w:color w:val="auto"/>
              </w:rPr>
            </w:pPr>
          </w:p>
        </w:tc>
        <w:tc>
          <w:tcPr>
            <w:tcW w:w="246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1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1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38"/>
        </w:trPr>
        <w:tc>
          <w:tcPr>
            <w:tcW w:w="128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59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35,707,358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20,939,190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municipal bonds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AAA</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1,814,772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1,836,736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10,259,096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9,872,346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32,696,648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33,228,327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BBB+</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15,004,004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15,042,200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BBB</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16,603,392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21,826,125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BBB-</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2,902,730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BB</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960,710</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corporate and municipal bonds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80,241,352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81,805,734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 backed, asset backed, and other collateralized obligations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AAA</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15,960,714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12,766,471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21,479,001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22,102,169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6,998,225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6,390,752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BBB+</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15,168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CCC</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398,960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413,601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CC</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88,942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91,390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Non rated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372,518</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4,396,322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940" w:type="dxa"/>
            <w:vAlign w:val="bottom"/>
            <w:gridSpan w:val="3"/>
            <w:shd w:val="clear" w:color="auto" w:fill="CCEEFF"/>
          </w:tcPr>
          <w:p>
            <w:pPr>
              <w:ind w:left="420"/>
              <w:spacing w:after="0" w:line="191" w:lineRule="exact"/>
              <w:rPr>
                <w:sz w:val="20"/>
                <w:szCs w:val="20"/>
                <w:color w:val="auto"/>
              </w:rPr>
            </w:pPr>
            <w:r>
              <w:rPr>
                <w:rFonts w:ascii="Times New Roman" w:cs="Times New Roman" w:eastAsia="Times New Roman" w:hAnsi="Times New Roman"/>
                <w:sz w:val="18"/>
                <w:szCs w:val="18"/>
                <w:color w:val="auto"/>
              </w:rPr>
              <w:t>Total residential mortgage backed, asset backed, and other collateralized</w:t>
            </w: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45,298,360</w:t>
            </w:r>
          </w:p>
        </w:tc>
        <w:tc>
          <w:tcPr>
            <w:tcW w:w="220" w:type="dxa"/>
            <w:vAlign w:val="bottom"/>
            <w:vMerge w:val="restart"/>
            <w:shd w:val="clear" w:color="auto" w:fill="CCEEFF"/>
          </w:tcPr>
          <w:p>
            <w:pPr>
              <w:spacing w:after="0"/>
              <w:rPr>
                <w:sz w:val="16"/>
                <w:szCs w:val="16"/>
                <w:color w:val="auto"/>
              </w:rPr>
            </w:pPr>
          </w:p>
        </w:tc>
        <w:tc>
          <w:tcPr>
            <w:tcW w:w="1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46,175,873</w:t>
            </w:r>
          </w:p>
        </w:tc>
        <w:tc>
          <w:tcPr>
            <w:tcW w:w="1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21"/>
        </w:trPr>
        <w:tc>
          <w:tcPr>
            <w:tcW w:w="59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161,247,070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148,920,797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628"/>
        </w:trPr>
        <w:tc>
          <w:tcPr>
            <w:tcW w:w="5840" w:type="dxa"/>
            <w:vAlign w:val="bottom"/>
            <w:tcBorders>
              <w:top w:val="single" w:sz="8" w:color="CCEEFF"/>
              <w:bottom w:val="single" w:sz="8" w:color="auto"/>
            </w:tcBorders>
            <w:gridSpan w:val="2"/>
          </w:tcPr>
          <w:p>
            <w:pPr>
              <w:ind w:left="554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46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average yield by type of fixed-maturity security as of March 31, 2024 and December 31, 2023:</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 and obligations of U.S. government corporations and agencies</w:t>
            </w:r>
          </w:p>
        </w:tc>
        <w:tc>
          <w:tcPr>
            <w:tcW w:w="1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4.94%</w:t>
            </w:r>
          </w:p>
        </w:tc>
        <w:tc>
          <w:tcPr>
            <w:tcW w:w="1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 States, Territories and Possessions</w:t>
            </w:r>
          </w:p>
        </w:tc>
        <w:tc>
          <w:tcPr>
            <w:tcW w:w="1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w:t>
            </w:r>
          </w:p>
        </w:tc>
        <w:tc>
          <w:tcPr>
            <w:tcW w:w="1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0" w:gutter="0" w:footer="0" w:header="0"/>
        </w:sectPr>
      </w:pPr>
    </w:p>
    <w:bookmarkStart w:id="40" w:name="page41"/>
    <w:bookmarkEnd w:id="40"/>
    <w:p>
      <w:pPr>
        <w:spacing w:after="0" w:line="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27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3.62%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 backed securities</w:t>
            </w:r>
          </w:p>
        </w:tc>
        <w:tc>
          <w:tcPr>
            <w:tcW w:w="27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2.76%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3.67%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lists the weighted average maturity and effective duration in years on our fixed-maturity securities as of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29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  December 31, 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effective maturity</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final maturity</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duration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Consideration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March 31, 2024 and December 31, 2023, 67% and 65%, respectively, of the investment portfolio recorded at fair value was priced based upon quoted market prices.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summarizes the gross unrealized losses of our fixed-maturity securities available-for-sale and equity securities by length of time the security has continuously been in an unrealized loss position as of March 3, 2024 and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7"/>
          </w:tcPr>
          <w:p>
            <w:pPr>
              <w:ind w:left="620"/>
              <w:spacing w:after="0"/>
              <w:rPr>
                <w:sz w:val="20"/>
                <w:szCs w:val="20"/>
                <w:color w:val="auto"/>
              </w:rPr>
            </w:pPr>
            <w:r>
              <w:rPr>
                <w:rFonts w:ascii="Times New Roman" w:cs="Times New Roman" w:eastAsia="Times New Roman" w:hAnsi="Times New Roman"/>
                <w:sz w:val="18"/>
                <w:szCs w:val="18"/>
                <w:b w:val="1"/>
                <w:bCs w:val="1"/>
                <w:color w:val="auto"/>
                <w:w w:val="99"/>
              </w:rPr>
              <w:t>Less than 12 months</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5"/>
              </w:rPr>
              <w:t>No.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8"/>
                <w:szCs w:val="18"/>
                <w:color w:val="auto"/>
              </w:rPr>
            </w:pPr>
          </w:p>
        </w:tc>
        <w:tc>
          <w:tcPr>
            <w:tcW w:w="11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0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238"/>
        </w:trPr>
        <w:tc>
          <w:tcPr>
            <w:tcW w:w="2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10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403"/>
        </w:trPr>
        <w:tc>
          <w:tcPr>
            <w:tcW w:w="2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U.S.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corporations and</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agencies</w:t>
            </w:r>
          </w:p>
        </w:tc>
        <w:tc>
          <w:tcPr>
            <w:tcW w:w="11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$35,707,358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(28,592)</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35,707,358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(28,592)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Political subdivisions of</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States, Territories and</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Possessions</w:t>
            </w:r>
          </w:p>
        </w:tc>
        <w:tc>
          <w:tcPr>
            <w:tcW w:w="11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13,310,509</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(3,289,577)</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13,310,509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(3,289,577)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Corporate and other bonds</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1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67,648,476</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(6,019,568)</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67,648,476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(6,019,568)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Residential mortgage and</w:t>
            </w:r>
          </w:p>
        </w:tc>
        <w:tc>
          <w:tcPr>
            <w:tcW w:w="1140" w:type="dxa"/>
            <w:vAlign w:val="bottom"/>
            <w:gridSpan w:val="5"/>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111,165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(3,266)</w:t>
            </w:r>
          </w:p>
        </w:tc>
        <w:tc>
          <w:tcPr>
            <w:tcW w:w="6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37,784,418</w:t>
            </w: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(6,889,842)</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37,895,583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(6,893,108)</w:t>
            </w:r>
          </w:p>
        </w:tc>
        <w:tc>
          <w:tcPr>
            <w:tcW w:w="0" w:type="dxa"/>
            <w:vAlign w:val="bottom"/>
          </w:tcPr>
          <w:p>
            <w:pPr>
              <w:spacing w:after="0"/>
              <w:rPr>
                <w:sz w:val="1"/>
                <w:szCs w:val="1"/>
                <w:color w:val="auto"/>
              </w:rPr>
            </w:pPr>
          </w:p>
        </w:tc>
      </w:tr>
      <w:tr>
        <w:trPr>
          <w:trHeight w:val="221"/>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 backed securities</w:t>
            </w:r>
          </w:p>
        </w:tc>
        <w:tc>
          <w:tcPr>
            <w:tcW w:w="1140" w:type="dxa"/>
            <w:vAlign w:val="bottom"/>
            <w:gridSpan w:val="5"/>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fixed-maturity</w:t>
            </w:r>
          </w:p>
        </w:tc>
        <w:tc>
          <w:tcPr>
            <w:tcW w:w="100" w:type="dxa"/>
            <w:vAlign w:val="bottom"/>
            <w:gridSpan w:val="2"/>
            <w:vMerge w:val="restart"/>
            <w:shd w:val="clear" w:color="auto" w:fill="CCEEFF"/>
          </w:tcPr>
          <w:p>
            <w:pPr>
              <w:spacing w:after="0"/>
              <w:rPr>
                <w:sz w:val="17"/>
                <w:szCs w:val="17"/>
                <w:color w:val="auto"/>
              </w:rPr>
            </w:pPr>
          </w:p>
        </w:tc>
        <w:tc>
          <w:tcPr>
            <w:tcW w:w="10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35,818,523</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(31,858)</w:t>
            </w:r>
          </w:p>
        </w:tc>
        <w:tc>
          <w:tcPr>
            <w:tcW w:w="6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118,743,403</w:t>
            </w: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 (16,198,987)</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154,561,926</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(16,230,845)</w:t>
            </w:r>
          </w:p>
        </w:tc>
        <w:tc>
          <w:tcPr>
            <w:tcW w:w="0" w:type="dxa"/>
            <w:vAlign w:val="bottom"/>
          </w:tcPr>
          <w:p>
            <w:pPr>
              <w:spacing w:after="0"/>
              <w:rPr>
                <w:sz w:val="1"/>
                <w:szCs w:val="1"/>
                <w:color w:val="auto"/>
              </w:rPr>
            </w:pPr>
          </w:p>
        </w:tc>
      </w:tr>
      <w:tr>
        <w:trPr>
          <w:trHeight w:val="234"/>
        </w:trPr>
        <w:tc>
          <w:tcPr>
            <w:tcW w:w="21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gridSpan w:val="2"/>
            <w:vMerge w:val="continue"/>
            <w:shd w:val="clear" w:color="auto" w:fill="CCEEFF"/>
          </w:tcPr>
          <w:p>
            <w:pPr>
              <w:spacing w:after="0"/>
              <w:rPr>
                <w:sz w:val="20"/>
                <w:szCs w:val="20"/>
                <w:color w:val="auto"/>
              </w:rPr>
            </w:pPr>
          </w:p>
        </w:tc>
        <w:tc>
          <w:tcPr>
            <w:tcW w:w="1040" w:type="dxa"/>
            <w:vAlign w:val="bottom"/>
            <w:gridSpan w:val="3"/>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44"/>
        </w:trPr>
        <w:tc>
          <w:tcPr>
            <w:tcW w:w="128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28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9"/>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5"/>
              </w:rPr>
              <w:t>No. of</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8"/>
                <w:szCs w:val="18"/>
                <w:color w:val="auto"/>
              </w:rPr>
            </w:pPr>
          </w:p>
        </w:tc>
        <w:tc>
          <w:tcPr>
            <w:tcW w:w="11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0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238"/>
        </w:trPr>
        <w:tc>
          <w:tcPr>
            <w:tcW w:w="2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Available-for-Sale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11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1115"/>
                    </a:xfrm>
                    <a:prstGeom prst="rect">
                      <a:avLst/>
                    </a:prstGeom>
                    <a:noFill/>
                  </pic:spPr>
                </pic:pic>
              </a:graphicData>
            </a:graphic>
          </wp:anchor>
        </w:drawing>
      </w:r>
    </w:p>
    <w:p>
      <w:pPr>
        <w:sectPr>
          <w:pgSz w:w="11900" w:h="16842" w:orient="portrait"/>
          <w:cols w:equalWidth="0" w:num="1">
            <w:col w:w="11240"/>
          </w:cols>
          <w:pgMar w:left="320" w:top="356" w:right="339" w:bottom="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2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 and</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$ 5,974,440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(17,373)</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5,974,440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(17,373)</w:t>
            </w:r>
          </w:p>
        </w:tc>
        <w:tc>
          <w:tcPr>
            <w:tcW w:w="0" w:type="dxa"/>
            <w:vAlign w:val="bottom"/>
          </w:tcPr>
          <w:p>
            <w:pPr>
              <w:spacing w:after="0"/>
              <w:rPr>
                <w:sz w:val="1"/>
                <w:szCs w:val="1"/>
                <w:color w:val="auto"/>
              </w:rPr>
            </w:pPr>
          </w:p>
        </w:tc>
      </w:tr>
      <w:tr>
        <w:trPr>
          <w:trHeight w:val="216"/>
        </w:trPr>
        <w:tc>
          <w:tcPr>
            <w:tcW w:w="2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U.S.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corporations and</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agencies</w:t>
            </w: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Political subdivisions of</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States, Territories and</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Possessions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13,398,552</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(3,209,161)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13,398,552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(3,209,161)</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Corporate and other bonds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70,107,746</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(5,885,296)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70,107,746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(5,885,296)</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Residential mortgage and other</w:t>
            </w: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88,988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(2,144)</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38,675,604</w:t>
            </w: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(6,541,731)</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38,764,592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(6,543,875)</w:t>
            </w:r>
          </w:p>
        </w:tc>
        <w:tc>
          <w:tcPr>
            <w:tcW w:w="0" w:type="dxa"/>
            <w:vAlign w:val="bottom"/>
          </w:tcPr>
          <w:p>
            <w:pPr>
              <w:spacing w:after="0"/>
              <w:rPr>
                <w:sz w:val="1"/>
                <w:szCs w:val="1"/>
                <w:color w:val="auto"/>
              </w:rPr>
            </w:pPr>
          </w:p>
        </w:tc>
      </w:tr>
      <w:tr>
        <w:trPr>
          <w:trHeight w:val="221"/>
        </w:trPr>
        <w:tc>
          <w:tcPr>
            <w:tcW w:w="2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9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8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fixed-maturity securities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$ 6,063,428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(19,517)</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122,181,902</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 (15,636,188)</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128,245,330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(15,655,705)</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were 140 securities at both March 31, 2024 and December 31, 2023 that accounted for the gross unrealized loss of our fixed-maturity securities available-for-sale, none of which were deemed to be credit losses by us. Significant factors influencing our determination that unrealized losses were temporary included credit quality considerations, the magnitude of the unrealized losses in relation to each security’s cost, the nature of the investment and interest rate environment factors, management’s intent not to sell these securities and it being not more likely than not that we will be required to sell these investments before anticipated recovery of fair value to our cost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primary source of cash flow for our holding company are dividends and distributions received from KICO, which are subject to statutory restrictions. For the three months ended March 31, 2024, KICO did not pay any dividends to us. As of March 31, 2024, KICO had a negative unassigned surplus and currently will not be able to pay any distributions to us without prior regulatory approval. In December 2023, KICO received regulatory approval to pay us a $2,300,000 distribution from paid in capital. KICO intends to pay us the $2,300,000 distribution in the second quarter of 2024.</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KICO is a member of the FHLBNY,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 Investments to our condensed consolidated financial statements for eligible collateral held in a designated custodian account available for future advances. Advances are limited to 5% of KICO’s net admitted assets as of the end of the previous quarter, which is December 31, 2023. On July 6, 2023, A.M. Best withdrew KICO’s ratings as KICO requested to no longer participate in A.M. Best’s interactive rating process. As a result of the withdrawal of A.M. Best ratings, KICO is currently only able to borrow on an overnight basis. The maximum allowable advance as of March 31, 2024, based on the net admitted assets as of December 31, 2023, was approximately $12,512,000. Available collateral as of March 31, 2024 was approximately $10,929,000. Advances are limited to 85% of the amount of available collateral. There were no borrowings under this facility during Three Months 2024.</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December 15, 2022, we issued $19,950,000 of our 2022 Notes pursuant to the Exchange Agreement. We are required to make semi-annual interest payments in arrears on June 30 and December 30 of each year. The maturity date of the 2022 Notes is December 30, 2024.</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aforementioned sources of cash flow currently available are insufficient to cover our holding company debt service and other cash requirements, we will seek to obtain additional financing. See Notes 2 and 7 to our condensed consolidated financial statements included in this Quarterly Report for a discussion of our plans in this regard.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flow and liquidity are categorized into three sources: (1) operating activities; (2) investing activities; and (3) financing activities, which are shown in the following table:</w:t>
      </w:r>
    </w:p>
    <w:p>
      <w:pPr>
        <w:spacing w:after="0" w:line="158"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Three Months ended March 31,</w:t>
            </w:r>
          </w:p>
        </w:tc>
        <w:tc>
          <w:tcPr>
            <w:tcW w:w="10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425"/>
        </w:trPr>
        <w:tc>
          <w:tcPr>
            <w:tcW w:w="7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flows (used in) provided by:</w:t>
            </w:r>
          </w:p>
        </w:tc>
        <w:tc>
          <w:tcPr>
            <w:tcW w:w="1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6,098,220</w:t>
            </w:r>
          </w:p>
        </w:tc>
        <w:tc>
          <w:tcPr>
            <w:tcW w:w="18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(3,366,805)</w:t>
            </w:r>
          </w:p>
        </w:tc>
      </w:tr>
      <w:tr>
        <w:trPr>
          <w:trHeight w:val="216"/>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(11,587,350)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2,189,590</w:t>
            </w: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(288,568)</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(280,260)</w:t>
            </w:r>
          </w:p>
        </w:tc>
      </w:tr>
      <w:tr>
        <w:trPr>
          <w:trHeight w:val="20"/>
        </w:trPr>
        <w:tc>
          <w:tcPr>
            <w:tcW w:w="7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30" w:right="339" w:bottom="0" w:gutter="0" w:footer="0" w:header="0"/>
        </w:sectPr>
      </w:pPr>
    </w:p>
    <w:bookmarkStart w:id="42" w:name="page43"/>
    <w:bookmarkEnd w:id="42"/>
    <w:p>
      <w:pPr>
        <w:spacing w:after="0" w:line="3"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(5,777,698)</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(1,457,475)</w:t>
            </w: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8,976,998</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11,958,228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3,199,300</w:t>
            </w: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$ 10,500,753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$6,098,000 in Three Months 2024 as compared to $3,367,000 used in operating activities in Three Months 2023. The $9,645,000 increase in cash flows provided by operating activities in Three Months 2024 as compared to Three Months 2023 was primarily the result of an increase in net income from net loss (adjusted for non-cash items) of $8,410,000 and in cash provided arising from net fluctuations in operating assets and liabilities. The net fluctuations in assets and liabilities are related to operating activities of KICO as affected by growth or declines in its operations, payments on claims and other changes, which are described above.</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used by investing activities was $11,587,000 in Three Months 2024 compared to $2,190,000 provided by investing activities in Three Months 2023 resulting in a $13,777,000 increase in net cash used by investing activities. In Three Months 2024, we had net cash provided by our investment portfolio of $34,579,000, compared to $13,630,000 used in Three Months 2023.</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$289,000 in Three Months 2024 compared to $280,000 used in Three Months 2023. Net cash used in financing activities are primarily principal payments on equipment financing debt in connection with KICO’s sale-leaseback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Effective December 31, 2021, we entered into a quota share reinsurance treaty for our personal lines business, which primarily consisted of homeowners’ and dwelling fire policies, covering the period from December 31, 2021 through January 1, 2023 (“2021/2023 Treaty”). Upon the expiration of the 2021/2023 Treaty on January 1, 2023, we entered into a new quota share reinsurance treaty for our personal lines business, covering the period from January 1, 2023 through January 1, 2024 (“2023/2024 Treaty”). Upon the expiration of the 2023/2024 Treaty on January 1, 2024, we entered into a new 27% quota share reinsurance treaty for our personal lines business, covering the period from January 1, 2024 through January 1, 2025 (“2024/2025 Treaty”).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entered into new excess of loss and catastrophe reinsurance treaties effective July 1, 2023. Effective January 1, 2022, we entered into an underlying excess of loss reinsurance treaty (“Underlying XOL Treaty”) covering the period from January 1, 2022 through January 1, 2023. The Underlying XOL Treaty provided 50% reinsurance coverage for losses of $400,000 in excess of $600,000. Losses from named storms are excluded from the Underlying XOL Treaty. Effective January 1, 2023, the Underlying XOL Treaty was renewed covering the period from January 1, 2023 through January 1, 2024. Effective January 1, 2024, the Underlying XOL Treaty was renewed covering the period from January 1, 2024 through January 1, 2025. Material terms for our reinsurance treaties in effect for the treaty years shown below are as follows: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Treaty Period</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2024/2025 Treaty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2023/2024 Treaty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2021/2023 Treaty</w:t>
            </w:r>
          </w:p>
        </w:tc>
        <w:tc>
          <w:tcPr>
            <w:tcW w:w="160" w:type="dxa"/>
            <w:vAlign w:val="bottom"/>
          </w:tcPr>
          <w:p>
            <w:pPr>
              <w:spacing w:after="0"/>
              <w:rPr>
                <w:sz w:val="18"/>
                <w:szCs w:val="18"/>
                <w:color w:val="auto"/>
              </w:rPr>
            </w:pPr>
          </w:p>
        </w:tc>
      </w:tr>
      <w:tr>
        <w:trPr>
          <w:trHeight w:val="187"/>
        </w:trPr>
        <w:tc>
          <w:tcPr>
            <w:tcW w:w="12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July 1,</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7"/>
              </w:rPr>
              <w:t>January 1,</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500"/>
              <w:spacing w:after="0" w:line="188" w:lineRule="exact"/>
              <w:rPr>
                <w:sz w:val="20"/>
                <w:szCs w:val="20"/>
                <w:color w:val="auto"/>
              </w:rPr>
            </w:pPr>
            <w:r>
              <w:rPr>
                <w:rFonts w:ascii="Times New Roman" w:cs="Times New Roman" w:eastAsia="Times New Roman" w:hAnsi="Times New Roman"/>
                <w:sz w:val="18"/>
                <w:szCs w:val="18"/>
                <w:b w:val="1"/>
                <w:bCs w:val="1"/>
                <w:color w:val="auto"/>
              </w:rPr>
              <w:t>July 1,</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500"/>
              <w:spacing w:after="0" w:line="188" w:lineRule="exact"/>
              <w:rPr>
                <w:sz w:val="20"/>
                <w:szCs w:val="20"/>
                <w:color w:val="auto"/>
              </w:rPr>
            </w:pPr>
            <w:r>
              <w:rPr>
                <w:rFonts w:ascii="Times New Roman" w:cs="Times New Roman" w:eastAsia="Times New Roman" w:hAnsi="Times New Roman"/>
                <w:sz w:val="18"/>
                <w:szCs w:val="18"/>
                <w:b w:val="1"/>
                <w:bCs w:val="1"/>
                <w:color w:val="auto"/>
              </w:rPr>
              <w:t>July 1,</w:t>
            </w:r>
          </w:p>
        </w:tc>
        <w:tc>
          <w:tcPr>
            <w:tcW w:w="1080" w:type="dxa"/>
            <w:vAlign w:val="bottom"/>
            <w:tcBorders>
              <w:top w:val="single" w:sz="8" w:color="auto"/>
            </w:tcBorders>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16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to</w:t>
            </w: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to</w:t>
            </w: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to</w:t>
            </w: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16"/>
        </w:trPr>
        <w:tc>
          <w:tcPr>
            <w:tcW w:w="1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January 1,</w:t>
            </w: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35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Line of Business</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r>
      <w:tr>
        <w:trPr>
          <w:trHeight w:val="407"/>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Homeowners,  dwelling  fire  and  canine  legal</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liability</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3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Quota share treaty:</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6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Percent ceded (7)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198"/>
        </w:trPr>
        <w:tc>
          <w:tcPr>
            <w:tcW w:w="368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Risk retained on intial $1,000,000 of losses</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 (6) (7)</w:t>
            </w: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730,000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700,000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700,000</w:t>
            </w:r>
          </w:p>
        </w:tc>
      </w:tr>
      <w:tr>
        <w:trPr>
          <w:trHeight w:val="216"/>
        </w:trPr>
        <w:tc>
          <w:tcPr>
            <w:tcW w:w="12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8"/>
        </w:trPr>
        <w:tc>
          <w:tcPr>
            <w:tcW w:w="368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Losses per occurrence subject to quota share</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reinsurance coverage</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1,000,000</w:t>
            </w:r>
          </w:p>
        </w:tc>
      </w:tr>
      <w:tr>
        <w:trPr>
          <w:trHeight w:val="198"/>
        </w:trPr>
        <w:tc>
          <w:tcPr>
            <w:tcW w:w="3680" w:type="dxa"/>
            <w:vAlign w:val="bottom"/>
            <w:gridSpan w:val="3"/>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Expiration date</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360"/>
              <w:spacing w:after="0" w:line="198" w:lineRule="exact"/>
              <w:rPr>
                <w:sz w:val="20"/>
                <w:szCs w:val="20"/>
                <w:color w:val="auto"/>
              </w:rPr>
            </w:pPr>
            <w:r>
              <w:rPr>
                <w:rFonts w:ascii="Times New Roman" w:cs="Times New Roman" w:eastAsia="Times New Roman" w:hAnsi="Times New Roman"/>
                <w:sz w:val="18"/>
                <w:szCs w:val="18"/>
                <w:color w:val="auto"/>
                <w:w w:val="99"/>
              </w:rPr>
              <w:t>January 1,</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340"/>
              <w:spacing w:after="0" w:line="198" w:lineRule="exact"/>
              <w:rPr>
                <w:sz w:val="20"/>
                <w:szCs w:val="20"/>
                <w:color w:val="auto"/>
              </w:rPr>
            </w:pPr>
            <w:r>
              <w:rPr>
                <w:rFonts w:ascii="Times New Roman" w:cs="Times New Roman" w:eastAsia="Times New Roman" w:hAnsi="Times New Roman"/>
                <w:sz w:val="18"/>
                <w:szCs w:val="18"/>
                <w:color w:val="auto"/>
                <w:w w:val="99"/>
              </w:rPr>
              <w:t>January 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400"/>
              <w:spacing w:after="0" w:line="198" w:lineRule="exact"/>
              <w:rPr>
                <w:sz w:val="20"/>
                <w:szCs w:val="20"/>
                <w:color w:val="auto"/>
              </w:rPr>
            </w:pPr>
            <w:r>
              <w:rPr>
                <w:rFonts w:ascii="Times New Roman" w:cs="Times New Roman" w:eastAsia="Times New Roman" w:hAnsi="Times New Roman"/>
                <w:sz w:val="18"/>
                <w:szCs w:val="18"/>
                <w:color w:val="auto"/>
                <w:w w:val="99"/>
              </w:rPr>
              <w:t>January 1,</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340"/>
              <w:spacing w:after="0" w:line="198" w:lineRule="exact"/>
              <w:rPr>
                <w:sz w:val="20"/>
                <w:szCs w:val="20"/>
                <w:color w:val="auto"/>
              </w:rPr>
            </w:pPr>
            <w:r>
              <w:rPr>
                <w:rFonts w:ascii="Times New Roman" w:cs="Times New Roman" w:eastAsia="Times New Roman" w:hAnsi="Times New Roman"/>
                <w:sz w:val="18"/>
                <w:szCs w:val="18"/>
                <w:color w:val="auto"/>
                <w:w w:val="99"/>
              </w:rPr>
              <w:t>January 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360"/>
              <w:spacing w:after="0" w:line="198" w:lineRule="exact"/>
              <w:rPr>
                <w:sz w:val="20"/>
                <w:szCs w:val="20"/>
                <w:color w:val="auto"/>
              </w:rPr>
            </w:pPr>
            <w:r>
              <w:rPr>
                <w:rFonts w:ascii="Times New Roman" w:cs="Times New Roman" w:eastAsia="Times New Roman" w:hAnsi="Times New Roman"/>
                <w:sz w:val="18"/>
                <w:szCs w:val="18"/>
                <w:color w:val="auto"/>
                <w:w w:val="99"/>
              </w:rPr>
              <w:t>January 1,</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300"/>
              <w:spacing w:after="0" w:line="198" w:lineRule="exact"/>
              <w:rPr>
                <w:sz w:val="20"/>
                <w:szCs w:val="20"/>
                <w:color w:val="auto"/>
              </w:rPr>
            </w:pPr>
            <w:r>
              <w:rPr>
                <w:rFonts w:ascii="Times New Roman" w:cs="Times New Roman" w:eastAsia="Times New Roman" w:hAnsi="Times New Roman"/>
                <w:sz w:val="18"/>
                <w:szCs w:val="18"/>
                <w:color w:val="auto"/>
                <w:w w:val="99"/>
              </w:rPr>
              <w:t>January 1,</w:t>
            </w:r>
          </w:p>
        </w:tc>
      </w:tr>
      <w:tr>
        <w:trPr>
          <w:trHeight w:val="234"/>
        </w:trPr>
        <w:tc>
          <w:tcPr>
            <w:tcW w:w="128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2023</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20"/>
                <w:szCs w:val="20"/>
                <w:color w:val="auto"/>
              </w:rPr>
            </w:pPr>
          </w:p>
        </w:tc>
      </w:tr>
      <w:tr>
        <w:trPr>
          <w:trHeight w:val="216"/>
        </w:trPr>
        <w:tc>
          <w:tcPr>
            <w:tcW w:w="1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680" w:type="dxa"/>
            <w:vAlign w:val="bottom"/>
            <w:gridSpan w:val="3"/>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Excess of loss coverage and facultative</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6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facility coverage (1) (5) (6)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8,400,000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8,400,000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8,400,000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8,400,000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8,400,000</w:t>
            </w:r>
          </w:p>
        </w:tc>
      </w:tr>
      <w:tr>
        <w:trPr>
          <w:trHeight w:val="216"/>
        </w:trPr>
        <w:tc>
          <w:tcPr>
            <w:tcW w:w="1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excess of</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excess of</w:t>
            </w: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in excess of</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excess of</w:t>
            </w: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in excess of</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excess of</w:t>
            </w:r>
          </w:p>
        </w:tc>
      </w:tr>
      <w:tr>
        <w:trPr>
          <w:trHeight w:val="216"/>
        </w:trPr>
        <w:tc>
          <w:tcPr>
            <w:tcW w:w="12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600,000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600,000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1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68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Total reinsurance coverage per occurrence (5)</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w:t>
            </w:r>
          </w:p>
        </w:tc>
        <w:tc>
          <w:tcPr>
            <w:tcW w:w="2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8,470,000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8,500,000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8,500,000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8,500,000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8,500,000</w:t>
            </w:r>
          </w:p>
        </w:tc>
      </w:tr>
      <w:tr>
        <w:trPr>
          <w:trHeight w:val="216"/>
        </w:trPr>
        <w:tc>
          <w:tcPr>
            <w:tcW w:w="1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68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Losses per occurrence subject to reinsurance</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coverage (6)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9,000,000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9,000,000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9,000,000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9,000,000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9,000,000</w:t>
            </w:r>
          </w:p>
        </w:tc>
      </w:tr>
      <w:tr>
        <w:trPr>
          <w:trHeight w:val="198"/>
        </w:trPr>
        <w:tc>
          <w:tcPr>
            <w:tcW w:w="368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Expiration date</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w w:val="99"/>
              </w:rPr>
              <w:t>June 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80"/>
              <w:spacing w:after="0" w:line="198" w:lineRule="exact"/>
              <w:rPr>
                <w:sz w:val="20"/>
                <w:szCs w:val="20"/>
                <w:color w:val="auto"/>
              </w:rPr>
            </w:pPr>
            <w:r>
              <w:rPr>
                <w:rFonts w:ascii="Times New Roman" w:cs="Times New Roman" w:eastAsia="Times New Roman" w:hAnsi="Times New Roman"/>
                <w:sz w:val="18"/>
                <w:szCs w:val="18"/>
                <w:color w:val="auto"/>
                <w:w w:val="99"/>
              </w:rPr>
              <w:t>June 30,</w:t>
            </w:r>
          </w:p>
        </w:tc>
        <w:tc>
          <w:tcPr>
            <w:tcW w:w="100" w:type="dxa"/>
            <w:vAlign w:val="bottom"/>
          </w:tcPr>
          <w:p>
            <w:pPr>
              <w:spacing w:after="0"/>
              <w:rPr>
                <w:sz w:val="17"/>
                <w:szCs w:val="17"/>
                <w:color w:val="auto"/>
              </w:rPr>
            </w:pPr>
          </w:p>
        </w:tc>
        <w:tc>
          <w:tcPr>
            <w:tcW w:w="112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w w:val="99"/>
              </w:rPr>
              <w:t>June 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80"/>
              <w:spacing w:after="0" w:line="198" w:lineRule="exact"/>
              <w:rPr>
                <w:sz w:val="20"/>
                <w:szCs w:val="20"/>
                <w:color w:val="auto"/>
              </w:rPr>
            </w:pPr>
            <w:r>
              <w:rPr>
                <w:rFonts w:ascii="Times New Roman" w:cs="Times New Roman" w:eastAsia="Times New Roman" w:hAnsi="Times New Roman"/>
                <w:sz w:val="18"/>
                <w:szCs w:val="18"/>
                <w:color w:val="auto"/>
                <w:w w:val="99"/>
              </w:rPr>
              <w:t>June 30,</w:t>
            </w:r>
          </w:p>
        </w:tc>
        <w:tc>
          <w:tcPr>
            <w:tcW w:w="120" w:type="dxa"/>
            <w:vAlign w:val="bottom"/>
          </w:tcPr>
          <w:p>
            <w:pPr>
              <w:spacing w:after="0"/>
              <w:rPr>
                <w:sz w:val="17"/>
                <w:szCs w:val="17"/>
                <w:color w:val="auto"/>
              </w:rPr>
            </w:pPr>
          </w:p>
        </w:tc>
        <w:tc>
          <w:tcPr>
            <w:tcW w:w="112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9"/>
              </w:rPr>
              <w:t>June 30,</w:t>
            </w:r>
          </w:p>
        </w:tc>
      </w:tr>
      <w:tr>
        <w:trPr>
          <w:trHeight w:val="234"/>
        </w:trPr>
        <w:tc>
          <w:tcPr>
            <w:tcW w:w="1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0"/>
                <w:szCs w:val="20"/>
                <w:color w:val="auto"/>
              </w:rPr>
            </w:pPr>
          </w:p>
        </w:tc>
      </w:tr>
      <w:tr>
        <w:trPr>
          <w:trHeight w:val="216"/>
        </w:trPr>
        <w:tc>
          <w:tcPr>
            <w:tcW w:w="12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color w:val="auto"/>
        </w:rPr>
        <w:t>Catastrophe 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11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1115"/>
                    </a:xfrm>
                    <a:prstGeom prst="rect">
                      <a:avLst/>
                    </a:prstGeom>
                    <a:noFill/>
                  </pic:spPr>
                </pic:pic>
              </a:graphicData>
            </a:graphic>
          </wp:anchor>
        </w:drawing>
      </w:r>
    </w:p>
    <w:p>
      <w:pPr>
        <w:sectPr>
          <w:pgSz w:w="11900" w:h="16842" w:orient="portrait"/>
          <w:cols w:equalWidth="0" w:num="1">
            <w:col w:w="11240"/>
          </w:cols>
          <w:pgMar w:left="320" w:top="117" w:right="339" w:bottom="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Initial loss subject to personal lines quota</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$10,000,000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10,000,000</w:t>
            </w:r>
          </w:p>
        </w:tc>
      </w:tr>
      <w:tr>
        <w:trPr>
          <w:trHeight w:val="234"/>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 treaty (6)</w:t>
            </w: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6"/>
        </w:trPr>
        <w:tc>
          <w:tcPr>
            <w:tcW w:w="3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8"/>
        </w:trPr>
        <w:tc>
          <w:tcPr>
            <w:tcW w:w="35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Risk retained per catastrophe occurrence (7)</w:t>
            </w: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9,500,000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8,750,000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8,750,000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7,400,000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7,400,000</w:t>
            </w:r>
          </w:p>
        </w:tc>
      </w:tr>
      <w:tr>
        <w:trPr>
          <w:trHeight w:val="216"/>
        </w:trPr>
        <w:tc>
          <w:tcPr>
            <w:tcW w:w="3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8"/>
        </w:trPr>
        <w:tc>
          <w:tcPr>
            <w:tcW w:w="35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Catastrophe loss coverage in excess of quota</w:t>
            </w: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 coverage (2)</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315,000,000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7"/>
              </w:rPr>
              <w:t>315,000,000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7"/>
              </w:rPr>
              <w:t>335,000,000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7"/>
              </w:rPr>
              <w:t>335,000,000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490,000,000</w:t>
            </w:r>
          </w:p>
        </w:tc>
      </w:tr>
      <w:tr>
        <w:trPr>
          <w:trHeight w:val="216"/>
        </w:trPr>
        <w:tc>
          <w:tcPr>
            <w:tcW w:w="3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Reinstatement premium protection (3) (4)</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Yes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Yes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Yes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Yes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Yes</w:t>
            </w:r>
          </w:p>
        </w:tc>
      </w:tr>
    </w:tbl>
    <w:p>
      <w:pPr>
        <w:spacing w:after="0" w:line="198" w:lineRule="exact"/>
        <w:rPr>
          <w:sz w:val="20"/>
          <w:szCs w:val="20"/>
          <w:color w:val="auto"/>
        </w:rPr>
      </w:pPr>
    </w:p>
    <w:p>
      <w:pPr>
        <w:ind w:left="900" w:right="20" w:hanging="447"/>
        <w:spacing w:after="0" w:line="261"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personal lines, includes the addition of an automatic facultative facility allowing KICO to obtain homeowners single risk coverage up to $9,000,000 in total insured value, which covers direct losses from $3,500,000 to $9,000,000 through June 30, 2024.</w:t>
      </w:r>
    </w:p>
    <w:p>
      <w:pPr>
        <w:ind w:left="900" w:hanging="447"/>
        <w:spacing w:after="0" w:line="250"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Catastrophe coverage is limited on an annual basis to two times the per occurrence amounts. Duration of 168 consecutive hours for a catastrophe occurrence from windstorm, hail, tornado, hurricane and cyclone.</w:t>
      </w:r>
    </w:p>
    <w:p>
      <w:pPr>
        <w:ind w:left="900" w:hanging="447"/>
        <w:spacing w:after="0" w:line="250"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December 31, 2021 through June 30, 2022, reinstatement premium protection for $70,000,000 of catastrophe coverage in excess of $10,000,000.</w:t>
      </w:r>
    </w:p>
    <w:p>
      <w:pPr>
        <w:jc w:val="both"/>
        <w:ind w:left="900" w:hanging="447"/>
        <w:spacing w:after="0" w:line="250"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July 1, 2022 through June 30, 2023, reinstatement premium protection for $12,500,000 of catastrophe coverage in excess of $10,000,000. For the period July 1, 2023 through June 30, 2024 (expiration date of the catastrophe reinsurance treaty), reinstatement premium protection for $50,000,000 of catastrophe coverage in excess of $10,000,000.</w:t>
      </w:r>
    </w:p>
    <w:p>
      <w:pPr>
        <w:spacing w:after="0" w:line="1" w:lineRule="exact"/>
        <w:rPr>
          <w:rFonts w:ascii="Times New Roman" w:cs="Times New Roman" w:eastAsia="Times New Roman" w:hAnsi="Times New Roman"/>
          <w:sz w:val="18"/>
          <w:szCs w:val="18"/>
          <w:color w:val="auto"/>
        </w:rPr>
      </w:pPr>
    </w:p>
    <w:p>
      <w:pPr>
        <w:jc w:val="both"/>
        <w:ind w:left="900" w:hanging="447"/>
        <w:spacing w:after="0" w:line="250"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January 1, 2022 through January 1, 2025, underlying excess of loss treaty provides 50% reinsurance coverage for losses of $400,000 in excess of $600,000. Excludes losses from named storms. Reduces retention to $500,000 from $700,000 under the 2021/2023 Treaty and 2023/2024 Treaty. Reduces retention to $530,000 from $730,000 under the 2024/2025 Treaty.</w:t>
      </w:r>
    </w:p>
    <w:p>
      <w:pPr>
        <w:spacing w:after="0" w:line="1" w:lineRule="exact"/>
        <w:rPr>
          <w:rFonts w:ascii="Times New Roman" w:cs="Times New Roman" w:eastAsia="Times New Roman" w:hAnsi="Times New Roman"/>
          <w:sz w:val="18"/>
          <w:szCs w:val="18"/>
          <w:color w:val="auto"/>
        </w:rPr>
      </w:pPr>
    </w:p>
    <w:p>
      <w:pPr>
        <w:jc w:val="both"/>
        <w:ind w:left="900" w:hanging="447"/>
        <w:spacing w:after="0" w:line="250"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of loss coverage and facultative facility and catastrophe reinsurance treaties will expire on June 30, 2024, with none of these coverages to be in effect during the period from July 1 2024 through January 1, 2025. If and when these treaties are renewed on July 1, 2024, the excess of loss and facultative facility, and the catastrophe reinsurance treaty, will be as provided for therein. Reinsurance coverage in effect from July 1, 2024 through January 1, 2025 is currently only covered under the 2024/2025 Treaty and underlying excess of loss reinsurance treaty. The 2024/2025 Treaty and underlying excess of loss reinsurance treaty will expire on January 1, 2025.</w:t>
      </w:r>
    </w:p>
    <w:p>
      <w:pPr>
        <w:spacing w:after="0" w:line="1" w:lineRule="exact"/>
        <w:rPr>
          <w:rFonts w:ascii="Times New Roman" w:cs="Times New Roman" w:eastAsia="Times New Roman" w:hAnsi="Times New Roman"/>
          <w:sz w:val="18"/>
          <w:szCs w:val="18"/>
          <w:color w:val="auto"/>
        </w:rPr>
      </w:pPr>
    </w:p>
    <w:p>
      <w:pPr>
        <w:jc w:val="both"/>
        <w:ind w:left="900" w:hanging="447"/>
        <w:spacing w:after="0" w:line="250"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2021/2023 Treaty, 4% of the 30% total of losses ceded under this treaty are excluded from a named catastrophe event. For the 2023/2024 Treaty, 17.5% of the 30% total of losses ceded under this treaty are excluded from a named catastrophe event. For the 2024/2025 Treaty, 22% of the 27% total of losses ceded under this treaty are excluded from a named catastrophe event.</w:t>
      </w:r>
    </w:p>
    <w:p>
      <w:pPr>
        <w:spacing w:after="0" w:line="1"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losses in excess of catastrophe coverage.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53"/>
        </w:trPr>
        <w:tc>
          <w:tcPr>
            <w:tcW w:w="1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Treaty Year</w:t>
            </w:r>
          </w:p>
        </w:tc>
      </w:tr>
      <w:tr>
        <w:trPr>
          <w:trHeight w:val="187"/>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July 1, 2023</w:t>
            </w: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July 1, 2022</w:t>
            </w:r>
          </w:p>
        </w:tc>
        <w:tc>
          <w:tcPr>
            <w:tcW w:w="16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8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38"/>
        </w:trPr>
        <w:tc>
          <w:tcPr>
            <w:tcW w:w="84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Line of Business</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60" w:type="dxa"/>
            <w:vAlign w:val="bottom"/>
          </w:tcPr>
          <w:p>
            <w:pPr>
              <w:spacing w:after="0"/>
              <w:rPr>
                <w:sz w:val="20"/>
                <w:szCs w:val="20"/>
                <w:color w:val="auto"/>
              </w:rPr>
            </w:pPr>
          </w:p>
        </w:tc>
      </w:tr>
      <w:tr>
        <w:trPr>
          <w:trHeight w:val="385"/>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Personal Umbrella</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86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Quota share treaty:</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860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Percent ceded - first $1,000,000 of coverage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6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Percent ceded - excess of $1,000,000 dollars of coverage</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860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Risk retained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86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Total reinsurance coverage per occurrence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4,700,000</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4,700,000</w:t>
            </w:r>
          </w:p>
        </w:tc>
      </w:tr>
      <w:tr>
        <w:trPr>
          <w:trHeight w:val="216"/>
        </w:trPr>
        <w:tc>
          <w:tcPr>
            <w:tcW w:w="860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Losses per occurrence subject to quota share reinsurance coverage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86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Expiration date</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June 30, 2024</w:t>
            </w:r>
          </w:p>
        </w:tc>
        <w:tc>
          <w:tcPr>
            <w:tcW w:w="8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2023</w:t>
            </w:r>
          </w:p>
        </w:tc>
      </w:tr>
      <w:tr>
        <w:trPr>
          <w:trHeight w:val="216"/>
        </w:trPr>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u w:val="single" w:color="auto"/>
          <w:color w:val="auto"/>
        </w:rPr>
        <w:t>Commercial Lines (1)</w:t>
      </w:r>
    </w:p>
    <w:p>
      <w:pPr>
        <w:spacing w:after="0" w:line="207" w:lineRule="exact"/>
        <w:rPr>
          <w:sz w:val="20"/>
          <w:szCs w:val="20"/>
          <w:color w:val="auto"/>
        </w:rPr>
      </w:pPr>
    </w:p>
    <w:p>
      <w:pPr>
        <w:ind w:left="900" w:hanging="447"/>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on all commercial lines policies expired in September 2020; reinsurance coverage is based on treaties in effect on the date of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Fluctuations in rates of inflation also influence interest rates, which in turn impact the market value of our investment portfolio and yields on new investments. Operating expenses, including salaries and benefits, generally are impacted by inflation.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the rate of inflation has moderated in 2024, Three Months 2024 still include the continuing effects of prior years’ economic inflation, which resulted in a sustained increase in interest rates, a widening of credit spreads, lower public equity valuations, and significant financial market volatility. The higher interest rates and widening of credit spreads reduced the value of our fixed income securities in Three Months 2024, which lowered our stockholders’ equity. For Three Months 2024, the continuing effects of prior economic inflation impacted our loss and loss adjustment expenses as well; should these trends continue in the near-term, it would in all likelihood negatively impact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ectPr>
          <w:pgSz w:w="11900" w:h="16838" w:orient="portrait"/>
          <w:cols w:equalWidth="0" w:num="1">
            <w:col w:w="11240"/>
          </w:cols>
          <w:pgMar w:left="320" w:top="130" w:right="339" w:bottom="154" w:gutter="0" w:footer="0" w:header="0"/>
        </w:sectPr>
      </w:pPr>
    </w:p>
    <w:bookmarkStart w:id="44" w:name="page45"/>
    <w:bookmarkEnd w:id="44"/>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Our net premiums earned may be impacted by a number of factors. Net premiums earned are a function of net written premium volume. Net written premiums comprise both renewal business and new business and are recognized as earned premium over the term of the underlying policies. Net written premiums from both renewal and new business are impacted by competitive market conditions as well as general economic conditions. We have made underwriting changes to emphasize profitability over growth and have culled out the type of risks that do not generate an acceptable level of return. This action has led, and may continue to lead, to a slowdown in premium growth compared to the higher growth we had seen in prior years, particularly in new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item is not applicable to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as defined in Rule 13a-15(e) under the Exchange Act that are designed to assure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 Based on this evaluation, our Chief Executive Officer and Chief Financial Officer have concluded that, as of March 31, 2024, our disclosure controls and procedures were: (i) effective in recording, processing, summarizing, and reporting information on a timely basis that we are required to disclose in the reports that we file or submit under the Exchange Act, and (ii) effective in ensuring that information that we are required to disclose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March 31,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such term is defined in Rules 13a-15(f) and 15d-15(f) under the Exchange Act) during our most recently completed fiscal quarter that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 on Effectiveness of Controls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by, or under the supervision of, our Chief Executive Officer and Principal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8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b w:val="1"/>
          <w:bCs w:val="1"/>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21" w:right="339" w:bottom="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 discussion of the Company’s potential risks and uncertainties, see Part I, Item 1A— “Risk Factors” and Part II, Item 7— “Management’s Discussion and Analysis of Financial Condition and Results of Operations” in the Company’s 2023 Annual Report filed with the SEC, and Part I, Item 2 —”Management’s Discussion and Analysis of Financial Condition and Results of Operations” herein, in each case as updated by the Company’s periodic filings with the SEC. There have been no material changes to the risk factors disclosed in Part I, Item 1A of the Company’s 2023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920" w:hanging="467"/>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Defaults Upon Senior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gridSpan w:val="2"/>
            <w:shd w:val="clear" w:color="auto" w:fill="CCEEFF"/>
          </w:tcPr>
          <w:p>
            <w:pPr>
              <w:spacing w:after="0"/>
              <w:rPr>
                <w:rFonts w:ascii="Times New Roman" w:cs="Times New Roman" w:eastAsia="Times New Roman" w:hAnsi="Times New Roman"/>
                <w:sz w:val="18"/>
                <w:szCs w:val="18"/>
                <w:color w:val="0000EE"/>
                <w:w w:val="96"/>
              </w:rPr>
            </w:pPr>
            <w:hyperlink r:id="rId82">
              <w:r>
                <w:rPr>
                  <w:rFonts w:ascii="Times New Roman" w:cs="Times New Roman" w:eastAsia="Times New Roman" w:hAnsi="Times New Roman"/>
                  <w:sz w:val="18"/>
                  <w:szCs w:val="18"/>
                  <w:color w:val="0000EE"/>
                  <w:w w:val="96"/>
                </w:rPr>
                <w:t>3(a)</w:t>
              </w:r>
            </w:hyperlink>
          </w:p>
        </w:tc>
        <w:tc>
          <w:tcPr>
            <w:tcW w:w="600" w:type="dxa"/>
            <w:vAlign w:val="bottom"/>
            <w:gridSpan w:val="3"/>
            <w:shd w:val="clear" w:color="auto" w:fill="CCEEFF"/>
          </w:tcPr>
          <w:p>
            <w:pPr>
              <w:spacing w:after="0"/>
              <w:rPr>
                <w:sz w:val="18"/>
                <w:szCs w:val="18"/>
                <w:color w:val="auto"/>
              </w:rPr>
            </w:pPr>
          </w:p>
        </w:tc>
        <w:tc>
          <w:tcPr>
            <w:tcW w:w="10340" w:type="dxa"/>
            <w:vAlign w:val="bottom"/>
            <w:gridSpan w:val="8"/>
            <w:shd w:val="clear" w:color="auto" w:fill="CCEEFF"/>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Restated Certificate of Incorporation, as amended (incorporated by reference to Exhibit 3(a) to the Company’s Quarterly Report on Form 10-Q</w:t>
              </w:r>
            </w:hyperlink>
          </w:p>
        </w:tc>
      </w:tr>
      <w:tr>
        <w:trPr>
          <w:trHeight w:val="217"/>
        </w:trPr>
        <w:tc>
          <w:tcPr>
            <w:tcW w:w="2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280" w:type="dxa"/>
            <w:vAlign w:val="bottom"/>
            <w:tcBorders>
              <w:top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 the period ended March 31, 2014 filed on May 15, 2014).</w:t>
              </w:r>
            </w:hyperlink>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3(b)</w:t>
              </w:r>
            </w:hyperlink>
          </w:p>
        </w:tc>
        <w:tc>
          <w:tcPr>
            <w:tcW w:w="1034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By-laws, as amended (incorporated by reference to Exhibit 3.1 to the Company’s Current Report on Form 8-K filed on November 9, 2009).</w:t>
              </w:r>
            </w:hyperlink>
          </w:p>
        </w:tc>
      </w:tr>
      <w:tr>
        <w:trPr>
          <w:trHeight w:val="216"/>
        </w:trPr>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5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31(a)</w:t>
            </w:r>
          </w:p>
        </w:tc>
        <w:tc>
          <w:tcPr>
            <w:tcW w:w="103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Rule 13a-14(a)/15d-14(a) Certification of Chief Executive Officer as adopted pursuant to Section 302 of the Sarbanes-Oxley Act of 2002</w:t>
            </w:r>
          </w:p>
        </w:tc>
      </w:tr>
      <w:tr>
        <w:trPr>
          <w:trHeight w:val="216"/>
        </w:trPr>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5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31(b)</w:t>
            </w:r>
          </w:p>
        </w:tc>
        <w:tc>
          <w:tcPr>
            <w:tcW w:w="103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Rule 13a-14(a)/15d-14(a) Certification of Chief Financial Officer as adopted pursuant to Section 302 of the Sarbanes-Oxley Act of 2002</w:t>
            </w:r>
          </w:p>
        </w:tc>
      </w:tr>
      <w:tr>
        <w:trPr>
          <w:trHeight w:val="216"/>
        </w:trPr>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54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75"/>
        </w:trPr>
        <w:tc>
          <w:tcPr>
            <w:tcW w:w="3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32+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3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18 U.S.C. Section 1350, as Adopted Pursuant to Section 906</w:t>
            </w:r>
          </w:p>
        </w:tc>
      </w:tr>
      <w:tr>
        <w:trPr>
          <w:trHeight w:val="216"/>
        </w:trPr>
        <w:tc>
          <w:tcPr>
            <w:tcW w:w="2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160" w:type="dxa"/>
            <w:vAlign w:val="bottom"/>
            <w:tcBorders>
              <w:top w:val="single" w:sz="8" w:color="0000EE"/>
            </w:tcBorders>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18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3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3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 XBRL Taxonomy Extension Schema.</w:t>
            </w:r>
          </w:p>
        </w:tc>
      </w:tr>
      <w:tr>
        <w:trPr>
          <w:trHeight w:val="216"/>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3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 XBRL Taxonomy Extension Calculation Linkbase.</w:t>
            </w:r>
          </w:p>
        </w:tc>
      </w:tr>
      <w:tr>
        <w:trPr>
          <w:trHeight w:val="216"/>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3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 XBRL Taxonomy Extension Definition Linkbase.</w:t>
            </w:r>
          </w:p>
        </w:tc>
      </w:tr>
      <w:tr>
        <w:trPr>
          <w:trHeight w:val="216"/>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3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 XBRL Taxonomy Extension Label Linkbase.</w:t>
            </w:r>
          </w:p>
        </w:tc>
      </w:tr>
      <w:tr>
        <w:trPr>
          <w:trHeight w:val="216"/>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3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 XBRL Taxonomy Extension Presentation Linkbase.</w:t>
            </w:r>
          </w:p>
        </w:tc>
      </w:tr>
    </w:tbl>
    <w:p>
      <w:pPr>
        <w:spacing w:after="0" w:line="198" w:lineRule="exact"/>
        <w:rPr>
          <w:sz w:val="20"/>
          <w:szCs w:val="20"/>
          <w:color w:val="auto"/>
        </w:rPr>
      </w:pPr>
    </w:p>
    <w:p>
      <w:pPr>
        <w:jc w:val="both"/>
        <w:ind w:left="880" w:hanging="872"/>
        <w:spacing w:after="0" w:line="266"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will not be deemed “filed” for purposes of Section 18 of the Securities Exchange Act of 1934, as amended, or otherwise subject to the liability of that section. Such exhibit shall not be deemed incorporated into any filing under the Securities Act of 1933, as amended, or the Securities Act of 1934, as amended.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KINGSTONE COMPANIES,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15, 2024</w:t>
      </w:r>
      <w:r>
        <w:rPr>
          <w:sz w:val="20"/>
          <w:szCs w:val="20"/>
          <w:color w:val="auto"/>
        </w:rPr>
        <w:tab/>
      </w:r>
      <w:r>
        <w:rPr>
          <w:rFonts w:ascii="Times New Roman" w:cs="Times New Roman" w:eastAsia="Times New Roman" w:hAnsi="Times New Roman"/>
          <w:sz w:val="18"/>
          <w:szCs w:val="18"/>
          <w:color w:val="auto"/>
        </w:rPr>
        <w:t>By: /s/ Meryl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Meryl Golden</w:t>
      </w:r>
    </w:p>
    <w:p>
      <w:pPr>
        <w:sectPr>
          <w:pgSz w:w="11900" w:h="16838" w:orient="portrait"/>
          <w:cols w:equalWidth="0" w:num="1">
            <w:col w:w="11240"/>
          </w:cols>
          <w:pgMar w:left="320" w:top="117" w:right="339" w:bottom="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34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May 15, 2024</w:t>
            </w:r>
          </w:p>
        </w:tc>
        <w:tc>
          <w:tcPr>
            <w:tcW w:w="636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Jennifer Gravelle</w:t>
            </w:r>
          </w:p>
        </w:tc>
        <w:tc>
          <w:tcPr>
            <w:tcW w:w="1340" w:type="dxa"/>
            <w:vAlign w:val="bottom"/>
          </w:tcPr>
          <w:p>
            <w:pPr>
              <w:spacing w:after="0"/>
              <w:rPr>
                <w:sz w:val="24"/>
                <w:szCs w:val="24"/>
                <w:color w:val="auto"/>
              </w:rPr>
            </w:pPr>
          </w:p>
        </w:tc>
      </w:tr>
      <w:tr>
        <w:trPr>
          <w:trHeight w:val="191"/>
        </w:trPr>
        <w:tc>
          <w:tcPr>
            <w:tcW w:w="3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Jennifer Gravelle</w:t>
            </w:r>
          </w:p>
        </w:tc>
        <w:tc>
          <w:tcPr>
            <w:tcW w:w="1340" w:type="dxa"/>
            <w:vAlign w:val="bottom"/>
          </w:tcPr>
          <w:p>
            <w:pPr>
              <w:spacing w:after="0"/>
              <w:rPr>
                <w:sz w:val="16"/>
                <w:szCs w:val="16"/>
                <w:color w:val="auto"/>
              </w:rPr>
            </w:pPr>
          </w:p>
        </w:tc>
      </w:tr>
      <w:tr>
        <w:trPr>
          <w:trHeight w:val="234"/>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340" w:type="dxa"/>
            <w:vAlign w:val="bottom"/>
          </w:tcPr>
          <w:p>
            <w:pPr>
              <w:spacing w:after="0"/>
              <w:rPr>
                <w:sz w:val="20"/>
                <w:szCs w:val="20"/>
                <w:color w:val="auto"/>
              </w:rPr>
            </w:pPr>
          </w:p>
        </w:tc>
      </w:tr>
      <w:tr>
        <w:trPr>
          <w:trHeight w:val="648"/>
        </w:trPr>
        <w:tc>
          <w:tcPr>
            <w:tcW w:w="35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72</w:t>
            </w:r>
          </w:p>
        </w:tc>
        <w:tc>
          <w:tcPr>
            <w:tcW w:w="3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Meryl Golden, certify that:</w:t>
      </w:r>
    </w:p>
    <w:p>
      <w:pPr>
        <w:spacing w:after="0" w:line="225"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Kingstone Companies, Inc.;</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2024</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Meryl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25031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Meryl Golden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Gravelle, certify that:</w:t>
      </w:r>
    </w:p>
    <w:p>
      <w:pPr>
        <w:spacing w:after="0" w:line="225"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Kingstone Companies, Inc.;</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2024</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Jennifer Gravelle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25031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Jennifer Gravelle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hereby certify, pursuant to, and as required by, 18 U.S.C. Section 1350, as adopted pursuant to Section 906 of the Sarbanes-Oxley Act of 2002, that the Quarterly Report of Kingstone Companies, Inc. (the “Company”) on Form 10-Q for the period ended March 31, 2024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Dated: May 15, 2024</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Meryl Golden</w:t>
            </w:r>
          </w:p>
        </w:tc>
      </w:tr>
      <w:tr>
        <w:trPr>
          <w:trHeight w:val="191"/>
        </w:trPr>
        <w:tc>
          <w:tcPr>
            <w:tcW w:w="5960" w:type="dxa"/>
            <w:vAlign w:val="bottom"/>
          </w:tcPr>
          <w:p>
            <w:pPr>
              <w:spacing w:after="0"/>
              <w:rPr>
                <w:sz w:val="16"/>
                <w:szCs w:val="16"/>
                <w:color w:val="auto"/>
              </w:rPr>
            </w:pPr>
          </w:p>
        </w:tc>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Meryl Golden</w:t>
            </w:r>
          </w:p>
        </w:tc>
      </w:tr>
      <w:tr>
        <w:trPr>
          <w:trHeight w:val="234"/>
        </w:trPr>
        <w:tc>
          <w:tcPr>
            <w:tcW w:w="59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960" w:type="dxa"/>
            <w:vAlign w:val="bottom"/>
          </w:tcPr>
          <w:p>
            <w:pPr>
              <w:spacing w:after="0"/>
              <w:rPr>
                <w:sz w:val="24"/>
                <w:szCs w:val="24"/>
                <w:color w:val="auto"/>
              </w:rPr>
            </w:pP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Gravelle</w:t>
            </w:r>
          </w:p>
        </w:tc>
      </w:tr>
      <w:tr>
        <w:trPr>
          <w:trHeight w:val="191"/>
        </w:trPr>
        <w:tc>
          <w:tcPr>
            <w:tcW w:w="5960" w:type="dxa"/>
            <w:vAlign w:val="bottom"/>
          </w:tcPr>
          <w:p>
            <w:pPr>
              <w:spacing w:after="0"/>
              <w:rPr>
                <w:sz w:val="16"/>
                <w:szCs w:val="16"/>
                <w:color w:val="auto"/>
              </w:rPr>
            </w:pPr>
          </w:p>
        </w:tc>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Jennifer Gravelle</w:t>
            </w:r>
          </w:p>
        </w:tc>
      </w:tr>
      <w:tr>
        <w:trPr>
          <w:trHeight w:val="234"/>
        </w:trPr>
        <w:tc>
          <w:tcPr>
            <w:tcW w:w="59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upperLetter"/>
      <w:start w:val="1"/>
    </w:lvl>
  </w:abstractNum>
  <w:abstractNum w:abstractNumId="8">
    <w:nsid w:val="1BEFD79F"/>
    <w:multiLevelType w:val="hybridMultilevel"/>
    <w:lvl w:ilvl="0">
      <w:lvlJc w:val="left"/>
      <w:lvlText w:val="(%1)"/>
      <w:numFmt w:val="decimal"/>
      <w:start w:val="2"/>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2" Type="http://schemas.openxmlformats.org/officeDocument/2006/relationships/hyperlink" Target="http://www.sec.gov/Archives/edgar/data/33992/000135448814002619/kins_ex3a.htm" TargetMode="External"/><Relationship Id="rId83" Type="http://schemas.openxmlformats.org/officeDocument/2006/relationships/hyperlink" Target="http://www.sec.gov/Archives/edgar/data/33992/000102177109000069/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2024-05-15T13:08:58Z</dcterms:created>
  <dcterms:modified xsi:type="dcterms:W3CDTF">2024-05-15T13:08:58Z</dcterms:modified>
</cp:coreProperties>
</file>