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80" w:right="1640" w:hanging="3730"/>
        <w:spacing w:after="0" w:line="490" w:lineRule="auto"/>
        <w:tabs>
          <w:tab w:leader="none" w:pos="4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540" w:right="1620" w:hanging="3390"/>
        <w:spacing w:after="0" w:line="500" w:lineRule="auto"/>
        <w:tabs>
          <w:tab w:leader="none" w:pos="4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0-1665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2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gridSpan w:val="5"/>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91"/>
        </w:trPr>
        <w:tc>
          <w:tcPr>
            <w:tcW w:w="3260" w:type="dxa"/>
            <w:vAlign w:val="bottom"/>
            <w:tcBorders>
              <w:top w:val="single" w:sz="8" w:color="auto"/>
            </w:tcBorders>
          </w:tcPr>
          <w:p>
            <w:pPr>
              <w:jc w:val="center"/>
              <w:ind w:left="9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40" w:type="dxa"/>
            <w:vAlign w:val="bottom"/>
            <w:gridSpan w:val="4"/>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15 Joys Lane</w:t>
            </w:r>
          </w:p>
        </w:tc>
      </w:tr>
      <w:tr>
        <w:trPr>
          <w:trHeight w:val="198"/>
        </w:trPr>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Borders>
              <w:bottom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Kingston, NY 12401</w:t>
            </w:r>
          </w:p>
        </w:tc>
        <w:tc>
          <w:tcPr>
            <w:tcW w:w="4000" w:type="dxa"/>
            <w:vAlign w:val="bottom"/>
          </w:tcPr>
          <w:p>
            <w:pPr>
              <w:spacing w:after="0"/>
              <w:rPr>
                <w:sz w:val="17"/>
                <w:szCs w:val="17"/>
                <w:color w:val="auto"/>
              </w:rPr>
            </w:pPr>
          </w:p>
        </w:tc>
      </w:tr>
      <w:tr>
        <w:trPr>
          <w:trHeight w:val="237"/>
        </w:trPr>
        <w:tc>
          <w:tcPr>
            <w:tcW w:w="3260" w:type="dxa"/>
            <w:vAlign w:val="bottom"/>
          </w:tcPr>
          <w:p>
            <w:pPr>
              <w:spacing w:after="0"/>
              <w:rPr>
                <w:sz w:val="20"/>
                <w:szCs w:val="20"/>
                <w:color w:val="auto"/>
              </w:rPr>
            </w:pPr>
          </w:p>
        </w:tc>
        <w:tc>
          <w:tcPr>
            <w:tcW w:w="6280" w:type="dxa"/>
            <w:vAlign w:val="bottom"/>
            <w:gridSpan w:val="5"/>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14, 2024, there were 11,064,723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4"/>
          <w:szCs w:val="24"/>
          <w:color w:val="auto"/>
        </w:rPr>
      </w:pPr>
    </w:p>
    <w:p>
      <w:pPr>
        <w:ind w:left="1044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6434455</wp:posOffset>
            </wp:positionH>
            <wp:positionV relativeFrom="paragraph">
              <wp:posOffset>19685</wp:posOffset>
            </wp:positionV>
            <wp:extent cx="702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260" w:type="dxa"/>
            <w:vAlign w:val="bottom"/>
            <w:tcBorders>
              <w:top w:val="single" w:sz="8" w:color="0000EE"/>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90"/>
        </w:trPr>
        <w:tc>
          <w:tcPr>
            <w:tcW w:w="3260" w:type="dxa"/>
            <w:vAlign w:val="bottom"/>
            <w:shd w:val="clear" w:color="auto" w:fill="CCEEFF"/>
          </w:tcPr>
          <w:p>
            <w:pPr>
              <w:spacing w:after="0"/>
              <w:rPr>
                <w:sz w:val="7"/>
                <w:szCs w:val="7"/>
                <w:color w:val="auto"/>
              </w:rPr>
            </w:pPr>
          </w:p>
        </w:tc>
        <w:tc>
          <w:tcPr>
            <w:tcW w:w="3880" w:type="dxa"/>
            <w:vAlign w:val="bottom"/>
            <w:shd w:val="clear" w:color="auto" w:fill="CCEEFF"/>
          </w:tcPr>
          <w:p>
            <w:pPr>
              <w:spacing w:after="0"/>
              <w:rPr>
                <w:sz w:val="7"/>
                <w:szCs w:val="7"/>
                <w:color w:val="auto"/>
              </w:rPr>
            </w:pPr>
          </w:p>
        </w:tc>
        <w:tc>
          <w:tcPr>
            <w:tcW w:w="4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71"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EE"/>
              </w:rPr>
              <w:t>Item 1 —</w:t>
            </w:r>
          </w:p>
        </w:tc>
        <w:tc>
          <w:tcPr>
            <w:tcW w:w="9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June 30, 2024 (Unaudited) and December 31, 2023</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for the three months and six</w:t>
            </w:r>
          </w:p>
        </w:tc>
        <w:tc>
          <w:tcPr>
            <w:tcW w:w="90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8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2024 (Unaudited) and 2023 (Unaudited)</w:t>
            </w:r>
          </w:p>
        </w:tc>
        <w:tc>
          <w:tcPr>
            <w:tcW w:w="820" w:type="dxa"/>
            <w:vAlign w:val="bottom"/>
            <w:tcBorders>
              <w:top w:val="single" w:sz="8" w:color="CCEEFF"/>
            </w:tcBorders>
            <w:gridSpan w:val="2"/>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and six months ended June 30, 2024</w:t>
            </w:r>
          </w:p>
        </w:tc>
        <w:tc>
          <w:tcPr>
            <w:tcW w:w="90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 and 2023 (Unaudited)</w:t>
            </w:r>
          </w:p>
        </w:tc>
        <w:tc>
          <w:tcPr>
            <w:tcW w:w="56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(Unaudited) and 2023</w:t>
            </w:r>
          </w:p>
        </w:tc>
        <w:tc>
          <w:tcPr>
            <w:tcW w:w="90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900" w:type="dxa"/>
            <w:vAlign w:val="bottom"/>
            <w:tcBorders>
              <w:top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2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3 —</w:t>
            </w: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2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4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85</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391"/>
        </w:trPr>
        <w:tc>
          <w:tcPr>
            <w:tcW w:w="10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1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1A —</w:t>
            </w: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2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2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3 —</w:t>
            </w: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1"/>
        </w:trPr>
        <w:tc>
          <w:tcPr>
            <w:tcW w:w="2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4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5 —</w:t>
            </w:r>
          </w:p>
        </w:tc>
        <w:tc>
          <w:tcPr>
            <w:tcW w:w="9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87</w:t>
            </w:r>
          </w:p>
        </w:tc>
      </w:tr>
      <w:tr>
        <w:trPr>
          <w:trHeight w:val="21"/>
        </w:trPr>
        <w:tc>
          <w:tcPr>
            <w:tcW w:w="2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240" w:type="dxa"/>
            <w:vAlign w:val="bottom"/>
            <w:gridSpan w:val="4"/>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0000EE"/>
              </w:rPr>
              <w:t>Item 6 —</w:t>
            </w:r>
          </w:p>
        </w:tc>
        <w:tc>
          <w:tcPr>
            <w:tcW w:w="9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340" w:type="dxa"/>
            <w:vAlign w:val="bottom"/>
            <w:gridSpan w:val="19"/>
          </w:tcPr>
          <w:p>
            <w:pPr>
              <w:spacing w:after="0"/>
              <w:rPr>
                <w:sz w:val="15"/>
                <w:szCs w:val="15"/>
                <w:color w:val="auto"/>
              </w:rPr>
            </w:pPr>
          </w:p>
        </w:tc>
        <w:tc>
          <w:tcPr>
            <w:tcW w:w="9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2023,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Fixed-maturity securities, held-to-maturity, at amortized cost (fair value of $5,965,254 at June 30, 2024 and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$6,106,148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7,049,978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7,052,541</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 $176,930,446 at June 30, 2024 and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$164,460,942 at December 31, 2023)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160,947,267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of $14,029,806 at June 30, 2024 and $17,986,783 at December 31, 2023)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11,428,238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4,192,837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3,897,150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183,618,320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174,632,828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12,170,993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8,976,998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15,176,140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13,604,808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66,315,422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75,593,912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19,574,764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19,802,564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9,217,729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9,395,697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9,061,591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10,551,819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4,142,798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4,574,584</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319,777,757</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317,633,210</w:t>
            </w: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116,577,490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121,817,862</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107,434,679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105,621,538</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3,797,590</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10,481,596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12,837,140</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9,277,082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9,460,865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4,350,546</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25,268,864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25,243,530</w:t>
            </w:r>
          </w:p>
        </w:tc>
      </w:tr>
      <w:tr>
        <w:trPr>
          <w:trHeight w:val="209"/>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278,974,983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283,129,071</w:t>
            </w:r>
          </w:p>
        </w:tc>
        <w:tc>
          <w:tcPr>
            <w:tcW w:w="100" w:type="dxa"/>
            <w:vAlign w:val="bottom"/>
            <w:tcBorders>
              <w:top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20,000,000 shares; issued 12,536,129 shares at June 30, 2024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12,248,313 shares at December 31, 2023; outstanding 11,064,723 shares at June 30, 2024 and 10,776,907 shares at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122,483</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76,042,147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75,338,010</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(12,624,559)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(12,274,563)</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(17,172,694)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(23,114,310)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before treasury stock</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46,370,255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40,071,620</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1,471,406 shares at June 30, 2024 and December 31, 2023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(5,567,481)</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40,802,774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34,504,139</w:t>
            </w:r>
          </w:p>
        </w:tc>
      </w:tr>
      <w:tr>
        <w:trPr>
          <w:trHeight w:val="210"/>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319,777,757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317,633,210</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KINGSTONE COMPANIES, INC. AND SUBSIDIARIES</w:t>
      </w: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30,303,612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29,508,196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59,123,514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57,763,149</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4,561,961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5,412,210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9,129,072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10,857,617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1,764,596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1,451,356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3,267,456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2,992,848</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(233,606)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492,785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1,422,013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105,552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312,124</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36,502,115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36,719,988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72,267,292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73,347,751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14,238,308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19,580,702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32,097,895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44,620,112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8,232,480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8,471,182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16,084,292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17,010,944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5,900,525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6,683,638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11,781,130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13,555,257</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800,966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763,414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1,579,048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1,426,048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619,934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778,502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1,216,447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1,586,632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989,723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1,005,974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1,983,598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2,015,865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30,781,936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37,283,412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64,742,410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80,214,858</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5,720,179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(563,424)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7,524,882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(6,867,107)</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1,205,242</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1,583,266</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(1,290,380)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4,514,937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5,941,616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(5,576,727)</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change in unrealized gains (losses) on available-for-sale-securities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109,784</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(1,132,528)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(450,563)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1,334,898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realized losses included in net income (loss)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unrealized gains (losses), on available-for-sale-securities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(1,122,147)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(443,034)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1,347,918</w:t>
            </w:r>
          </w:p>
        </w:tc>
        <w:tc>
          <w:tcPr>
            <w:tcW w:w="0" w:type="dxa"/>
            <w:vAlign w:val="bottom"/>
          </w:tcPr>
          <w:p>
            <w:pPr>
              <w:spacing w:after="0"/>
              <w:rPr>
                <w:sz w:val="1"/>
                <w:szCs w:val="1"/>
                <w:color w:val="auto"/>
              </w:rPr>
            </w:pPr>
          </w:p>
        </w:tc>
      </w:tr>
      <w:tr>
        <w:trPr>
          <w:trHeight w:val="198"/>
        </w:trPr>
        <w:tc>
          <w:tcPr>
            <w:tcW w:w="6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w:t>
            </w:r>
          </w:p>
        </w:tc>
        <w:tc>
          <w:tcPr>
            <w:tcW w:w="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(24,034)</w:t>
            </w:r>
          </w:p>
        </w:tc>
        <w:tc>
          <w:tcPr>
            <w:tcW w:w="26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235,651</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93,038</w:t>
            </w:r>
          </w:p>
        </w:tc>
        <w:tc>
          <w:tcPr>
            <w:tcW w:w="26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(283,062)</w:t>
            </w:r>
          </w:p>
        </w:tc>
        <w:tc>
          <w:tcPr>
            <w:tcW w:w="0" w:type="dxa"/>
            <w:vAlign w:val="bottom"/>
          </w:tcPr>
          <w:p>
            <w:pPr>
              <w:spacing w:after="0"/>
              <w:rPr>
                <w:sz w:val="1"/>
                <w:szCs w:val="1"/>
                <w:color w:val="auto"/>
              </w:rPr>
            </w:pPr>
          </w:p>
        </w:tc>
      </w:tr>
      <w:tr>
        <w:trPr>
          <w:trHeight w:val="221"/>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(886,496)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(349,996)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1,064,856</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4,605,349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(1,408,513)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5,591,620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(4,511,871)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17" w:right="339" w:bottom="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6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(0.52)</w:t>
            </w:r>
          </w:p>
        </w:tc>
      </w:tr>
      <w:tr>
        <w:trPr>
          <w:trHeight w:val="197"/>
        </w:trPr>
        <w:tc>
          <w:tcPr>
            <w:tcW w:w="6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11,019,347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10,755,848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11,009,442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10,753,974</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06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12,110,946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10,755,848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11,987,976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10,753,974</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Excess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12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4"/>
              </w:rPr>
              <w:t>Amount</w:t>
            </w: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Par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12,231,965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$ 122,320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$74,734,915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(14,007,076)</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(22,000,674)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(5,567,481)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$33,282,004</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212,288</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212,288</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for payment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(522,017)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(522,017)</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losses 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8"/>
                <w:szCs w:val="18"/>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(886,496)</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(886,496)</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5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June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6"/>
                <w:szCs w:val="16"/>
                <w:color w:val="auto"/>
              </w:rPr>
            </w:pPr>
          </w:p>
        </w:tc>
        <w:tc>
          <w:tcPr>
            <w:tcW w:w="6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12,227,562</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$ 122,275</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74,946,685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(14,893,572)</w:t>
            </w:r>
          </w:p>
        </w:tc>
        <w:tc>
          <w:tcPr>
            <w:tcW w:w="12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(22,522,691)</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32,085,216</w:t>
            </w: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30, 2023</w:t>
            </w:r>
          </w:p>
        </w:tc>
        <w:tc>
          <w:tcPr>
            <w:tcW w:w="54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10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Excess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12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4"/>
              </w:rPr>
              <w:t>Amount</w:t>
            </w: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Par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12,479,422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$ 124,794</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$75,595,096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(12,714,971)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(21,687,631)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(5,567,481)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$35,749,807</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281,416</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281,416</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for payment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(1,984)</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net of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$103,385</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56,109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167,629</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168,190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4,514,937</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4,514,937</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5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90,412</w:t>
            </w:r>
          </w:p>
        </w:tc>
        <w:tc>
          <w:tcPr>
            <w:tcW w:w="12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90,412</w:t>
            </w:r>
          </w:p>
        </w:tc>
        <w:tc>
          <w:tcPr>
            <w:tcW w:w="0" w:type="dxa"/>
            <w:vAlign w:val="bottom"/>
          </w:tcPr>
          <w:p>
            <w:pPr>
              <w:spacing w:after="0"/>
              <w:rPr>
                <w:sz w:val="1"/>
                <w:szCs w:val="1"/>
                <w:color w:val="auto"/>
              </w:rPr>
            </w:pPr>
          </w:p>
        </w:tc>
      </w:tr>
      <w:tr>
        <w:trPr>
          <w:trHeight w:val="221"/>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tax</w:t>
            </w:r>
          </w:p>
        </w:tc>
        <w:tc>
          <w:tcPr>
            <w:tcW w:w="5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June</w:t>
            </w: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12,536,129</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$ 125,361</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76,042,147</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(12,624,559)</w:t>
            </w:r>
          </w:p>
        </w:tc>
        <w:tc>
          <w:tcPr>
            <w:tcW w:w="12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(17,172,694)</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(5,567,481)</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40,802,774</w:t>
            </w:r>
          </w:p>
        </w:tc>
        <w:tc>
          <w:tcPr>
            <w:tcW w:w="0" w:type="dxa"/>
            <w:vAlign w:val="bottom"/>
          </w:tcPr>
          <w:p>
            <w:pPr>
              <w:spacing w:after="0"/>
              <w:rPr>
                <w:sz w:val="1"/>
                <w:szCs w:val="1"/>
                <w:color w:val="auto"/>
              </w:rPr>
            </w:pP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30, 2024</w:t>
            </w:r>
          </w:p>
        </w:tc>
        <w:tc>
          <w:tcPr>
            <w:tcW w:w="1000" w:type="dxa"/>
            <w:vAlign w:val="bottom"/>
            <w:gridSpan w:val="3"/>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Excess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12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4"/>
              </w:rPr>
              <w:t>Amount</w:t>
            </w: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Par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12,171,512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$ 121,715</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$74,519,590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(15,958,428)</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(16,945,964)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(5,567,481)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$36,169,432</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429,055</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429,055</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56,977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for payment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(5,576,727)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(5,576,727)</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gains 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8"/>
                <w:szCs w:val="18"/>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1,064,856</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1,064,856</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5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June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6"/>
                <w:szCs w:val="16"/>
                <w:color w:val="auto"/>
              </w:rPr>
            </w:pPr>
          </w:p>
        </w:tc>
        <w:tc>
          <w:tcPr>
            <w:tcW w:w="6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12,227,562</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$ 122,275</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74,946,685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(14,893,572)</w:t>
            </w:r>
          </w:p>
        </w:tc>
        <w:tc>
          <w:tcPr>
            <w:tcW w:w="12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(22,522,691)</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32,085,216</w:t>
            </w: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30, 2023</w:t>
            </w:r>
          </w:p>
        </w:tc>
        <w:tc>
          <w:tcPr>
            <w:tcW w:w="54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10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Excess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212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4"/>
              </w:rPr>
              <w:t>Amount</w:t>
            </w:r>
          </w:p>
        </w:tc>
        <w:tc>
          <w:tcPr>
            <w:tcW w:w="18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Par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Deficit</w:t>
            </w: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12,248,313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$ 122,483</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$75,338,010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(12,274,563)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(23,114,310)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(5,567,481)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$34,504,139</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547,205</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547,205</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234,653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2,346</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deducted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awards for</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(8,351)</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(8,380)</w:t>
            </w:r>
          </w:p>
        </w:tc>
        <w:tc>
          <w:tcPr>
            <w:tcW w:w="0" w:type="dxa"/>
            <w:vAlign w:val="bottom"/>
          </w:tcPr>
          <w:p>
            <w:pPr>
              <w:spacing w:after="0"/>
              <w:rPr>
                <w:sz w:val="1"/>
                <w:szCs w:val="1"/>
                <w:color w:val="auto"/>
              </w:rPr>
            </w:pPr>
          </w:p>
        </w:tc>
      </w:tr>
      <w:tr>
        <w:trPr>
          <w:trHeight w:val="63"/>
        </w:trPr>
        <w:tc>
          <w:tcPr>
            <w:tcW w:w="10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56,109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167,629</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168,190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net of</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$103,385</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4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5,941,616</w:t>
            </w:r>
          </w:p>
        </w:tc>
        <w:tc>
          <w:tcPr>
            <w:tcW w:w="92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5,941,616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Change in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losses 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w:t>
            </w:r>
          </w:p>
        </w:tc>
        <w:tc>
          <w:tcPr>
            <w:tcW w:w="5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8"/>
                <w:szCs w:val="18"/>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(349,996)</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(349,996)</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of tax</w:t>
            </w:r>
          </w:p>
        </w:tc>
        <w:tc>
          <w:tcPr>
            <w:tcW w:w="5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June</w:t>
            </w:r>
          </w:p>
        </w:tc>
        <w:tc>
          <w:tcPr>
            <w:tcW w:w="100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12,536,129</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$ 125,361</w:t>
            </w: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76,042,147</w:t>
            </w:r>
          </w:p>
        </w:tc>
        <w:tc>
          <w:tcPr>
            <w:tcW w:w="1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(12,624,559)</w:t>
            </w:r>
          </w:p>
        </w:tc>
        <w:tc>
          <w:tcPr>
            <w:tcW w:w="12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(17,172,694)</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1,471,406</w:t>
            </w:r>
          </w:p>
        </w:tc>
        <w:tc>
          <w:tcPr>
            <w:tcW w:w="12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40,802,774</w:t>
            </w: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30, 2024</w:t>
            </w:r>
          </w:p>
        </w:tc>
        <w:tc>
          <w:tcPr>
            <w:tcW w:w="100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80" w:type="dxa"/>
            <w:vAlign w:val="bottom"/>
          </w:tcPr>
          <w:p>
            <w:pPr>
              <w:spacing w:after="0"/>
              <w:rPr>
                <w:sz w:val="24"/>
                <w:szCs w:val="24"/>
                <w:color w:val="auto"/>
              </w:rPr>
            </w:pPr>
          </w:p>
        </w:tc>
        <w:tc>
          <w:tcPr>
            <w:tcW w:w="538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tc>
        <w:tc>
          <w:tcPr>
            <w:tcW w:w="0" w:type="dxa"/>
            <w:vAlign w:val="bottom"/>
          </w:tcPr>
          <w:p>
            <w:pPr>
              <w:spacing w:after="0"/>
              <w:rPr>
                <w:sz w:val="1"/>
                <w:szCs w:val="1"/>
                <w:color w:val="auto"/>
              </w:rPr>
            </w:pPr>
          </w:p>
        </w:tc>
      </w:tr>
      <w:tr>
        <w:trPr>
          <w:trHeight w:val="432"/>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w:t>
            </w:r>
          </w:p>
        </w:tc>
        <w:tc>
          <w:tcPr>
            <w:tcW w:w="2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5,941,616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(5,576,727)</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(used in) operating activities: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425,776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unrealized gains on equity investments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(622,874)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(657,145)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(295,687)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(777,888)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1,216,447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1,586,632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losses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38,400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Accretion of bond discount,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(362,020)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(51,548)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593,838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593,839</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547,205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429,055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1,583,266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(1,283,823)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(1,625,197)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1,269,270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9,278,490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(10,114,427)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2,379,295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431,785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91,182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(5,240,372)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(777,903)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1,813,141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(5,577,882)</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1,157,841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3,672,153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(2,355,544)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622,629</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(183,783)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(929,409)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629,295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(1,958,718)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13,214,888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(17,009,995)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(80,234,996)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(13,167,937)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 fixed-maturity securities held-to-maturity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68,122,546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31,375,538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 equity securities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3,538,730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81,054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(898,528)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provided by investing activities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(9,612,199)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17,890,127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(568,504)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(536,237)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costs on 2022 Notes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taxes paid on vested restricted stock awards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(551,936)</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3,193,995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328,196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11,958,228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4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12,170,993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12,286,424</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280" w:type="dxa"/>
            <w:vAlign w:val="bottom"/>
            <w:shd w:val="clear" w:color="auto" w:fill="CCEEFF"/>
          </w:tcPr>
          <w:p>
            <w:pPr>
              <w:spacing w:after="0"/>
              <w:rPr>
                <w:sz w:val="16"/>
                <w:szCs w:val="16"/>
                <w:color w:val="auto"/>
              </w:rPr>
            </w:pPr>
          </w:p>
        </w:tc>
        <w:tc>
          <w:tcPr>
            <w:tcW w:w="458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1,389,759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1,730,905</w:t>
            </w:r>
          </w:p>
        </w:tc>
      </w:tr>
      <w:tr>
        <w:trPr>
          <w:trHeight w:val="216"/>
        </w:trPr>
        <w:tc>
          <w:tcPr>
            <w:tcW w:w="7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1,064,856</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through its wholly-owned subsidiary, Kingstone Insurance Company (“KICO”), underwrites property and casualty insurance exclusively.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June 30, 2024 and 2023, 95.9% and 88.6%, respectively, of KICO’s direct written premiums came from the New York policies. For the six months ended June 30, 2024 and 2023, 95.2% and 87.8%,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2023 and notes thereto included in the Company’s Annual Report on Form 10-K filed with the Securities and Exchange Commission (the “SEC”) on April 1, 2024.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and six months ended June 30, 2024 may not be indicative of the results that may be expected for the year ending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ceded premiums written within prior year net earned premiums in Note 6 were reclassified to conform with an elected change in the prior year presentation during the quarter ended September 30, 2023, by recording ceded written premiums for the 12 months of the contract term at inception, rather than monthly over the contract term, providing a full disclosure of the premiums ceded. The reclassification had no effect on the Company’s previously reported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Going Concern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 the Company’s Annual Report on Form 10-K for the year ended December 31, 2023 for further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$19,950,000 Notes Payable (the “2022 Notes”) are due on December 30, 2024. The Company’s continuation as a going concern is dependent on its ability to obtain financing and/or other funds to satisfy such obligation. Management believes that KICO’s insurance operations would be able to continue in the unlikely event that financing is not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2014-15, Presentation of Financial Statements—Going Concern (Subtopic 205-40), the Company has the responsibility to evaluate whether conditions and/or events raise substantial doubt about its ability to meet its future financial 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condensed consolidated financial statements are required if management concludes that substantial doubt exists or that its plans alleviate the substantial doubt that was raised.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Plan Related to Going Concern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continue as a going concern, the Company will need to obtain financing and/or other funds to satisfy its debt obligation on December 30, 2024. Management plans to refinance the 2022 Notes with a new issue of equity securities and/or debt securities that would result in net proceeds in an amount</w:t>
      </w:r>
    </w:p>
    <w:p>
      <w:pPr>
        <w:sectPr>
          <w:pgSz w:w="11900" w:h="16838" w:orient="portrait"/>
          <w:cols w:equalWidth="0" w:num="1">
            <w:col w:w="11240"/>
          </w:cols>
          <w:pgMar w:left="320" w:top="140" w:right="339" w:bottom="0" w:gutter="0" w:footer="0" w:header="0"/>
        </w:sectPr>
      </w:pPr>
    </w:p>
    <w:bookmarkStart w:id="7" w:name="page8"/>
    <w:bookmarkEnd w:id="7"/>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sufficient to satisfy the amounts due under the 2022 Notes. In connection therewith, the Company may utilize investment bankers to serve as underwriters or placement agents for proposed offerings by the Company of its securities (including debt, common and/or preferred securities). The Company, subject to regulatory approval, may receive distributions paid to it by KICO, its insurance subsidiary, that could be utilized to repay a portion of the 2022 Notes. Further, the Company may also use available invested assets and cash to repay a portion of the 2022 Notes. As of June 30, 2024, invested assets and cash of the Holding Company available for such purpose was approximately $2,716,000.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with early adoption permitted. The Company is currently evaluating the impact of ASU 2023-09 on its disclosures.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estimated fair value, and gross unrealized gains and losses on investments in fixed-maturity securities classified as available-for-sale for which an allowance for credit losses has not been recorded, as of June 30, 2024 and December 31, 2023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40" w:type="dxa"/>
            <w:vAlign w:val="bottom"/>
            <w:gridSpan w:val="4"/>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40,731,889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40,715,110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16,592,419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(3,337,986)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13,254,433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(3,337,986)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72,098,163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(5,850,585)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66,247,578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(5,850,585)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47,507,975</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2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(6,881,211)</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40,730,146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(6,777,829)</w:t>
            </w:r>
          </w:p>
        </w:tc>
        <w:tc>
          <w:tcPr>
            <w:tcW w:w="0" w:type="dxa"/>
            <w:vAlign w:val="bottom"/>
          </w:tcPr>
          <w:p>
            <w:pPr>
              <w:spacing w:after="0"/>
              <w:rPr>
                <w:sz w:val="1"/>
                <w:szCs w:val="1"/>
                <w:color w:val="auto"/>
              </w:rPr>
            </w:pPr>
          </w:p>
        </w:tc>
      </w:tr>
      <w:tr>
        <w:trPr>
          <w:trHeight w:val="22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176,930,446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(16,087,122)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160,947,267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(15,983,179)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40" w:type="dxa"/>
            <w:vAlign w:val="bottom"/>
            <w:gridSpan w:val="4"/>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7" w:orient="portrait"/>
          <w:cols w:equalWidth="0" w:num="1">
            <w:col w:w="11240"/>
          </w:cols>
          <w:pgMar w:left="320" w:top="12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20,954,764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16,607,713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75,993,042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113,761</w:t>
            </w:r>
          </w:p>
        </w:tc>
        <w:tc>
          <w:tcPr>
            <w:tcW w:w="20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(6,430,114)</w:t>
            </w:r>
          </w:p>
        </w:tc>
        <w:tc>
          <w:tcPr>
            <w:tcW w:w="0" w:type="dxa"/>
            <w:vAlign w:val="bottom"/>
          </w:tcPr>
          <w:p>
            <w:pPr>
              <w:spacing w:after="0"/>
              <w:rPr>
                <w:sz w:val="1"/>
                <w:szCs w:val="1"/>
                <w:color w:val="auto"/>
              </w:rPr>
            </w:pP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164,460,942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(15,636,188)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148,920,797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(15,540,145)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00" w:hanging="447"/>
        <w:spacing w:after="0" w:line="25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sale-leaseback transaction in a designated custodian account (see Note 7 – Debt - “Equipment Financing”). As of June 30, 2024 and December 31, 2023, the amount of required collateral was approximately $6,153,000 and $6,999,000, respectively. As of June 30, 2024 and December 31, 2023, the estimated fair value of the U.S. Treasury securities used as eligible collateral was approximately $11,934,000 and $11,960,000, respectively.</w:t>
      </w:r>
    </w:p>
    <w:p>
      <w:pPr>
        <w:spacing w:after="0" w:line="2" w:lineRule="exact"/>
        <w:rPr>
          <w:rFonts w:ascii="Times New Roman" w:cs="Times New Roman" w:eastAsia="Times New Roman" w:hAnsi="Times New Roman"/>
          <w:sz w:val="18"/>
          <w:szCs w:val="18"/>
          <w:color w:val="auto"/>
        </w:rPr>
      </w:pPr>
    </w:p>
    <w:p>
      <w:pPr>
        <w:jc w:val="both"/>
        <w:ind w:left="900" w:hanging="447"/>
        <w:spacing w:after="0" w:line="25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2024 and December 31, 2023, the estimated fair value of the eligible investments was approximately $10,626,000 and $11,412,000, respectively. KICO will retain all rights regarding all securities if pledged as collateral. As of June 30, 2024 and December 31, 2023 there was no outstanding balance on the FHLBNY credit line.</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June 30, 2024 and December 31, 2023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57,752,939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57,539,787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34,729,120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34,461,172</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29,943,749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28,178,864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31,803,338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30,416,618</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28,878,164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24,529,918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31,596,410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27,330,377</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12,847,619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9,968,552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15,426,651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12,237,321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47,507,975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40,730,146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50,905,423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176,930,446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160,947,267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164,460,942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fixed-maturity securities as of June 30, 2024 and December 31,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June 30,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(2,225,270)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7,525,052</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(775,432)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2,935,800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901,386</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14,029,806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399,134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(3,000,702)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11,428,238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10,713,915</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(669,232)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3,042,000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937,025</w:t>
            </w:r>
          </w:p>
        </w:tc>
      </w:tr>
    </w:tbl>
    <w:p>
      <w:pPr>
        <w:sectPr>
          <w:pgSz w:w="11900" w:h="16838" w:orient="portrait"/>
          <w:cols w:equalWidth="0" w:num="1">
            <w:col w:w="11240"/>
          </w:cols>
          <w:pgMar w:left="320" w:top="333" w:right="3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69,400</w:t>
            </w: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17,986,783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(3,539,259)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and estimated fair value of, and gross gains on, the Company’s other investments as of June 30, 2024 and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187"/>
        </w:trPr>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26"/>
        </w:trPr>
        <w:tc>
          <w:tcPr>
            <w:tcW w:w="4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$ 1,987,040</w:t>
            </w:r>
          </w:p>
        </w:tc>
        <w:tc>
          <w:tcPr>
            <w:tcW w:w="11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$ 2,205,797</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$ 4,192,837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$ 1,987,040</w:t>
            </w: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$ 3,897,150</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9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6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unrealized gross gains and losses on, investments in held-to-maturity fixed-maturity securities as of June 30, 2024 and December 31, 2023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6"/>
                <w:szCs w:val="16"/>
                <w:color w:val="auto"/>
              </w:rPr>
            </w:pPr>
          </w:p>
        </w:tc>
        <w:tc>
          <w:tcPr>
            <w:tcW w:w="108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$ 1,229,013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(22,880)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$ 1,182,249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(46,764)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(2,788)</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496,655</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Exchange traded debt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(66,361)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237,750</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(66,361)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(968,811)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4,048,600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(968,811)</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$ 7,049,978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(1,058,052)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$ 5,965,254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 (1,084,724)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6"/>
                <w:szCs w:val="16"/>
                <w:color w:val="auto"/>
              </w:rPr>
            </w:pPr>
          </w:p>
        </w:tc>
        <w:tc>
          <w:tcPr>
            <w:tcW w:w="108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Gains/</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$ 1,228,860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(18,163)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$ 1,218,828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500,060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(70,111)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234,000</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(70,111)</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(867,140)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4,153,260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(867,140)</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$ 7,052,541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(955,414)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$ 6,106,148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(946,393)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held-to-maturity securities by contractual maturity as of June 30, 2024 and December 31, 2023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8"/>
                <w:szCs w:val="18"/>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2"/>
        </w:trPr>
        <w:tc>
          <w:tcPr>
            <w:tcW w:w="59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240"/>
          </w:cols>
          <w:pgMar w:left="320" w:top="121" w:right="339" w:bottom="0" w:gutter="0" w:footer="0" w:header="0"/>
        </w:sectPr>
      </w:pPr>
    </w:p>
    <w:bookmarkStart w:id="10" w:name="page11"/>
    <w:bookmarkEnd w:id="10"/>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1,121,688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1,087,962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1,097,101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1,421,173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1,287,630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1,270,770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4,507,117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3,589,662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3,738,277</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7,049,978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5,965,254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held-to-maturity fixed-maturity securities as of June 30, 2024 and December 31,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1,156,591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1,319,511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2,339,220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2,737,220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322,638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353,770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72,252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39,227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1,535,798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3,389,276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3,163,242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68,745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170,394</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1,764,596</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1,451,356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3,267,456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2,992,848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redemptions of fixed-maturity securities held-to-maturity for the six months ended June 30, 2024 and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sale or maturity of fixed-maturity securities available-for-sale were $68,122,546 and $31,375,538 for the six months ended June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$3,538,730 and $81,054 for the six months ended June 30,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net gains on investments are summarized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Realized Losses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(328,757)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(423,367)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(328,757)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(418,247)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(333,419)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(425,776)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 Gains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657,145</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(18,848)</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(18,848)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(206,568)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657,145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118,661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414,091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295,687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777,888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118,661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414,091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295,687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777,888</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unrealized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99,813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918,561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1,435,033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(233,606)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492,785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1,422,013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64" w:orient="portrait"/>
          <w:cols w:equalWidth="0" w:num="1">
            <w:col w:w="11240"/>
          </w:cols>
          <w:pgMar w:left="320" w:top="140" w:right="339" w:bottom="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w:t>
      </w:r>
    </w:p>
    <w:p>
      <w:pPr>
        <w:sectPr>
          <w:pgSz w:w="11900" w:h="16864" w:orient="portrait"/>
          <w:cols w:equalWidth="0" w:num="1">
            <w:col w:w="11240"/>
          </w:cols>
          <w:pgMar w:left="320" w:top="140" w:right="339" w:bottom="0" w:gutter="0" w:footer="0" w:header="0"/>
          <w:type w:val="continuous"/>
        </w:sectPr>
      </w:pPr>
    </w:p>
    <w:bookmarkStart w:id="11" w:name="page12"/>
    <w:bookmarkEnd w:id="11"/>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identify any available-for-sale securities as of June 30, 2024 which presented a risk of loss due to credit deterioration of the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there were 138 and 140 fixed-maturity securities, respectively, that accounted for the gross unrealized losses. The Company determined that none of the unrealized losses were deemed to be credit losses for its portfolio of investments for the six months ended June 30, 2024 and 2023.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June 30,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5,979,360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(17,340)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5,979,360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(17,340)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13,169,433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(3,337,986)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13,169,433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(3,337,986)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66,247,579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(5,850,585)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66,247,579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(5,850,585)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37,025,197</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(6,881,211)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37,139,214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(6,882,588)</w:t>
            </w:r>
          </w:p>
        </w:tc>
        <w:tc>
          <w:tcPr>
            <w:tcW w:w="0" w:type="dxa"/>
            <w:vAlign w:val="bottom"/>
          </w:tcPr>
          <w:p>
            <w:pPr>
              <w:spacing w:after="0"/>
              <w:rPr>
                <w:sz w:val="1"/>
                <w:szCs w:val="1"/>
                <w:color w:val="auto"/>
              </w:rPr>
            </w:pPr>
          </w:p>
        </w:tc>
      </w:tr>
      <w:tr>
        <w:trPr>
          <w:trHeight w:val="221"/>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114,017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122,421,569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(16,087,122)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122,535,586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(16,088,499)</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2023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425"/>
        </w:trPr>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$ 5,974,440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w:t>
            </w:r>
          </w:p>
        </w:tc>
        <w:tc>
          <w:tcPr>
            <w:tcW w:w="10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38,675,604</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04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$ 6,063,428</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122,181,902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c>
          <w:tcPr>
            <w:tcW w:w="0" w:type="dxa"/>
            <w:vAlign w:val="bottom"/>
          </w:tcPr>
          <w:p>
            <w:pPr>
              <w:spacing w:after="0"/>
              <w:rPr>
                <w:sz w:val="1"/>
                <w:szCs w:val="1"/>
                <w:color w:val="auto"/>
              </w:rPr>
            </w:pPr>
          </w:p>
        </w:tc>
      </w:tr>
      <w:tr>
        <w:trPr>
          <w:trHeight w:val="22"/>
        </w:trPr>
        <w:tc>
          <w:tcPr>
            <w:tcW w:w="2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337" w:right="339"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indicating the fair value hierarchy of the valuation inputs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40,715,110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40,715,110</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13,254,433</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13,254,433</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66,247,578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66,247,578</w:t>
            </w:r>
          </w:p>
        </w:tc>
      </w:t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40,730,146</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40,730,146</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106,962,688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53,984,579</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160,947,267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11,428,238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11,428,238</w:t>
            </w:r>
          </w:p>
        </w:tc>
      </w:tr>
      <w:tr>
        <w:trPr>
          <w:trHeight w:val="20"/>
        </w:trPr>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118,390,926</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53,984,579</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172,375,505</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20,939,190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44,475,309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44,475,309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91,046,936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148,920,797</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14,762,340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105,809,276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163,683,137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June 30, 2024 and December 31, 2023. The Company measures this investment at fair value on a recurring basis. Fair value using NAV per share is as follows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25"/>
        </w:trPr>
        <w:tc>
          <w:tcPr>
            <w:tcW w:w="7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4,192,837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3,897,150</w:t>
            </w:r>
          </w:p>
        </w:tc>
      </w:tr>
      <w:tr>
        <w:trPr>
          <w:trHeight w:val="20"/>
        </w:trPr>
        <w:tc>
          <w:tcPr>
            <w:tcW w:w="7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on investments.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and the level of the fair value hierarchy of the Company’s 2022 Notes as of June 30, 2024 and December 31, 2023 not measured at fair value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2"/>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  18,850,978</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18,850,978</w:t>
            </w: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2"/>
        </w:trPr>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0005"/>
                    </a:xfrm>
                    <a:prstGeom prst="rect">
                      <a:avLst/>
                    </a:prstGeom>
                    <a:noFill/>
                  </pic:spPr>
                </pic:pic>
              </a:graphicData>
            </a:graphic>
          </wp:anchor>
        </w:drawing>
      </w:r>
    </w:p>
    <w:p>
      <w:pPr>
        <w:sectPr>
          <w:pgSz w:w="11900" w:h="16838" w:orient="portrait"/>
          <w:cols w:equalWidth="0" w:num="1">
            <w:col w:w="11240"/>
          </w:cols>
          <w:pgMar w:left="320" w:top="553" w:right="339" w:bottom="0" w:gutter="0" w:footer="0" w:header="0"/>
        </w:sectPr>
      </w:pPr>
    </w:p>
    <w:bookmarkStart w:id="13" w:name="page14"/>
    <w:bookmarkEnd w:id="13"/>
    <w:p>
      <w:pPr>
        <w:spacing w:after="0" w:line="62" w:lineRule="exact"/>
        <w:rPr>
          <w:sz w:val="20"/>
          <w:szCs w:val="20"/>
          <w:color w:val="auto"/>
        </w:rPr>
      </w:pPr>
    </w:p>
    <w:p>
      <w:pPr>
        <w:spacing w:after="0"/>
        <w:tabs>
          <w:tab w:leader="none" w:pos="6040" w:val="left"/>
          <w:tab w:leader="none" w:pos="7080" w:val="left"/>
          <w:tab w:leader="none" w:pos="7360" w:val="left"/>
          <w:tab w:leader="none" w:pos="7660" w:val="left"/>
          <w:tab w:leader="none" w:pos="8680" w:val="left"/>
          <w:tab w:leader="none" w:pos="9720" w:val="left"/>
          <w:tab w:leader="none" w:pos="10000" w:val="left"/>
          <w:tab w:leader="none" w:pos="10300" w:val="left"/>
        </w:tabs>
        <w:rPr>
          <w:sz w:val="20"/>
          <w:szCs w:val="20"/>
          <w:color w:val="auto"/>
        </w:rPr>
      </w:pPr>
      <w:r>
        <w:rPr>
          <w:rFonts w:ascii="Times New Roman" w:cs="Times New Roman" w:eastAsia="Times New Roman" w:hAnsi="Times New Roman"/>
          <w:sz w:val="18"/>
          <w:szCs w:val="18"/>
          <w:color w:val="auto"/>
        </w:rPr>
        <w:t>Senior Notes due 2024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tab/>
        <w:t>17,812,500</w:t>
        <w:tab/>
        <w:t>$</w:t>
      </w:r>
      <w:r>
        <w:rPr>
          <w:sz w:val="20"/>
          <w:szCs w:val="20"/>
          <w:color w:val="auto"/>
        </w:rPr>
        <w:tab/>
      </w:r>
      <w:r>
        <w:rPr>
          <w:rFonts w:ascii="Times New Roman" w:cs="Times New Roman" w:eastAsia="Times New Roman" w:hAnsi="Times New Roman"/>
          <w:sz w:val="18"/>
          <w:szCs w:val="18"/>
          <w:color w:val="auto"/>
        </w:rPr>
        <w:t>-</w:t>
        <w:tab/>
        <w:t>$</w:t>
        <w:tab/>
        <w:t>17,812,500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including their fair value level as of June 30,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0"/>
                <w:szCs w:val="20"/>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7,049,978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5,965,254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106,962,688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106,962,688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91,046,936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91,046,936</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53,984,579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53,984,579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57,873,861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57,873,861</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12,170,993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8,976,998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8,976,998</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15,176,140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15,176,140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13,604,808</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66,315,422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66,315,422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75,593,912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75,593,912</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net of accumulated depreciation, Level 3</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3,540,000</w:t>
            </w:r>
          </w:p>
        </w:tc>
      </w:t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10,481,596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10,481,596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12,837,140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12,837,140</w:t>
            </w:r>
          </w:p>
        </w:tc>
      </w:tr>
      <w:tr>
        <w:trPr>
          <w:trHeight w:val="630"/>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Direct</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Ceded</w:t>
            </w:r>
          </w:p>
        </w:tc>
        <w:tc>
          <w:tcPr>
            <w:tcW w:w="1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425"/>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102,819,939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(23,299,863)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79,520,076</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(1,813,141)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(18,583,421)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(20,396,562)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101,006,798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(41,883,284)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59,123,514</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95,244,390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(27,646,623)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67,597,767</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5,577,883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(15,412,501)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(9,834,618)</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100,822,273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(43,059,124)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57,763,149</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53,495,323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(12,070,646)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41,424,677</w:t>
            </w: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(2,484,903)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(8,636,162)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(11,121,065)</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51,010,420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(20,706,808)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30,303,612</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47,646,944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(11,541,070)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36,105,874</w:t>
            </w:r>
          </w:p>
        </w:tc>
      </w:tr>
      <w:tr>
        <w:trPr>
          <w:trHeight w:val="216"/>
        </w:trPr>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(9,842,677)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(6,597,678)</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50,891,943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(21,383,747)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29,508,196</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June 30, 2024 and December 31, 2023 was $4,955,431 and $3,797,590,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742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Loss and Loss Adjustment Expense Reserves</w:t>
            </w:r>
          </w:p>
        </w:tc>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 and LAE reserves: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5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121,817,862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118,339,513</w:t>
            </w:r>
          </w:p>
        </w:tc>
      </w:tr>
      <w:tr>
        <w:trPr>
          <w:trHeight w:val="216"/>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(33,288,650)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(27,659,500)</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88,529,212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90,680,013</w:t>
            </w:r>
          </w:p>
        </w:tc>
      </w:tr>
      <w:tr>
        <w:trPr>
          <w:trHeight w:val="209"/>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5"/>
        </w:trPr>
        <w:tc>
          <w:tcPr>
            <w:tcW w:w="8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3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33,094,050</w:t>
            </w:r>
          </w:p>
        </w:tc>
        <w:tc>
          <w:tcPr>
            <w:tcW w:w="12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44,639,365</w:t>
            </w:r>
          </w:p>
        </w:tc>
      </w:tr>
    </w:tbl>
    <w:p>
      <w:pPr>
        <w:sectPr>
          <w:pgSz w:w="11900" w:h="16900" w:orient="portrait"/>
          <w:cols w:equalWidth="0" w:num="1">
            <w:col w:w="11240"/>
          </w:cols>
          <w:pgMar w:left="320" w:top="121"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(996,155)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(19,253)</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32,097,895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44,620,112</w:t>
            </w:r>
          </w:p>
        </w:tc>
      </w:tr>
      <w:tr>
        <w:trPr>
          <w:trHeight w:val="209"/>
        </w:trPr>
        <w:tc>
          <w:tcPr>
            <w:tcW w:w="8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14,180,114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22,840,144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Prior years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18,883,752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25,346,289</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33,063,866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48,186,433</w:t>
            </w:r>
          </w:p>
        </w:tc>
      </w:tr>
      <w:tr>
        <w:trPr>
          <w:trHeight w:val="210"/>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87,563,241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87,113,692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29,014,249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30,447,918</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116,577,490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117,561,610</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Incurred losses and LAE are presented net of reinsurance recoveries under reinsurance contracts of $9,820,083 and $23,510,756 for the six months ended June 30, 2024 and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incurred loss and LAE development is based upon estimates by line of business and accident year. Prior year loss and LAE development incurred during the six months ended June 30, 2024 and 2023 was $996,155 favorable and $19,253 favorable, respectively. Management, on a quarterly basis, performs a review of open liability claims to assess carried case and incurred but not reported (“IBNR”) reserve levels, giving consideration to both Company and industry trends.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Claim-Based Methods </w:t>
      </w:r>
      <w:r>
        <w:rPr>
          <w:rFonts w:ascii="Times New Roman" w:cs="Times New Roman" w:eastAsia="Times New Roman" w:hAnsi="Times New Roman"/>
          <w:sz w:val="18"/>
          <w:szCs w:val="18"/>
          <w:color w:val="auto"/>
        </w:rPr>
        <w:t>– historical patterns of incremental incurred losses and paid LAE during various stages of development are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ectPr>
          <w:pgSz w:w="11900" w:h="16838" w:orient="portrait"/>
          <w:cols w:equalWidth="0" w:num="1">
            <w:col w:w="11240"/>
          </w:cols>
          <w:pgMar w:left="320" w:top="140" w:right="339" w:bottom="0" w:gutter="0" w:footer="0" w:header="0"/>
        </w:sectPr>
      </w:pPr>
    </w:p>
    <w:bookmarkStart w:id="15" w:name="page16"/>
    <w:bookmarkEnd w:id="1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2021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June 30, 2024, net of reinsurance, as well as the cumulative reported claims by accident year and total IBNR reserves as of June 30, 2024 included in the net incurred loss and allocated expense amounts. The historical information regarding incurred and paid claims development for the years ended December 31, 2015 to December 31, 2023 is presented as supplementary unaudited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reported claims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40" w:type="dxa"/>
            <w:vAlign w:val="bottom"/>
            <w:gridSpan w:val="3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Incurred Loss and Allocated Loss Adjustment Expenses, Net of Reinsurance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87"/>
        </w:trPr>
        <w:tc>
          <w:tcPr>
            <w:tcW w:w="1160" w:type="dxa"/>
            <w:vAlign w:val="bottom"/>
            <w:gridSpan w:val="2"/>
          </w:tcPr>
          <w:p>
            <w:pPr>
              <w:spacing w:after="0"/>
              <w:rPr>
                <w:sz w:val="16"/>
                <w:szCs w:val="16"/>
                <w:color w:val="auto"/>
              </w:rPr>
            </w:pPr>
          </w:p>
        </w:tc>
        <w:tc>
          <w:tcPr>
            <w:tcW w:w="8080" w:type="dxa"/>
            <w:vAlign w:val="bottom"/>
            <w:tcBorders>
              <w:top w:val="single" w:sz="8" w:color="auto"/>
            </w:tcBorders>
            <w:gridSpan w:val="47"/>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Six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17"/>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Claims by</w:t>
            </w: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17"/>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Accident</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Accident Year</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IBNR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11"/>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(Unaudited 2015 - 2023)</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8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$ 22,340</w:t>
            </w:r>
          </w:p>
        </w:tc>
        <w:tc>
          <w:tcPr>
            <w:tcW w:w="6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$ 21,994</w:t>
            </w:r>
          </w:p>
        </w:tc>
        <w:tc>
          <w:tcPr>
            <w:tcW w:w="8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$ 22,148</w:t>
            </w:r>
          </w:p>
        </w:tc>
        <w:tc>
          <w:tcPr>
            <w:tcW w:w="8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$ 22,491</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$ 23,386</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$ 23,291</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1"/>
              </w:rPr>
              <w:t>$ 23,528</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$ 23,533</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$ 23,428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23,523</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26,062</w:t>
            </w:r>
          </w:p>
        </w:tc>
        <w:tc>
          <w:tcPr>
            <w:tcW w:w="8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24,941</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24,789</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27,887</w:t>
            </w: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27,966</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27,417</w:t>
            </w: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27,352</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27,271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27,328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31,605</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32,169</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35,304</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36,160</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36,532</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36,502</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37,012</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54,455</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56,351</w:t>
            </w: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58,441</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59,404</w:t>
            </w: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61,237</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61,358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75,092</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72,368</w:t>
            </w: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71,544</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71,964</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73,740</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63,083</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62,833</w:t>
            </w: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63,217</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63,562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63,659</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96,425</w:t>
            </w: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96,673</w:t>
            </w: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96,683</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79,835</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78,759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79,099</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75,352</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30,054</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
        </w:trPr>
        <w:tc>
          <w:tcPr>
            <w:tcW w:w="9240" w:type="dxa"/>
            <w:vAlign w:val="bottom"/>
            <w:tcBorders>
              <w:right w:val="single" w:sz="8" w:color="auto"/>
            </w:tcBorders>
            <w:gridSpan w:val="49"/>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567,809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192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240" w:type="dxa"/>
            <w:vAlign w:val="bottom"/>
            <w:gridSpan w:val="58"/>
          </w:tcPr>
          <w:p>
            <w:pPr>
              <w:jc w:val="center"/>
              <w:ind w:right="101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4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Cumulative Paid Loss and Allocated Loss Adjustment Expenses, Net of Reinsurance</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240" w:type="dxa"/>
            <w:vAlign w:val="bottom"/>
            <w:gridSpan w:val="58"/>
          </w:tcPr>
          <w:p>
            <w:pPr>
              <w:spacing w:after="0"/>
              <w:rPr>
                <w:sz w:val="20"/>
                <w:szCs w:val="20"/>
                <w:color w:val="auto"/>
              </w:rPr>
            </w:pPr>
            <w:r>
              <w:rPr>
                <w:rFonts w:ascii="Times New Roman" w:cs="Times New Roman" w:eastAsia="Times New Roman" w:hAnsi="Times New Roman"/>
                <w:sz w:val="18"/>
                <w:szCs w:val="18"/>
                <w:b w:val="1"/>
                <w:bCs w:val="1"/>
                <w:color w:val="auto"/>
              </w:rPr>
              <w:t>Six</w:t>
            </w:r>
          </w:p>
        </w:tc>
        <w:tc>
          <w:tcPr>
            <w:tcW w:w="0" w:type="dxa"/>
            <w:vAlign w:val="bottom"/>
          </w:tcPr>
          <w:p>
            <w:pPr>
              <w:spacing w:after="0"/>
              <w:rPr>
                <w:sz w:val="1"/>
                <w:szCs w:val="1"/>
                <w:color w:val="auto"/>
              </w:rPr>
            </w:pPr>
          </w:p>
        </w:tc>
      </w:tr>
      <w:tr>
        <w:trPr>
          <w:trHeight w:val="216"/>
        </w:trPr>
        <w:tc>
          <w:tcPr>
            <w:tcW w:w="11240" w:type="dxa"/>
            <w:vAlign w:val="bottom"/>
            <w:gridSpan w:val="58"/>
          </w:tcPr>
          <w:p>
            <w:pP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1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4"/>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09"/>
        </w:trPr>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Accident Year</w:t>
            </w:r>
          </w:p>
        </w:tc>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1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2015 - 2023)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12,295</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16,181</w:t>
            </w: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18,266</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19,984</w:t>
            </w:r>
          </w:p>
        </w:tc>
        <w:tc>
          <w:tcPr>
            <w:tcW w:w="118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21,067</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22,104</w:t>
            </w: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22,318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22,473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22,519</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19,001</w:t>
            </w:r>
          </w:p>
        </w:tc>
        <w:tc>
          <w:tcPr>
            <w:tcW w:w="16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21,106</w:t>
            </w:r>
          </w:p>
        </w:tc>
        <w:tc>
          <w:tcPr>
            <w:tcW w:w="11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23,974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25,234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26,382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26,854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16,704</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24,820</w:t>
            </w:r>
          </w:p>
        </w:tc>
        <w:tc>
          <w:tcPr>
            <w:tcW w:w="118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31,393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33,522</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34,683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32,383</w:t>
            </w:r>
          </w:p>
        </w:tc>
        <w:tc>
          <w:tcPr>
            <w:tcW w:w="11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44,516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50,553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54,424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56,199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54,897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60,374</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63,932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80" w:type="dxa"/>
            <w:vAlign w:val="bottom"/>
            <w:tcBorders>
              <w:bottom w:val="single" w:sz="8" w:color="CCEEFF"/>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39,045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50,719</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53,432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56,523</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58,759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7"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2021</w:t>
            </w:r>
          </w:p>
        </w:tc>
        <w:tc>
          <w:tcPr>
            <w:tcW w:w="6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56,282</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77,756</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82,317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84,723</w:t>
            </w:r>
          </w:p>
        </w:tc>
      </w:tr>
      <w:tr>
        <w:trPr>
          <w:trHeight w:val="216"/>
        </w:trPr>
        <w:tc>
          <w:tcPr>
            <w:tcW w:w="1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2022</w:t>
            </w:r>
          </w:p>
        </w:tc>
        <w:tc>
          <w:tcPr>
            <w:tcW w:w="64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45,856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65,732</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67,446</w:t>
            </w:r>
          </w:p>
        </w:tc>
      </w:tr>
      <w:tr>
        <w:trPr>
          <w:trHeight w:val="216"/>
        </w:trPr>
        <w:tc>
          <w:tcPr>
            <w:tcW w:w="18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2023</w:t>
            </w:r>
          </w:p>
        </w:tc>
        <w:tc>
          <w:tcPr>
            <w:tcW w:w="6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46,280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55,579</w:t>
            </w:r>
          </w:p>
        </w:tc>
      </w:tr>
      <w:tr>
        <w:trPr>
          <w:trHeight w:val="216"/>
        </w:trPr>
        <w:tc>
          <w:tcPr>
            <w:tcW w:w="1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2024</w:t>
            </w:r>
          </w:p>
        </w:tc>
        <w:tc>
          <w:tcPr>
            <w:tcW w:w="6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00" w:type="dxa"/>
            <w:vAlign w:val="bottom"/>
          </w:tcPr>
          <w:p>
            <w:pPr>
              <w:spacing w:after="0"/>
              <w:rPr>
                <w:sz w:val="18"/>
                <w:szCs w:val="18"/>
                <w:color w:val="auto"/>
              </w:rPr>
            </w:pPr>
          </w:p>
        </w:tc>
      </w:tr>
      <w:tr>
        <w:trPr>
          <w:trHeight w:val="210"/>
        </w:trPr>
        <w:tc>
          <w:tcPr>
            <w:tcW w:w="182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485,382</w:t>
            </w:r>
          </w:p>
        </w:tc>
      </w:tr>
      <w:tr>
        <w:trPr>
          <w:trHeight w:val="209"/>
        </w:trPr>
        <w:tc>
          <w:tcPr>
            <w:tcW w:w="182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Net liability for unpaid loss and allocated loss adjustment expenses for the accident years presented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82,427</w:t>
            </w:r>
          </w:p>
        </w:tc>
      </w:tr>
      <w:tr>
        <w:trPr>
          <w:trHeight w:val="216"/>
        </w:trPr>
        <w:tc>
          <w:tcPr>
            <w:tcW w:w="1820" w:type="dxa"/>
            <w:vAlign w:val="bottom"/>
          </w:tcPr>
          <w:p>
            <w:pPr>
              <w:spacing w:after="0"/>
              <w:rPr>
                <w:sz w:val="18"/>
                <w:szCs w:val="18"/>
                <w:color w:val="auto"/>
              </w:rPr>
            </w:pPr>
          </w:p>
        </w:tc>
        <w:tc>
          <w:tcPr>
            <w:tcW w:w="8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All outstanding liabilities before 2015, net of reinsurance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8"/>
                <w:szCs w:val="18"/>
                <w:color w:val="auto"/>
              </w:rPr>
            </w:pPr>
          </w:p>
        </w:tc>
      </w:tr>
      <w:tr>
        <w:trPr>
          <w:trHeight w:val="250"/>
        </w:trPr>
        <w:tc>
          <w:tcPr>
            <w:tcW w:w="18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Liabilities for loss and allocated loss adjustment expenses, net of reinsurance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totals due to rounding)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loss development tables to the loss and LAE reserves in the condensed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 Upon the expiration of the 2023/2024 Treaty on January 1, 2024, the Company entered into a new 27% quota share reinsurance treaty for its personal lines business, covering the period from January 1, 2024 through January 1, 2025 (“2024/2025 Treaty”).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2024 and the Company entered into new excess of loss and catastrophe reinsurance treaties effective July 1, 2024. Effective January 1, 2022, the Company entered into an underlying excess of loss reinsurance treaty (“Underlying XOL Treaty”) covering the period from January 1, 2022 through January 1, 2023. The treaty provided 50% reinsurance coverage for losses of $400,000 in excess of $600,000. Losses from named storms are excluded from the treaty. Effective January 1, 2023, the Underlying XOL Treaty was renewed covering the period from January 1, 2023 through January 1, 2024. Effective January 1, 2024, the Underlying XOL Treaty was renewed covering the period from January 1, 2024 through January 1, 2025. Material terms for reinsurance treaties in effect for the treaty years shown below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Treaty Period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12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10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12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1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Homeowners,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dwelling fire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and canine legal</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Quota share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treaty:</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Percent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ceded (7)</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1580" w:type="dxa"/>
            <w:vAlign w:val="bottom"/>
            <w:gridSpan w:val="3"/>
          </w:tcPr>
          <w:p>
            <w:pPr>
              <w:ind w:left="420"/>
              <w:spacing w:after="0" w:line="198" w:lineRule="exact"/>
              <w:rPr>
                <w:sz w:val="20"/>
                <w:szCs w:val="20"/>
                <w:color w:val="auto"/>
              </w:rPr>
            </w:pPr>
            <w:r>
              <w:rPr>
                <w:rFonts w:ascii="Times New Roman" w:cs="Times New Roman" w:eastAsia="Times New Roman" w:hAnsi="Times New Roman"/>
                <w:sz w:val="18"/>
                <w:szCs w:val="18"/>
                <w:color w:val="auto"/>
              </w:rPr>
              <w:t>Risk retained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 initial</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   1,000,000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4"/>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losses (5) (6)</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Losses per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occurrence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subject to</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quota share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coverage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198"/>
        </w:trPr>
        <w:tc>
          <w:tcPr>
            <w:tcW w:w="1580" w:type="dxa"/>
            <w:vAlign w:val="bottom"/>
            <w:gridSpan w:val="3"/>
          </w:tcPr>
          <w:p>
            <w:pPr>
              <w:ind w:left="820"/>
              <w:spacing w:after="0" w:line="198" w:lineRule="exact"/>
              <w:rPr>
                <w:sz w:val="20"/>
                <w:szCs w:val="20"/>
                <w:color w:val="auto"/>
              </w:rPr>
            </w:pPr>
            <w:r>
              <w:rPr>
                <w:rFonts w:ascii="Times New Roman" w:cs="Times New Roman" w:eastAsia="Times New Roman" w:hAnsi="Times New Roman"/>
                <w:sz w:val="18"/>
                <w:szCs w:val="18"/>
                <w:color w:val="auto"/>
                <w:w w:val="97"/>
              </w:rPr>
              <w:t>Expiration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January 1, 2025</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January 1, 2025</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January 1, 2024</w:t>
            </w: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January 1, 2024</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January 1, 2023</w:t>
            </w: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234"/>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Excess of loss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coverage and</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facultative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coverage (1)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 (6)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8,000,000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8,400,000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in excess of</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 excess of</w:t>
            </w: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in excess of</w:t>
            </w: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in excess of</w:t>
            </w:r>
          </w:p>
        </w:tc>
        <w:tc>
          <w:tcPr>
            <w:tcW w:w="26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in excess of</w:t>
            </w:r>
          </w:p>
        </w:tc>
        <w:tc>
          <w:tcPr>
            <w:tcW w:w="2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in excess of</w:t>
            </w:r>
          </w:p>
        </w:tc>
        <w:tc>
          <w:tcPr>
            <w:tcW w:w="24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 excess of</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198"/>
        </w:trPr>
        <w:tc>
          <w:tcPr>
            <w:tcW w:w="1580" w:type="dxa"/>
            <w:vAlign w:val="bottom"/>
            <w:gridSpan w:val="3"/>
          </w:tcPr>
          <w:p>
            <w:pPr>
              <w:ind w:left="420"/>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per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occurrence (5) (6)</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8,000,000</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8,500,000</w:t>
            </w: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Losses per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occurrence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subject to</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coverage (6)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270"/>
        </w:trPr>
        <w:tc>
          <w:tcPr>
            <w:tcW w:w="1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Expiration date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30, 2025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162"/>
        </w:trPr>
        <w:tc>
          <w:tcPr>
            <w:tcW w:w="860" w:type="dxa"/>
            <w:vAlign w:val="bottom"/>
          </w:tcPr>
          <w:p>
            <w:pPr>
              <w:ind w:left="220"/>
              <w:spacing w:after="0" w:line="162"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Catastrophe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Initial loss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subject to personal</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lines quota</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treaty (6)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198"/>
        </w:trPr>
        <w:tc>
          <w:tcPr>
            <w:tcW w:w="1580" w:type="dxa"/>
            <w:vAlign w:val="bottom"/>
            <w:gridSpan w:val="3"/>
          </w:tcPr>
          <w:p>
            <w:pPr>
              <w:ind w:left="420"/>
              <w:spacing w:after="0" w:line="198" w:lineRule="exact"/>
              <w:rPr>
                <w:sz w:val="20"/>
                <w:szCs w:val="20"/>
                <w:color w:val="auto"/>
              </w:rPr>
            </w:pPr>
            <w:r>
              <w:rPr>
                <w:rFonts w:ascii="Times New Roman" w:cs="Times New Roman" w:eastAsia="Times New Roman" w:hAnsi="Times New Roman"/>
                <w:sz w:val="18"/>
                <w:szCs w:val="18"/>
                <w:color w:val="auto"/>
              </w:rPr>
              <w:t>Risk retained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 catastrophe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occurrence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7"/>
              </w:rPr>
              <w:t>(6) (7) (8)</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4,750,000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9,500,000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8,750,000</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7,400,000</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7,400,000</w:t>
            </w: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Catastrophe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coverage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in excess of</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quota share</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coverage (2)</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$ 275,000,000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315,000,000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315,000,000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335,000,000</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490,000,000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Reinstatement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gridSpan w:val="3"/>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protection</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Yes</w:t>
            </w: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2"/>
              </w:rPr>
              <w:t>Yes</w:t>
            </w:r>
          </w:p>
        </w:tc>
        <w:tc>
          <w:tcPr>
            <w:tcW w:w="2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26"/>
        </w:trPr>
        <w:tc>
          <w:tcPr>
            <w:tcW w:w="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 (4)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00" w:right="20" w:hanging="439"/>
        <w:spacing w:after="0" w:line="261" w:lineRule="auto"/>
        <w:tabs>
          <w:tab w:leader="none" w:pos="880" w:val="left"/>
        </w:tabs>
        <w:rPr>
          <w:sz w:val="20"/>
          <w:szCs w:val="20"/>
          <w:color w:val="auto"/>
        </w:rPr>
      </w:pPr>
      <w:r>
        <w:rPr>
          <w:rFonts w:ascii="Times New Roman" w:cs="Times New Roman" w:eastAsia="Times New Roman" w:hAnsi="Times New Roman"/>
          <w:sz w:val="18"/>
          <w:szCs w:val="18"/>
          <w:color w:val="auto"/>
        </w:rPr>
        <w:t>(1)</w:t>
        <w:tab/>
        <w:t>For personal lines, includes the addition of an automatic facultative facility allowing KICO to obtain homeowners single risk coverage up to $9,000,000 in total insured value, which covers direct losses from $3,500,000 to $9,000,000 through June 30, 2025.</w:t>
      </w: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(2)</w:t>
        <w:tab/>
        <w:t>Catastrophe coverage is limited on an annual basis to two times the per occurrence amounts. Duration of 168 consecutive hours for a catastrophe occurrence from windstorm, hail, tornado, hurricane and cyclone.</w:t>
      </w:r>
    </w:p>
    <w:p>
      <w:pPr>
        <w:spacing w:after="0" w:line="1" w:lineRule="exact"/>
        <w:rPr>
          <w:sz w:val="20"/>
          <w:szCs w:val="20"/>
          <w:color w:val="auto"/>
        </w:rPr>
      </w:pP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(3)</w:t>
        <w:tab/>
        <w:t>For the period July 1, 2022 through June 30, 2023, reinstatement premium protection for $12,500,000 of catastrophe coverage in excess of $10,000,000. For the period July 1, 2023 through June 30, 2024, reinstatement premium protection for $50,000,000 of catastrophe coverage in excess of $10,000,000.</w:t>
      </w:r>
    </w:p>
    <w:p>
      <w:pPr>
        <w:spacing w:after="0" w:line="1" w:lineRule="exact"/>
        <w:rPr>
          <w:sz w:val="20"/>
          <w:szCs w:val="20"/>
          <w:color w:val="auto"/>
        </w:rPr>
      </w:pP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(4)</w:t>
        <w:tab/>
        <w:t>For the period July 1, 2024 through June 30, 2025 (expiration date of the catastrophe reinsurance treaty), reinstatement premium protection for $10,500,000 of catastrophe coverage in excess of $10,000,000.</w:t>
      </w:r>
    </w:p>
    <w:p>
      <w:pPr>
        <w:spacing w:after="0" w:line="1" w:lineRule="exact"/>
        <w:rPr>
          <w:sz w:val="20"/>
          <w:szCs w:val="20"/>
          <w:color w:val="auto"/>
        </w:rPr>
      </w:pP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(5)</w:t>
        <w:tab/>
        <w:t>For the period January 1, 2022 through January 1, 2025, Underlying XOL Treaty provides 50% reinsurance coverage for losses of $400,000 in excess of $600,000. Excludes losses from named storms. Reduces retention to $500,000 from $700,000 under the 2021/2023 Treaty and 2023/2024 Treaty. Reduces retention to $530,000 from $730,000 under the 2024/2025 Treaty. After the expiration of the Underlying XOL Treaty and 2024/2025 Treaty on January 1, 2025, retention will be $1,000,000.</w:t>
      </w:r>
    </w:p>
    <w:p>
      <w:pPr>
        <w:spacing w:after="0" w:line="2" w:lineRule="exact"/>
        <w:rPr>
          <w:sz w:val="20"/>
          <w:szCs w:val="20"/>
          <w:color w:val="auto"/>
        </w:rPr>
      </w:pP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(6)</w:t>
        <w:tab/>
        <w:t>Personal lines quota share (homeowners, dwelling fire and canine liability) and underlying excess of loss reinsurance will expire on January 1, 2025, with none of these coverages to be in effect during the period from January 2, 2025 through June 30, 2025. Reinsurance coverage in effect from January 2, 2025 through June 30, 2025 is only for excess of loss and catastrophe reinsurance treaties.</w:t>
      </w:r>
    </w:p>
    <w:p>
      <w:pPr>
        <w:spacing w:after="0" w:line="1" w:lineRule="exact"/>
        <w:rPr>
          <w:sz w:val="20"/>
          <w:szCs w:val="20"/>
          <w:color w:val="auto"/>
        </w:rPr>
      </w:pPr>
    </w:p>
    <w:p>
      <w:pPr>
        <w:jc w:val="both"/>
        <w:ind w:left="900" w:hanging="439"/>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(7)</w:t>
        <w:tab/>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(8)</w:t>
        <w:tab/>
        <w:t>Plus losses in excess of catastrophe coverage</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8" w:name="page19"/>
    <w:bookmarkEnd w:id="18"/>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187"/>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2022</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8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20"/>
                <w:szCs w:val="20"/>
                <w:color w:val="auto"/>
              </w:rPr>
            </w:pPr>
          </w:p>
        </w:tc>
      </w:tr>
      <w:tr>
        <w:trPr>
          <w:trHeight w:val="385"/>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6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86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86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Expiration date</w:t>
            </w: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June 30, 2024</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June 30, 2023</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ind w:left="22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07" w:lineRule="exact"/>
        <w:rPr>
          <w:sz w:val="20"/>
          <w:szCs w:val="20"/>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earned ceding commission revenue under the 2024/2025 Treaty for the six months ended June 30, 2024, and under the 2023/2024 Treaty for the six months ended June 30, 2023, based on a fixed provisional commission rate at which provisional ceding commissions are earned. The Company earned ceding commission revenue under its quota share reinsurance agreements that expired prior to the 2021/2023 Treaty based on: (i) a fixed provisional commission rate at which provisional ceding commissions were earned, and (ii) under certain of the quota share reinsurance agreements,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4,561,998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5,294,025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9,117,238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10,740,833</w:t>
            </w:r>
          </w:p>
        </w:tc>
      </w:tr>
      <w:tr>
        <w:trPr>
          <w:trHeight w:val="216"/>
        </w:trPr>
        <w:tc>
          <w:tcPr>
            <w:tcW w:w="6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116,784</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4,561,961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5,412,210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9,129,072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10,857,617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June 30, 2024 and December 31, 2023, net contingent ceding commissions payable to reinsurers under all treaties was approximately $723,000 and $3,302,000, respectively, which is recorded in reinsurance balances payable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the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June 30, 2024 and December 31, 2023, no impairment has been recognized. FHLBNY members have access to a variety of flexible, low cost funding through FHLBNY’s credit products, enabling members to customize advances, which are to be fully collateralized. Eligible collateral to pledge to FHLBNY includes</w:t>
      </w:r>
    </w:p>
    <w:p>
      <w:pPr>
        <w:sectPr>
          <w:pgSz w:w="11900" w:h="16878" w:orient="portrait"/>
          <w:cols w:equalWidth="0" w:num="1">
            <w:col w:w="11240"/>
          </w:cols>
          <w:pgMar w:left="320" w:top="108" w:right="339" w:bottom="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KICO is currently only able to borrow on an overnight basis. If KICO has sufficient available collateral (as discussed below), based on KICO’s net admitted assets, the maximum allowable advance as of June 30, 2024 and December 31, 2023 was approximately $12,692,000 and $12,813,000, respectively. Available collateral as of June 30, 2024 and December 31, 2023 was approximately $10,626,000 and $11,412,000, respectively. Advances are limited to 85% of the amount of available collateral. There were no borrowings under this facility during the six months ended June 30, 2024 and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8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as of June 30, 2024 and December 31, 2023 consists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 Notes,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19,020,085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18,426,247</w:t>
            </w:r>
          </w:p>
        </w:tc>
      </w:tr>
      <w:tr>
        <w:trPr>
          <w:trHeight w:val="216"/>
        </w:trPr>
        <w:tc>
          <w:tcPr>
            <w:tcW w:w="8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Equipment financing</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6,248,779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6,817,283</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25,268,864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25,243,530</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and Warrant Exchange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on December 15, 2022, the Company issued the 2022 Notes in the aggregate principal amount of $19,950,000 pursuant to the Exchange Agreement. Interest is payable semi-annually in arrears on June 30 and December 30 of each year, which commenced on June 30, 2023 at the rate of 12.0% per annum. Warrants were issued with a fair value of $993,200 (see Note 8 – Stockholders’ Equity) and transaction costs were $1,758,112, for an effective yield of 13.92% per annum. The balance of the 2022 Notes as of June 30, 2024 and December 31, 2023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 Senior Unsecured Notes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19,950,000</w:t>
            </w:r>
          </w:p>
        </w:tc>
        <w:tc>
          <w:tcPr>
            <w:tcW w:w="0" w:type="dxa"/>
            <w:vAlign w:val="bottom"/>
          </w:tcPr>
          <w:p>
            <w:pPr>
              <w:spacing w:after="0"/>
              <w:rPr>
                <w:sz w:val="1"/>
                <w:szCs w:val="1"/>
                <w:color w:val="auto"/>
              </w:rPr>
            </w:pPr>
          </w:p>
        </w:tc>
      </w:tr>
      <w:tr>
        <w:trPr>
          <w:trHeight w:val="216"/>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(489,842)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(653,123)</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Issuance costs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(440,073)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(870,630)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2022 Notes, net</w:t>
            </w:r>
          </w:p>
        </w:tc>
        <w:tc>
          <w:tcPr>
            <w:tcW w:w="4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19,020,085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18,426,247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780" w:type="dxa"/>
            <w:vAlign w:val="bottom"/>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6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Exchange Agreement provided for a mandatory redemption of the 2022 Notes on December 30, 2023, in an amount such that the aggregate principal amount of the 2022 Notes to be redeemed plus accrued and unpaid interest thereon was to be equal to the amount by which the maximum Ordinary Dividend Paying Capacity of KICO (as defined below) measured as of December 15, 2023 exceeded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during the calendar year ended December 31, 2023 on the 2022 Notes, intercompany loans and any other indebtedness of the Holding Company on a stand-alone basis and (ii) other cash operating expenses, including taxes, paid by the Holding Company during the calendar year ended December 31, 2023. The amount of other operating expenses paid in cash in the preceding clause (ii) shall not exceed $2.5 million. Holding Company Expenses was determined based on the actual Holding Company Expenses for the nine months ended September 30, 2023, and an estimate of Holding Company Expenses for the three months ended December 30, 2023. The Ordinary Dividend Paying Capacity of KICO as defined above as of December 31, 2023 was zero and, accordingly, the Company was not required to make a mandatory redemption of the 2022 Notes on December 30, 2023.</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w:t>
      </w:r>
    </w:p>
    <w:p>
      <w:pPr>
        <w:sectPr>
          <w:pgSz w:w="11900" w:h="16838" w:orient="portrait"/>
          <w:cols w:equalWidth="0" w:num="1">
            <w:col w:w="11240"/>
          </w:cols>
          <w:pgMar w:left="320" w:top="121" w:right="339" w:bottom="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2022 Notes are redeemable, at the Company’s option, in whole or in part, at any time or in part from time to time, on and after December 30, 2022, upon not less than fifteen (15) and not more than sixty (60) days’ notice, at the following redemption prices (“Redemption Prices” )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2022 to December 29, 2023</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December 30, 2023 to September 29, 2024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to December 29, 2024</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plans to refinance the 2022 Notes with a new issue of equity securities and/or debt securities in an amount sufficient to satisfy the amounts due under the 2022 Notes. In connection therewith, the Company may utilize investment bankers to serve as underwriters or placement agents for proposed offerings by the Company of its securities (including debt, common and/or preferred securities). The Company, subject to regulatory approval, may receive distributions paid to it by KICO, its insurance subsidiary, that could be utilized to repay a portion of the 2022 Notes. Further, the Company may also use available invested assets and cash to repay a portion of the 2022 Notes. As of June 30, 2024, invested assets and cash of the Holding Company available for such purpose was approximately $2,716,000.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June 30, 2024 and December 31, 2023, the ratio as defined under the Leverage Maintenance Test was 27.2% and 29.9%, respectively. “Total Consolidated Indebtedness” is the aggregate principal amount (or accreted value in the case of any Indebtedness issued with more than de minimis original issue discount) of all outstanding long-term debt of the Company except for the sale- leaseback transaction described below under “Equipment Financing”, any refinancing or any future sale-leaseback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920" w:hanging="467"/>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June 30, 2024 and December 31, 2023, the amount of required collateral was approximately $6,153,000 and $6,999,000, respectively. As of June 30, 2024, the fair value of KICO’s pledged collateral was approximately $12,581,000, consisting of approximately $11,934,000 in United States Treasury securities and the remaining balance of $647,000 in cash. As of December 31, 2023, the fair value of KICO’s pledged collateral was approximately $11,960,000 in United States Treasury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June 30, 2024 are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840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585,358</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1,223,293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1,296,901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1,119,021</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4,224,573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2027 purchase price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2,024,206</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6,248,779</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 and Paid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11, 2022, the Company’s Board of Directors determined to suspend regular quarterly dividends. Future dividend policy will be subject to the discretion of the Company’s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 The 2014 Plan terminated on August 12, 2024 and no further awards may be granted under the 2014 Plan after such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128,037 shares reserved for grants under the 2014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Equity Participation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August 7, 2024, the Company’s stockholders approved the Company’s 2024 Equity Participation Plan (see Note 13 -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June 30, 2024 and 2023 include stock-based compensation expense for stock options totaling approximately $53,000 and $-0-, respectively. The results of operations for the three and six months ended June 30, 2024 and 2023 include stock-based compensation expense for stock options totaling approximately $106,000 and $-0-, respectively, which is included in other operating expenses on the accompanying condensed consolidated statements of operations and comprehensive income (loss). Stock-based compensation expense related to stock options for the six months ended June 30, 2024 is net of estimated forfeitures of approximately 12%. Such amounts have been included in the condensed consolidated statements of operations and comprehensive income (loss) within other operating expenses.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weighted average estimated fair value of stock options granted during the six months ended June 30, 2024 was $1.24 per share. No options were granted during the six months ended June 30, 2023.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74.72%</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3.50 years</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A summary of stock option activity under the Company’s 2014 Plan for the six months ended June 30, 2024 is as follows: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876,563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73,913</w:t>
            </w:r>
          </w:p>
        </w:tc>
      </w:tr>
      <w:tr>
        <w:trPr>
          <w:trHeight w:val="209"/>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770,000</w:t>
            </w:r>
          </w:p>
        </w:tc>
      </w:tr>
      <w:tr>
        <w:trPr>
          <w:trHeight w:val="196"/>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June 30, 2024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June 30, 2024 is calculated as the difference between the exercise price of the underlying options and the market price of the Company’s Common Stock for the options that had exercise prices that were lower than the $5.00 closing price of the Company’s Common Stock on June 30, 2024. The total intrinsic value of options when forfeited are determined as of the date of forfeiture. The total intrinsic value of options when expired are determined as of the date of expiration.</w:t>
      </w:r>
    </w:p>
    <w:p>
      <w:pPr>
        <w:sectPr>
          <w:pgSz w:w="11900" w:h="16838" w:orient="portrait"/>
          <w:cols w:equalWidth="0" w:num="1">
            <w:col w:w="11240"/>
          </w:cols>
          <w:pgMar w:left="320" w:top="121" w:right="339" w:bottom="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estimated fair value of unamortized compensation cost related to 280,000 unvested stock option awards was approximately $192,000. Unamortized compensation cost as of June 30, 2024 is expected to be recognized over a remaining weighted-average vesting period of 2.52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2014 Plan for six months ended June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72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2,103,219</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416,211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(234,653)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(436,455)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(9,120)</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492,487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2,073,370</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three months ended June 30, 2024 and 2023, stock-based compensation for these grants was approximately $228,000 and $212,000, respectively, which is included in other operating expenses on the accompanying condensed consolidated statements of operations and comprehensive income (loss). For the six months ended June 30, 2024 and 2023, stock-based compensation for these grants was approximately $441,000 and $429,000,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Agreement (see Note 7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warrants were granted during the six months ended June 30,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Pursuant to the requirements of Form S-3, the Company currently may sell pursuant to the Shelf Registration Statement, during any 12 month period, equity securities having an aggregate market value of no more than one-third of the aggregate market value of the shares of its Common Stock held by non-affiliates. Any offering made pursuant to the Shelf Registration Statement may only be made by means of a prospectus, including a prospectus supplement, forming a part of the effective Shelf Registration Statement, relating to the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At-the-Market Offering</w:t>
      </w:r>
    </w:p>
    <w:p>
      <w:pPr>
        <w:spacing w:after="0" w:line="225" w:lineRule="exact"/>
        <w:rPr>
          <w:sz w:val="20"/>
          <w:szCs w:val="20"/>
          <w:color w:val="auto"/>
        </w:rPr>
      </w:pPr>
    </w:p>
    <w:p>
      <w:pPr>
        <w:jc w:val="both"/>
        <w:ind w:firstLine="50"/>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a Sales Agreement with Janney Montgomery Scott LLC (the “Sales Agent”) under which the Company currently has the ability to issue and sell shares of its Common Stock, from time to time, through the Sales Agent, pursuant to the Shelf Registration Statement, up to an aggregate offering price of approximately $16,400,000 in what is commonly referred to as an “at-the-market” (“ATM”) program. During the three months ended June 30, 2024, the Company sold 56,109 shares of its Common Stock at a weighted average price of $4.84 per share and raised $167,629 in net proceeds under the ATM program. As of June 30, 2024, the Company had remaining capacity to sell up to an additional $16,128,423 of Common Stock under the ATM program.</w:t>
      </w:r>
    </w:p>
    <w:p>
      <w:pPr>
        <w:sectPr>
          <w:pgSz w:w="11900" w:h="16838" w:orient="portrait"/>
          <w:cols w:equalWidth="0" w:num="1">
            <w:col w:w="11240"/>
          </w:cols>
          <w:pgMar w:left="320" w:top="121"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2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3,183,385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5,283,016</w:t>
            </w: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1,204,334</w:t>
            </w: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2,742,603</w:t>
            </w: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1,986,782</w:t>
            </w: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3,357,463</w:t>
            </w: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1,132,771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1,153,903</w:t>
            </w:r>
          </w:p>
        </w:tc>
        <w:tc>
          <w:tcPr>
            <w:tcW w:w="100" w:type="dxa"/>
            <w:vAlign w:val="bottom"/>
          </w:tcPr>
          <w:p>
            <w:pPr>
              <w:spacing w:after="0"/>
              <w:rPr>
                <w:sz w:val="18"/>
                <w:szCs w:val="18"/>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14,222,845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15,728,101</w:t>
            </w:r>
          </w:p>
        </w:tc>
      </w:tr>
      <w:tr>
        <w:trPr>
          <w:trHeight w:val="209"/>
        </w:trPr>
        <w:tc>
          <w:tcPr>
            <w:tcW w:w="1280" w:type="dxa"/>
            <w:vAlign w:val="bottom"/>
            <w:tcBorders>
              <w:top w:val="single" w:sz="8" w:color="CCEEFF"/>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759,543</w:t>
            </w: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4,158,538</w:t>
            </w: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153,201</w:t>
            </w:r>
          </w:p>
        </w:tc>
      </w:tr>
      <w:tr>
        <w:trPr>
          <w:trHeight w:val="210"/>
        </w:trPr>
        <w:tc>
          <w:tcPr>
            <w:tcW w:w="86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5,161,254</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5,176,282</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9,061,591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10,551,819</w:t>
            </w:r>
          </w:p>
        </w:tc>
      </w:tr>
      <w:tr>
        <w:trPr>
          <w:trHeight w:val="20"/>
        </w:trPr>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10"/>
        </w:trPr>
        <w:tc>
          <w:tcPr>
            <w:tcW w:w="5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Federal only, NOL from 2022-2024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3,183,385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5,283,016</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0"/>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2,752,386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2,560,372</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2027 - December 2044</w:t>
            </w:r>
          </w:p>
        </w:tc>
      </w:tr>
      <w:tr>
        <w:trPr>
          <w:trHeight w:val="216"/>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(2,752,386)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(2,560,372)</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3,183,385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5,283,016</w:t>
            </w: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460" w:hanging="7"/>
        <w:spacing w:after="0" w:line="256" w:lineRule="auto"/>
        <w:tabs>
          <w:tab w:leader="none" w:pos="7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June 30, 2024 and December 31, 2023 was approximately $42,344,000 and $39,390,000,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2044.</w:t>
      </w:r>
    </w:p>
    <w:p>
      <w:pPr>
        <w:spacing w:after="0" w:line="187" w:lineRule="exact"/>
        <w:rPr>
          <w:sz w:val="20"/>
          <w:szCs w:val="20"/>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liability – Investment in KICO</w:t>
      </w:r>
    </w:p>
    <w:p>
      <w:pPr>
        <w:spacing w:after="0" w:line="225" w:lineRule="exact"/>
        <w:rPr>
          <w:sz w:val="20"/>
          <w:szCs w:val="20"/>
          <w:color w:val="auto"/>
        </w:rPr>
      </w:pPr>
    </w:p>
    <w:p>
      <w:pPr>
        <w:jc w:val="both"/>
        <w:ind w:left="460"/>
        <w:spacing w:after="0" w:line="253"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ectPr>
          <w:pgSz w:w="11900" w:h="16838" w:orient="portrait"/>
          <w:cols w:equalWidth="0" w:num="1">
            <w:col w:w="11240"/>
          </w:cols>
          <w:pgMar w:left="320" w:top="117" w:right="339" w:bottom="16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2024 and 2023. If any had been recognized these would have been reported in income tax expense.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2020 through December 31, 2022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earnings (loss) per common share is computed by dividing net income (loss) by the weighted-average number of shares of Common Stock outstanding. Diluted earnings (loss) per common share reflects, in periods in which it has a dilutive effect, the impact of common shares issuable upon exercise of stock options and warrants as well as non-vested restricted stock awards. The computation of diluted earnings (loss) per common share excludes those options and warrants with an exercise price in excess of the average market price of the Company’s Common Stock during the periods presented. For the three months and six months ended June 30, 2024, there were 107,201 options with an exercise price in excess of the average market price of the Company’s Common Stock during the periods. For the three months and six months ended June 30, 2024, there were no warrants with an exercise price in excess of the average market price of the Company’s Common Stock during the periods.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(loss) per common share excludes outstanding options, warrants and non-vested restricted stock awards in periods where the exercise of such options and warrants or vesting of such restricted stock awards would be anti-dilutive. For the three months and six months ended June 30, 2023,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earnings (loss) per common share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06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10,755,848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11,009,442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10,753,974</w:t>
            </w: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608,598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314,693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used for computing diluted earning (loss)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12,110,946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10,755,848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11,987,976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10,753,974</w:t>
            </w:r>
          </w:p>
        </w:tc>
      </w:tr>
      <w:tr>
        <w:trPr>
          <w:trHeight w:val="34"/>
        </w:trPr>
        <w:tc>
          <w:tcPr>
            <w:tcW w:w="60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 party to a non-cancellable operating lease, dated March 27, 2015, for its office facility for KICO located in Valley Stream, New York, which expired on March 31, 2024. The lease was not renewed.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25" w:name="page26"/>
    <w:bookmarkEnd w:id="25"/>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41,342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82,684</w:t>
            </w:r>
          </w:p>
        </w:tc>
        <w:tc>
          <w:tcPr>
            <w:tcW w:w="0" w:type="dxa"/>
            <w:vAlign w:val="bottom"/>
          </w:tcPr>
          <w:p>
            <w:pPr>
              <w:spacing w:after="0"/>
              <w:rPr>
                <w:sz w:val="1"/>
                <w:szCs w:val="1"/>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41,342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41,342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82,684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payments included in the measurement of lease liability reported in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49,145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49,145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96,629</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expense for the three months ended June 30, 2024 and 2023 amounted to $-0- and $41,342, respectively, and is included in the accompanying condensed consolidated statements of operations and comprehensive income (loss) within other underwriting expenses. Rent expense for the six months ended June 30, 2024 and 2023 amounted to $41,342 and $82,684, respectively, and is included in the accompanying condensed consolidated statements of operations and comprehensive income (loss) within other underwriting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 formerly Chief Operating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2019, the Company and Meryl Golden entered into an employment agreement (the “Golden Employment Agreement”) pursuant to which Ms. Golden served as the Company’s Chief Operating Officer. Ms. Golden also served as KICO’s President and Chief Operating Officer. The Golden Employment Agreement became effective as of September 25, 2019 (amended on December 24, 2020) and expired on December 31, 2022.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will vest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October 1, 2023, Ms. Golden was appointed to the position of President and Chief Executive Officer of the Company to succeed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Goldstein.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to be effective as of January 1,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15, 2024, the Company and Ms. Golden entered into a third amended and restated employment agreement (the “Third Amended Golden Employment Agreement”). The Third Amended Golden Employment Agreement is effective as of January 1, 2025 and extends the expiration date of the Second Amended Golden Employment Agreement currently in effect for Ms. Golden from December 31, 2024 to December 31, 2026. Pursuant to the Third Amended Golden Employment Agreement, Ms. Golden will be entitled to receive an annual base salary of $550,000 (increased from $500,000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Third Amended Golden Employment Agreement (and 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w:t>
      </w:r>
    </w:p>
    <w:p>
      <w:pPr>
        <w:sectPr>
          <w:pgSz w:w="11900" w:h="16843" w:orient="portrait"/>
          <w:cols w:equalWidth="0" w:num="1">
            <w:col w:w="11240"/>
          </w:cols>
          <w:pgMar w:left="320" w:top="121" w:right="339" w:bottom="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provided for in the Second Amended Golden Employment Agreement). Pursuant to the Third Amended Golden Employment Agreement, Ms. Golden will be entitled to receive, under certain circumstances, a grant, during each of January 2025 and January 2026, of 40,000 shares of restricted stock. The 2025 grant will become vested with respect to one-half of the award on the first anniversary of the grant date and one-half on December 31, 2026. The 2026 grant will become vested on the first anniversary of the grant date. The above grants are generally consistent with the grants provided for in the Second Amended Golden Employment Agreement. In the event that the Company is precluded from making a grant to Ms. Golden in either 2025 or 2026, she would instead be entitled to a cash bonus of $136,500 for such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Barry Goldstein, Executive Chairman of the Board; and formerly 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14, 2019, the Company and Barry B. Goldstein, the Company’s then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of the one-sixth of the award that was scheduled to vest on December 29, 2023 to December 30, 2024.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of the one-fourth of the award that was scheduled to vest on December 29, 2023 to December 30, 2024.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for the one-sixth of the award that was scheduled to vest on December 29, 2023 to December 30, 2024. In January 2021, Mr. Goldstein was granted 21,000 shares of restricted stock pursuant to this provision. This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for the one-fourth of the award that was scheduled to vest on December 29, 2023 to December 30, 2024. In January 2022, Mr. Goldstein was granted 27,300 shares of restricted stock pursuant to this provision. This grant was scheduled to vest with respect to one-half of the award on each of December 29, 2023 and December 30, 2024 based on the continued provision of services through such dates. On September 18, 2023, Mr. Goldstein and the Company agreed to extend the vesting date for the one-half of the award that was scheduled to vest on December 29, 2023 to December 30, 2024.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ectPr>
          <w:pgSz w:w="11900" w:h="16838" w:orient="portrait"/>
          <w:cols w:equalWidth="0" w:num="1">
            <w:col w:w="11240"/>
          </w:cols>
          <w:pgMar w:left="320" w:top="121" w:right="339" w:bottom="114"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October 1,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9, 2023, the Company and Mr. Goldstein entered into an amendment to the Third Amended Goldstein Employment Agreement which took effect as of October 1, 2023. Pursuant to the amendment, effective as of October 1, 2023, Mr. Goldstein is no longer serving as President and Chief Executive Officer of the Company, the expiration date of the Third Amended Goldstein Employment Agreement shall be the earlier of (a) December 31, 2024 or (b) in the event Mr. Goldstein is not re-elected as Chairman of the Board of the Company following its 2024 annual meeting of stockholders, then the date of such annual meeting, Mr. Goldstein’s salary was reduced to $300,000 per annum, and Mr. Goldstein is no longer entitled to receive a bonus based upon the Company’s net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Bonus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June 30, 2024 the Company accrued approximately $502,000 and $584,000, respectively, related to an employee bonus plan, which is recorded in other underwriting expenses on the accompanying condensed consolidated statements of operations and comprehensive income (loss). For the three months and six months ended June 30, 2023 the Company did not accrue for, or pay, bonuses related to an employee bonus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Bonus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June 30, 2024, the Company accrued approximately $116,000 for a bonus pursuant to the Second Amended Golden Employment Agreement which is recorded in other operating expenses on the accompanying condensed consolidated statements of operations and comprehensive income (loss). For the three months and six months ended June 30, 2023 the Company did not accrue for, or pay, bonuses related to Ms. Golden’s employment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$66,000 and $75,000, respectively, of expense for the three months ended June 30, 2024 and 2023, related to the 401(k) Plan, which is recorded in other underwriting expenses on the accompanying condensed consolidated statements of operations and comprehensive income (loss). The Company incurred approximately $138,000 and $159,000, respectively, of expense for the six months ended June 30, 2024 and 2023, related to the 401(k) Plan, which is recorded in other underwriting expenses on the accompanying condensed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would not be made earlier than December 22, 2023 and will be completed no later than December 22,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compensation liability as of June 30, 2024 and December 31, 2023 amounted to $901,386 and $937,025, respectively, and is recorded in accounts payable, accrued expenses and other liabilities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June 30, 2024 through the date these condensed consolidated financial statements were issued for matters that required disclosure or adjustment in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 entered into new excess of loss and catastrophe reinsurance treaties (see Note 6 – Property and Casualty Insurance Activity - “Reinsurance”).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Participation Plan</w:t>
      </w:r>
    </w:p>
    <w:p>
      <w:pPr>
        <w:sectPr>
          <w:pgSz w:w="11900" w:h="16838" w:orient="portrait"/>
          <w:cols w:equalWidth="0" w:num="1">
            <w:col w:w="11240"/>
          </w:cols>
          <w:pgMar w:left="320" w:top="121" w:right="339" w:bottom="177"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On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 See Note 8 – Stockholders’ Equity.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2023 was the 15th largest writer of homeowners insurance in New York. KICO is also licensed in the states of New Jersey, Rhode Island, Massachusetts, Connecticut, Pennsylvania, New Hampshire, and Maine. For the three months ended June 30, 2024 and 2023, respectively, 95.9% and 88.6% of KICO’s direct written premiums came from the New York policies. For the six months ended June 30, 2024 and 2023, respectively,</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95.2% and 87.8% of KICO’s direct written premiums came from the New York policies. We refer to our New York business as our “Core” business and the business outside of New York as our “non-Core” business.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lines: </w:t>
      </w:r>
      <w:r>
        <w:rPr>
          <w:rFonts w:ascii="Times New Roman" w:cs="Times New Roman" w:eastAsia="Times New Roman" w:hAnsi="Times New Roman"/>
          <w:sz w:val="18"/>
          <w:szCs w:val="18"/>
          <w:color w:val="auto"/>
        </w:rPr>
        <w:t>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2024 and December 31, 2023, there were no commercial liability policies in-force. As of June 30, 2024, these expired policies represent approximately 15.2% of loss and LAE reserves net of reinsurance recoverables. See discussion below under “Additional Financial Information”.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 the following key measures in analyzing the results of our insurance underwriting business:</w:t>
      </w:r>
    </w:p>
    <w:p>
      <w:pPr>
        <w:sectPr>
          <w:pgSz w:w="11900" w:h="16838" w:orient="portrait"/>
          <w:cols w:equalWidth="0" w:num="1">
            <w:col w:w="11240"/>
          </w:cols>
          <w:pgMar w:left="320" w:top="121" w:right="339" w:bottom="0" w:gutter="0" w:footer="0" w:header="0"/>
        </w:sectPr>
      </w:pPr>
    </w:p>
    <w:bookmarkStart w:id="29" w:name="page30"/>
    <w:bookmarkEnd w:id="2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is the ratio of net losses and LAE incurred to net premiums earned.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in our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June 30, 2024 and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Ceded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57,369</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43,079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19,538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Case LAE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1,189</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26,597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IBNR LAE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2,386</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116,577</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87,563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33,289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88,529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is determined using historical information aggregated by line of insurance and adjusted to current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ectPr>
          <w:pgSz w:w="11900" w:h="16838" w:orient="portrait"/>
          <w:cols w:equalWidth="0" w:num="1">
            <w:col w:w="11240"/>
          </w:cols>
          <w:pgMar w:left="320" w:top="117" w:right="339" w:bottom="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condensed consolidated statements of operations and comprehensive income (loss) could result in significant changes to our deferred tax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-175895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operations and comprehensive income (loss), or changes in the enacted tax rate, could result in significant variances between our carried deferred tax and tax recognized on the recovery or settlement of the asset or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from the fair values recognized in the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and Kingstone 3.0 (underway)</w:t>
      </w:r>
    </w:p>
    <w:p>
      <w:pPr>
        <w:spacing w:after="0" w:line="229"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2" w:lineRule="exact"/>
        <w:rPr>
          <w:sz w:val="20"/>
          <w:szCs w:val="20"/>
          <w:color w:val="auto"/>
        </w:rPr>
      </w:pPr>
    </w:p>
    <w:p>
      <w:pPr>
        <w:ind w:left="900" w:hanging="447"/>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management team by adding highly qualified professionals with deep domain experience and diverse backgrounds;</w:t>
      </w:r>
    </w:p>
    <w:p>
      <w:pPr>
        <w:spacing w:after="0" w:line="22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and increased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implemented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managed our catastrophe exposure in order to reduce loss cost and the growth rate of our probable maximum loss (“PML”) in order to mitigate the impact of the then emerging “hard market” in catastrophe reinsurance.</w:t>
      </w:r>
    </w:p>
    <w:p>
      <w:pPr>
        <w:spacing w:after="0" w:line="162"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62" w:lineRule="exact"/>
        <w:rPr>
          <w:sz w:val="20"/>
          <w:szCs w:val="20"/>
          <w:color w:val="auto"/>
        </w:rPr>
      </w:pPr>
    </w:p>
    <w:p>
      <w:pPr>
        <w:jc w:val="both"/>
        <w:ind w:left="900" w:hanging="447"/>
        <w:spacing w:after="0" w:line="25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reducing the non-Core book of business, which has had a disproportionately negative impact on underwriting results, by stopping new business, culling the agent base, reducing commissions, or other means, subject to regulatory constraints. We have been aggressively reducing policy count. Our request to withdraw from the state of New Jersey was acknowledged in October 2023 and all remaining policies will be non-renewed over a two year period starting January 1, 2024. As of June 30, 2024, our non-Core policy count was down by 55.0% compared to June 30,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20" w:hanging="467"/>
        <w:spacing w:after="0" w:line="254"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pricing to stay ahead of loss trends, including inflation, by filing the maximum annual rate change that can be supported in each state and product and ensuring all policyholders are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All policies are renewed at the at the most current replacement cost. Overall average written premium for our legacy Core homeowners policies for the last 12 months, reflecting both rate and replacement cost changes, increased by 24.1%;</w:t>
      </w:r>
    </w:p>
    <w:p>
      <w:pPr>
        <w:spacing w:after="0" w:line="191" w:lineRule="exact"/>
        <w:rPr>
          <w:rFonts w:ascii="Times New Roman" w:cs="Times New Roman" w:eastAsia="Times New Roman" w:hAnsi="Times New Roman"/>
          <w:sz w:val="18"/>
          <w:szCs w:val="18"/>
          <w:color w:val="auto"/>
        </w:rPr>
      </w:pPr>
    </w:p>
    <w:p>
      <w:pPr>
        <w:jc w:val="both"/>
        <w:ind w:left="920" w:hanging="467"/>
        <w:spacing w:after="0" w:line="25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The combination of stricter new business underwriting and increased non-renewals gave rise to the 4.6% decline in policy count for our Core business. We have now reverted most of our new business underwriting standards back to what they were previously so Core new business growth should increase going forward; and</w:t>
      </w:r>
    </w:p>
    <w:p>
      <w:pPr>
        <w:spacing w:after="0" w:line="187" w:lineRule="exact"/>
        <w:rPr>
          <w:rFonts w:ascii="Times New Roman" w:cs="Times New Roman" w:eastAsia="Times New Roman" w:hAnsi="Times New Roman"/>
          <w:sz w:val="18"/>
          <w:szCs w:val="18"/>
          <w:color w:val="auto"/>
        </w:rPr>
      </w:pPr>
    </w:p>
    <w:p>
      <w:pPr>
        <w:jc w:val="both"/>
        <w:ind w:left="920" w:hanging="467"/>
        <w:spacing w:after="0" w:line="258"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underwriting expense ratio to 29% by year-end 2024. For the year ended December 31, 2023, we achieved our goal of 33%, with a net underwriting expense ratio of 32.9%. For the six months ended June 30, 2024, the net underwriting expense ratio was 31.3%, a reduction of 2.3 points compared to the six months ended June 30, 2023 but higher than our goal due to a higher accrual for employee bonuses and contingent commissions for producers to reflect greater profitability than originally projected.</w:t>
      </w:r>
    </w:p>
    <w:p>
      <w:pPr>
        <w:spacing w:after="0" w:line="3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above actions taken resulted in our return to profitability for the three months and six months ended June 30, 2024, will continue to have the intended effect and will continue through the remainder 2024 to result in a return to annual profitability.</w:t>
      </w:r>
    </w:p>
    <w:p>
      <w:pPr>
        <w:sectPr>
          <w:pgSz w:w="11900" w:h="16838" w:orient="portrait"/>
          <w:cols w:equalWidth="0" w:num="1">
            <w:col w:w="11240"/>
          </w:cols>
          <w:pgMar w:left="320" w:top="121" w:right="339"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1" w:name="page32"/>
    <w:bookmarkEnd w:id="31"/>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the tables below for our Core and non-Core business for policies in force as of June 30, 2024 and 2023 and direct written premiums for the three months and six months ended June 30, 2024 and 2023. For the three months ended June 30, 2024, our Core direct written premiums increased by 21.5% compared to the three months ended June 30, 2023, while Core policies in force decreased by 4.6% as of June 30, 2024 as compared to June 30, 2023. For the same periods, our non-Core policies in force decreased by 55.0% and non-Core direct written premiums decreased by 59.7%.</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our Core direct written premiums increased by 17.0% compared to the six months ended June 30, 2023, while Core policies in force decreased by 4.6% as of June 30, 2024 as compared to June 30, 2023. For the same periods, our non-Core policies in force decreased by 55.0% and non-Core direct written premiums decreased by 57.5%.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66,934</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70,132</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Non-Core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74,240</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86,356</w:t>
            </w:r>
          </w:p>
        </w:tc>
        <w:tc>
          <w:tcPr>
            <w:tcW w:w="220" w:type="dxa"/>
            <w:vAlign w:val="bottom"/>
            <w:tcBorders>
              <w:lef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10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7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42,212</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9,094</w:t>
            </w: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97,893</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14,254</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5,435</w:t>
            </w:r>
          </w:p>
        </w:tc>
        <w:tc>
          <w:tcPr>
            <w:tcW w:w="2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(3,245)</w:t>
            </w:r>
          </w:p>
        </w:tc>
        <w:tc>
          <w:tcPr>
            <w:tcW w:w="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(6,678)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53,495</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47,647</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5,848</w:t>
            </w:r>
          </w:p>
        </w:tc>
        <w:tc>
          <w:tcPr>
            <w:tcW w:w="6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102,820</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95,244</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7,576</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See the tables below comparing the quarterly trends and changes from our Core and non-Core business for policies in force and direct written premiums from December 31, 2023 through June 30, 2024. For the three months ended June 30, 2024, our Core direct written premiums increased by 10.1% compared to the three months ended March 31, 2024, while Core policies in force decreased by 0.1% as of June 30, 2024. For the same period, our non-Core direct written premiums decreased by 20.0% compared to the three months ended March 31, 2024, while non-Core policies in force decreased by 19.5% as of June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120" w:type="dxa"/>
            <w:vAlign w:val="bottom"/>
          </w:tcPr>
          <w:p>
            <w:pPr>
              <w:spacing w:after="0"/>
              <w:rPr>
                <w:sz w:val="18"/>
                <w:szCs w:val="18"/>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425"/>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66,934</w:t>
            </w:r>
          </w:p>
        </w:tc>
        <w:tc>
          <w:tcPr>
            <w:tcW w:w="1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66,991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67,575</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22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9,080</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10,823</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74,240</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76,071</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78,398</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0" w:type="dxa"/>
            <w:vAlign w:val="bottom"/>
            <w:gridSpan w:val="2"/>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Sequential</w:t>
            </w:r>
          </w:p>
        </w:tc>
        <w:tc>
          <w:tcPr>
            <w:tcW w:w="120" w:type="dxa"/>
            <w:vAlign w:val="bottom"/>
          </w:tcPr>
          <w:p>
            <w:pPr>
              <w:spacing w:after="0"/>
              <w:rPr>
                <w:sz w:val="16"/>
                <w:szCs w:val="16"/>
                <w:color w:val="auto"/>
              </w:rPr>
            </w:pPr>
          </w:p>
        </w:tc>
        <w:tc>
          <w:tcPr>
            <w:tcW w:w="128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Sequential</w:t>
            </w:r>
          </w:p>
        </w:tc>
        <w:tc>
          <w:tcPr>
            <w:tcW w:w="122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(000’s except percentages)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425"/>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51,306</w:t>
            </w:r>
          </w:p>
        </w:tc>
        <w:tc>
          <w:tcPr>
            <w:tcW w:w="1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46,587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47,027</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2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5,911</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53,495</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49,325</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52,938</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ectPr>
          <w:pgSz w:w="11900" w:h="16877" w:orient="portrait"/>
          <w:cols w:equalWidth="0" w:num="1">
            <w:col w:w="11240"/>
          </w:cols>
          <w:pgMar w:left="320" w:top="119" w:right="339" w:bottom="0" w:gutter="0" w:footer="0" w:header="0"/>
        </w:sectPr>
      </w:pPr>
    </w:p>
    <w:bookmarkStart w:id="32" w:name="page33"/>
    <w:bookmarkEnd w:id="3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Assumed written premiums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7,576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594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Ceded written premiums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Ceded to quota share treaties (1)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Ceded to excess of loss treaties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w:t>
            </w: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Ceded to catastrophe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ceded written premiums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(4,347)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79,520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67,597</w:t>
            </w: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 and assumed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Ceded to reinsurance treaties (1)</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(18,583)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(15,413)</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(3,170)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(20,397)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(10,562)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earned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Direct and assumed</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101,007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100,822</w:t>
            </w: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1,176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1,361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 (1)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10,858</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on investments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 and assumed: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60,256</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(20,987)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direct and assumed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(26,213)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(11,718)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(1,972)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ceded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(13,690)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39,494</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(3,254)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17,011</w:t>
            </w: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w:t>
            </w: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(15,473)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14,392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11,519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7" w:lineRule="exact"/>
        <w:rPr>
          <w:sz w:val="20"/>
          <w:szCs w:val="20"/>
          <w:color w:val="auto"/>
        </w:rPr>
      </w:pPr>
    </w:p>
    <w:p>
      <w:pPr>
        <w:jc w:val="both"/>
        <w:ind w:left="900" w:hanging="447"/>
        <w:spacing w:after="0" w:line="25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2023, our personal lines business was subject to a 30% quota share treaty, expiring on January 1, 2024, which included a runoff of an 8.5% portion through the remainder of 2023. Effective January 1, 2024, we entered into a 27% personal lines quota share treaty, which includes a runoff of a 3.0% portion through the end of 2024.</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426"/>
        </w:trPr>
        <w:tc>
          <w:tcPr>
            <w:tcW w:w="6600" w:type="dxa"/>
            <w:vAlign w:val="bottom"/>
            <w:gridSpan w:val="2"/>
          </w:tcPr>
          <w:p>
            <w:pPr>
              <w:jc w:val="right"/>
              <w:ind w:right="5650"/>
              <w:spacing w:after="0"/>
              <w:rPr>
                <w:sz w:val="20"/>
                <w:szCs w:val="20"/>
                <w:color w:val="auto"/>
              </w:rPr>
            </w:pPr>
            <w:r>
              <w:rPr>
                <w:rFonts w:ascii="Times New Roman" w:cs="Times New Roman" w:eastAsia="Times New Roman" w:hAnsi="Times New Roman"/>
                <w:sz w:val="18"/>
                <w:szCs w:val="18"/>
                <w:b w:val="1"/>
                <w:bCs w:val="1"/>
                <w:color w:val="auto"/>
                <w:w w:val="98"/>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jc w:val="right"/>
              <w:ind w:right="5330"/>
              <w:spacing w:after="0"/>
              <w:rPr>
                <w:sz w:val="20"/>
                <w:szCs w:val="20"/>
                <w:color w:val="auto"/>
              </w:rPr>
            </w:pPr>
            <w:r>
              <w:rPr>
                <w:rFonts w:ascii="Times New Roman" w:cs="Times New Roman" w:eastAsia="Times New Roman" w:hAnsi="Times New Roman"/>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ectPr>
          <w:pgSz w:w="11900" w:h="16864" w:orient="portrait"/>
          <w:cols w:equalWidth="0" w:num="1">
            <w:col w:w="11240"/>
          </w:cols>
          <w:pgMar w:left="320" w:top="121"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110.8%</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six months ended June 30, 2024 (“Six Months 2024”) were $102,820,000 compared to $95,244,000 during the six months ended June 30, 2023 (“Six Months 2023”). The increase of $7,576,000, or 8.0%, was primarily due to an increase in premiums from our personal lines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Six Months 2024 were $95,877,000, an increase of $7,695,000, or 8.7%, from $88,182,000 in Six Months 2023. The 8.7% increase in premiums from our personal lines business was primarily due to the increase in premiums associated with our Core business of 18.8% offsetting a 57.5% decrease in our non-Core business. The increase in our Core business premiums and the decrease in our non-Core business premiums is in accordance with both our Kingstone 2.0 and Kingstone 3.0 strategic plans.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Six Months 2024 were $6,900,000, a decrease of $116,000, or 1.7%, from $7,016,000 in Six Months 2023.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Direct written premiums from our Core business were $97,893,000 in Six Months 2024 compared to $83,639,000 in Six Months 2023, an increase of $14,254,000, or 17.0%. The increase in direct written premiums from our Core business was due to rate increases, offset by a decrease in policies in force. Policies in force from our Core business decreased by 4.6% in Six Months 2024 compared to Six Months 2023. Direct written premiums from our non-Core business were $4,927,000 in Six Months 2024 down from $11,605,000 in Six Months 2023, a decrease of $6,678,000, or 57.5%. The decrease in direct written premiums from our non-Core business is a result of our decision to aggressively reduce the book of business in these states. Policies in force from our non-Core business decreased by 55.0% in Six Months 2024 compared to Six Months 2023. The increase in our Core business and the decrease in our non-Core business is consistent with a key pillar of our Kingstone 3.0 strategy to reduce our non-Core business due to profitability concerns.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$11,923,000, or 17.6%, to $79,520,000 in Six Months 2024 from $67,597,000 in Six Months 2023. Net written premiums include direct premiums, less the amount of written premiums ceded under our reinsurance treaties (quota share, excess of loss, and catastrophe). The increase in Six Months 2024 is primarily due to changes to our personal lines quota share reinsurance treaty. See quota share reinsurance treaties discussion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 2023, we entered into a new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Our personal lines business was subject to the 2024/2025 Treaty in Six Months 2024, and the 2023/2024 Treaty in Six Months 2023. In Six Months 2024, our premiums ceded under quota share treaties decreased by $5,581,000 in comparison to premiums ceded under quota share treaties in Six Months 2023 (see table above). The decrease in Six Months 2024 was attributable to the decrease in quota share ceding percentage rates, offset by an increase in direct written premiums subject to the 2024/2025 Treaty compared to direct written premiums subject to the 2023/2024 Treaty.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Six Months 2024, our ceded excess of loss reinsurance premiums increased by $630,000 over the comparable ceded excess of loss premiums for Six Months 2023. The increase was due to an increase in subject premiums and the heightened cost of coverage obtained. Effective January 1, 2023, we entered into an underlying excess of loss reinsurance treaty (the “Underlying XOL Treaty”) covering the period from January 1, 2023 through January 1, 2024. The Underlying XOL Treaty provided 50% reinsurance coverage for losses of $400,000 in excess of $600,000. Losses from named storms were excluded from the Underlying XOL Treaty. Effective January 1, 2024, the Underlying XOL Treaty was renewed covering the period from January 1, 2024 through January 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On July 1, 2023 and 2022, we recorded our catastrophe premiums written for the entire treaty period covering July 1 through June 30, resulting in the entire annual premium written being recorded in the third quarter. The $506,000 negative catastrophe premium in Six Months 2024 was due to a no loss bonus from one of our reinsurers. The $1,110,000 negative catastrophe premium in Six Months 2023 was due to a true-up of premiums originally recorded on July 1, 2022.</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$1,361,000, or 2.4%, to $59,124,000 in Six Months 2024 from $57,763,000 in Six Months 2023. The increase was due to the three percentage point reduction in quota share rates discussed above, the run-off of a portion of the 2021-2023 Treaty, which increased the premiums ceded and reduced the net premiums earned in Six Months 2023, offset by an increase in catastrophe premium rates, reflected in ceded catastrophe premiums earned, which reduced the amount of growth in net premiums earned.</w:t>
      </w:r>
    </w:p>
    <w:p>
      <w:pPr>
        <w:sectPr>
          <w:pgSz w:w="11900" w:h="16838" w:orient="portrait"/>
          <w:cols w:equalWidth="0" w:num="1">
            <w:col w:w="11240"/>
          </w:cols>
          <w:pgMar w:left="320" w:top="121" w:right="339" w:bottom="78"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Ceding commission revenue was $9,129,000 in Six Months 2024 compared to $10,858,000 in Six Months 2023. The decrease of $1,729,000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Six Months 2024, we earned provisional ceding commissions of $9,117,000 from personal lines earned premiums ceded under the 2024/2025 Treaty, and in Six Months 2023, we earned provisional ceding commissions of $10,741,000 from personal lines earned premiums ceded under the 2023/2024 Treaty. The decrease of $1,624,000 in provisional ceding commissions earned was due to the decrease in premiums ceded under these treaties during Six Months 2024 compared to Six Months 2023, offset by an increase in ceding commission rates under the 2024/2025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investment income was $3,267,000 in Six Months 2024 compared to $2,993,000 in Six Months 2023, an increase of $274,000, or 9.2%. The average yield on non-cash invested assets was 3.81% as of June 30, 2024 compared to 3.63% as of June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$195,789,000 as of June 30, 2024 compared to $175,407,000 as of June 30, 2023, an increase of $20,382,000.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$493,000 in Six Months 2024 compared to net gains of $1,422,000 in Six Months 2023. Unrealized gains on our equity securities and other investments in Six Months 2024 were $919,000, compared to unrealized gains of $1,435,000 in Six Months 2023. Net realized (losses) on sales of investments were $(426,000) in Six Months 2024 compared to net realized (losses) of $(13,000) in Six Months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income was $254,000 in Six Months 2024 compared to $312,000 in Six Months 2023, a decrease of $58,000, or 18.6%.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$32,098,000 for Six Months 2024 compared to $44,620,000 for Six Months 2023. The net loss ratio was 54.3% in Six Months 2024 compared to 77.2% in Six Months 2023, a decrease of 22.9 percentage points.</w:t>
      </w:r>
    </w:p>
    <w:p>
      <w:pPr>
        <w:spacing w:after="0" w:line="162" w:lineRule="exact"/>
        <w:rPr>
          <w:sz w:val="20"/>
          <w:szCs w:val="20"/>
          <w:color w:val="auto"/>
        </w:rPr>
      </w:pPr>
    </w:p>
    <w:p>
      <w:pPr>
        <w:jc w:val="both"/>
        <w:ind w:firstLine="604"/>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ectPr>
          <w:pgSz w:w="11900" w:h="16838" w:orient="portrait"/>
          <w:cols w:equalWidth="0" w:num="1">
            <w:col w:w="11240"/>
          </w:cols>
          <w:pgMar w:left="320" w:top="121"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88900</wp:posOffset>
            </wp:positionV>
            <wp:extent cx="5271770" cy="3943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loss ratio for Six Months 2024 improved significantly compared to Six Months 2023. For Six Months 2024, the catastrophe impact, prior year development, and underlying loss ratio (loss ratio excluding the impact of catastrophe and prior year development) were all lower than for Six Months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ten newly designated catastrophe events for Six Months 2024. The estimated total net catastrophe impact for Six Months 2024 was $1,872,000, which contributed 3.2 points to the loss ratio. By comparison, the catastrophe impact for Six Months 2023 was 8.9 points. Losses from winter-related catastrophe claims were minimal during Six Months 2024, whereas the previous year was impacted by a major winter event in February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underlying loss ratio was 52.8% for Six Months 2024, a decrease of 15.6 points from the 68.4% underlying loss ratio recorded for Six Months 2023. Overall personal lines non-catastrophe frequency for Six Months 2024 was lower than for the same period in 2023, which is believed to be the result of the Company’s new Select product as well as the Company’s active efforts to manage less profitable segments. Overall non-catastrophe severity for Six Months 2024 was also improved compared to Six Months 2023, primarily driven by water claims and a reduced impact from large losses.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favorable prior year development of $996,000 during Six Months 2024, which translates to a 1.7-point decrease to the loss ratio. By comparison, the impact of prior year development for Six Months 2023 was a decrease of less than 0.1 points.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Commission expense was $16,084,000 in Six Months 2024 or 15.9% of direct earned premiums. Commission expense was $17,011,000 in Six Months 2023 or 16.9% of direct earned premiums. The decrease of $927,000 was primarily due to a reduction in commission rates on our legacy policies in accordance with our Kingstone 3.0 strategy as well as the lower commission rate paid on Select products as compared to legacy products. The decrease was offset by an accrual of $848,000 for an estimated contingent commission to be recalculated quarterly if we continue to be profitable for the remainder of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were $11,781,000, or 11.7% of direct earned premiums, in Six Months 2024 compared to $13,555,000, or 13.4% of direct earned premiums, in Six Months 2023. The decrease of $1,774,000, or 13.1%, was primarily due to a $365,000 gain on the commutations of prior years’ quota share reinsurance treaties from a group of reinsurers, decreases in salaries and employment costs as described below, policy management system fees as result of the completion of our policy management system conversion, allowing us to eliminate multiple legacy systems, and other IT costs as a result of the completion of these projects. The decreases were partially offset by the impact of high inflation.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$5,738,000 in Six Months 2024 compared to $5,875,000 in Six Months Ended 2023. The decrease of $137,000, or 2.3%, is favorable when compared to the 8.0% increase in direct written premiums. The decrease in salaries and employment costs was due to a reduction in our staff in June and July of 2023 as we have been reducing our non-Core business. The decrease from the reduction in staff was partially offset in the periods following Six Months 2023, as we began to strengthen our professional team by investing in the hiring of higher-level and higher compensated managers and staff needed to manage the business consistent with our</w:t>
      </w:r>
    </w:p>
    <w:p>
      <w:pPr>
        <w:sectPr>
          <w:pgSz w:w="11900" w:h="16838" w:orient="portrait"/>
          <w:cols w:equalWidth="0" w:num="1">
            <w:col w:w="11240"/>
          </w:cols>
          <w:pgMar w:left="320" w:top="1440" w:right="339" w:bottom="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Kingstone 2.0 and Kingstone 3.0 strategies. In addition, the decrease in salaries and employment costs was offset by $451,000 accrued under our employee bonus plan due to the profitable underwriting insurance operations in Six Months 2024 compared to a loss in Six Months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Six Months 2024 was 31.3% compared to 33.6% in Six Months 2023. The following table shows the individual components of our net underwriting expense ratio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09"/>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0" w:type="dxa"/>
            <w:vAlign w:val="bottom"/>
          </w:tcPr>
          <w:p>
            <w:pPr>
              <w:spacing w:after="0"/>
              <w:rPr>
                <w:sz w:val="1"/>
                <w:szCs w:val="1"/>
                <w:color w:val="auto"/>
              </w:rPr>
            </w:pPr>
          </w:p>
        </w:tc>
      </w:tr>
      <w:tr>
        <w:trPr>
          <w:trHeight w:val="209"/>
        </w:trPr>
        <w:tc>
          <w:tcPr>
            <w:tcW w:w="7280" w:type="dxa"/>
            <w:vAlign w:val="bottom"/>
            <w:vMerge w:val="continue"/>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Employment costs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 expenses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Commission expense</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Provisional</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$1,579,000 for Six Months 2024 compared to $1,426,000 for Six Months 2023. The following table shows a breakdown of the significant components of other operating expenses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 bonus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increase in Six Months 2024 of $153,000, or 10.7%, as compared to Six Months 2023 was primarily due to increases in executive bonus, employment costs, and equity compensation. The executive bonus is due to a $117,000 accrual pursuant to the employment agreement of our Chief Executive Officer. The accrual is a result of the profitable operations before taxes in Six Months 2024 compared to a loss in Six Months 2023.The increase in employment costs was due to fluctuations in deferred compensation liability related to changes in the underlying invested portfolio.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$1,216,000 in Six Months 2024 compared to $1,587,000 in Six Months 2023. The decrease of $371,000, or 23.4%,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ectPr>
          <w:pgSz w:w="11900" w:h="16838" w:orient="portrait"/>
          <w:cols w:equalWidth="0" w:num="1">
            <w:col w:w="11240"/>
          </w:cols>
          <w:pgMar w:left="320" w:top="121" w:right="339"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 Six Months 2024 was $1,984,000 compared to $2,016,000 in Six Months 2023, a decrease of $32,000 or 1.6%. In Six Months 2024 and Six Months 2023, as disclosed in Note 7 to the condensed consolidated financial statements, we incurred interest expense in connection with the 2022 Notes, which provide for interest at the rate of 12% per annum, and the 2022 equipment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 Six Months 2024 was $1,583,000, which resulted in an effective tax rate of 21.0%. Income tax (benefit) in Six Months 2023 was $(1,290,000), which resulted in an effective tax rate of 18.8%. Income before taxes was $7,525,000 in Six Months 2024 compared to a loss before taxes of $6,867,000 in Six Months 2023. The difference in effective tax rate is due to the effect of permanent differences in Six Months 2024 compared to Six Months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$5,942,000 in Six Months 2024 compared to a net loss of $5,577,000 in Six Months 2023. The increase from net loss to net income of $11,519,000 was due to the circumstances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53,495</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41,425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Ceded to reinsurance treaties (1)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(11,638)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38" w:name="page39"/>
    <w:bookmarkEnd w:id="38"/>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6,284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1,246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5,038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900" w:hanging="447"/>
        <w:spacing w:after="0" w:line="257"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2023, our personal lines business was subject to a 30% quota share treaty, expiring on January 1, 2024, which included a runoff of an 8.5% portion through the remainder of 2023. Effective January 1, 2024, we entered into a 27% personal lines quota share treaty, which includes a runoff of a 3.0% portion through the end of 2024.</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2024 and 2023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42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three months ended June 30, 2024 (“Three Months 2024”) were $53,495,000 compared to $47,647,000 during the three months ended June 30, 2023 (“Three Months 2023”). The increase of $5,848,000, or 12.3%, was primarily due to an increase in premiums from our personal lines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Three Months 2024 were $50,137,000, an increase of $6,126,000, or 13.9%, from $44,011,000 in Three Months 2023. The 13.9% increase in premiums from our personal lines business was primarily due to the increase in premiums associated with our Core business of 24.3% offsetting a 59.7% decrease in our non-Core business. The increase in our Core business premiums and the decrease in our non-Core business premiums is in accordance with both our Kingstone 2.0 and Kingstone 3.0 strategic plans.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Three Months 2024 were $3,338,000, a decrease of $272,000, or 7.5%, from $3,610,000 in Three Months 2023.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$51,306,000 in Three Months 2024 compared to $42,212,000 in Three Months 2023, an increase of $9,094,000, or 21.5%. The increase in direct written premiums from our Core business was due to rate increases, offset by a decrease in policies in force. Policies in force from our Core business decreased by 4.6% in Three Months 2024 compared to Three Months 2023. Direct written premiums from our non-Core business were $2,190,000 in Three Months 2024 down from $5,435,000 in Three Months 2023, a decrease of $3,245,000, or 59.7%. The decrease in direct written premiums from our non-Core business is a result of our decision to aggressively reduce the book of business in these states. Policies in force from our non-Core business decreased by 55.0% in Three Months 2024 compared to Three Months 2023. The increase in our Core business and the decrease in our non-Core business is consistent with a key pillar of our Kingstone 3.0 strategy to reduce our non-Core business due to profitability concerns.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$5,319,000, or 14.7%, to $41,425,000 in Three Months 2024 from $36,106,000 in Three Months 2023. Net written premiums include direct premiums, less the amount of written premiums ceded under our reinsurance treaties (quota share, excess of loss, and catastrophe). The increase in Three Months 2024 is primarily due to changes to our personal lines quota share reinsurance treaty. See quota share reinsurance treaties discussion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 2023, we entered into a new 30% quota share reinsurance treaty for our personal lines business, covering the period from January 1, 2023 through January 1, 2024 (“2023/2024 Treaty”). Upon expiration of the 2023/2024 Treaty on January 1, 2024, we entered into a new 27% quota share reinsurance treaty for our personal lines business, covering the period from January 1, 2024 through January 1, 2025 (“2024/2025 Treaty”). Our personal lines business was subject to the 2024/2025 Treaty in Three Months 2024, and the 2023/2024 Treaty in Three Months 2023. In Three Months 2024, our premiums ceded under quota share treaties increased by $177,000 in comparison to premiums ceded under quota share treaties in Three Months 2023 (see table above). The increase in Three Months 2024 was attributable to the increase in direct written premiums subject to the 2024/2025 Treaty compared to</w:t>
      </w:r>
    </w:p>
    <w:p>
      <w:pPr>
        <w:sectPr>
          <w:pgSz w:w="11900" w:h="16928" w:orient="portrait"/>
          <w:cols w:equalWidth="0" w:num="1">
            <w:col w:w="11240"/>
          </w:cols>
          <w:pgMar w:left="320" w:top="121" w:right="339" w:bottom="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direct written premiums subject to the 2023/2024 Treaty. The increase in ceded premiums related to the increase in direct written premiums was offset by the decrease in quota share ceding percentage rates.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in written premiums will increase the premiums ceded under our excess of loss treaties. In Three Months 2024, our ceded excess of loss reinsurance premiums increased by $304,000 over the comparable ceded excess of loss premiums for Three Months 2023. The increase was due to an increase in subject premiums and the heightened cost of coverage obtained. Effective January 1, 2023, we entered into an underlying excess of loss reinsurance treaty (the “Underlying XOL Treaty”) covering the period from January 1, 2023 through January 1, 2024. The Underlying XOL Treaty provided 50% reinsurance coverage for losses of $400,000 in excess of $600,000. Losses from named storms were excluded from the Underlying XOL Treaty. Effective January 1, 2024, the Underlying XOL Treaty was renewed covering the period from January 1, 2024 through January 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On July 1, 2023 and 2022, we recorded our catastrophe premiums written for the entire treaty period covering July 1 through June 30, resulting in the entire annual premium written being recorded in the third quarter. The $506,000 negative catastrophe premium in Three Months 2024 was due to a no loss bonus from one of our reinsurers. The $554,000 negative catastrophe premium in Three Months 2023 was due to a true-up of premiums originally recorded on July 1, 2022.</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$796,000, or 2.7%, to $30,304,000 in Three Months 2024 from $29,508,000 in Three Months 2023. The increase was due to the three percentage point reduction in quota share rates discussed above, the run-off of a portion of the 2021-2023 Treaty, which increased the premiums ceded and reduced the net premiums earned in Three Months 2023, offset by an increase in catastrophe premium rates, reflected in ceded catastrophe premiums earned, which reduced the amount of growth in net premiums earned.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Ceding commission revenue was $4,562,000 in Three Months 2024 compared to $5,412,000 in Three Months 2023. The decrease of $850,000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Three Months 2024, we earned provisional ceding commissions of $4,562,000 from personal lines earned premiums ceded under the 2024/2025 Treaty, and in Three Months 2023, we earned provisional ceding commissions of 5,294,000 from personal lines earned premiums ceded under the 2023/2024 Treaty. The decrease of $732,000 in provisional ceding commissions earned was due to the decrease in premiums ceded under these treaties during Three Months 2024 compared to Three Months 2023, offset by an increase in ceding commission rates under the 2024/2025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structure of the 2024/2025 Treaty and the 2023/2024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$1,765,000 in Three Months 2024 compared to $1,451,000 in Three Months 2023, an increase of $314,000, or 21.6%.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3.81% as of June 30, 2024 compared to 3.63% as of June 30,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$195,789,000 as of June 30, 2024 compared to $175,407,000 as of June 30, 2023, an increase of $20,382,000.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ectPr>
          <w:pgSz w:w="11900" w:h="16838" w:orient="portrait"/>
          <w:cols w:equalWidth="0" w:num="1">
            <w:col w:w="11240"/>
          </w:cols>
          <w:pgMar w:left="320" w:top="121" w:right="339" w:bottom="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(losses) on investments were $(234,000) in Three Months 2024 compared to net gains of $197,000 in Three Months 2023. Unrealized gains on our equity securities and other investments in Three Months 2024 were $100,000, compared to unrealized gains of $208,000 in Three Months 2023. Net realized (losses) on sales of investments were $(333,000) in Three Months 2024 compared to net realized (losses) of $(10,000) in Three Months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income was $106,000 in Three Months 2024 compared to $151,000 in Three Months 2023, a decrease of $45,000, or 29.8%.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$14,238,000 for Three Months 2024 compared to $19,581,000 for Three Months 2023. The net loss ratio was 47.0% in Three Months 2024 compared to 66.4% in Three Months 2023, a decrease of 19.4 percentage points.</w:t>
      </w:r>
    </w:p>
    <w:p>
      <w:pPr>
        <w:spacing w:after="0" w:line="162" w:lineRule="exact"/>
        <w:rPr>
          <w:sz w:val="20"/>
          <w:szCs w:val="20"/>
          <w:color w:val="auto"/>
        </w:rPr>
      </w:pPr>
    </w:p>
    <w:p>
      <w:pPr>
        <w:jc w:val="both"/>
        <w:ind w:firstLine="604"/>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71770" cy="382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7177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loss ratio for Three Months 2024 improved significantly compared to Three Months 2023. For Three Months 2024, the catastrophe impact, prior year development, and underlying loss ratio (loss ratio excluding the impact of catastrophe and prior year development) were all lower than Three Months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four newly designated catastrophe events for Three Months 2024, and the total loss ratio impact was immaterial. The estimated total net catastrophe impact for the calendar quarter was $386,000, which contributed 1.3 points to the loss ratio. By comparison, the catastrophe impact for Three Months 2023 was 4.7 points.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underlying loss ratio was 47.1% for Three Months 2024, a decrease of 14.6 points from the 61.7% underlying loss ratio recorded for Three Months 2023. Overall personal lines non-catastrophe frequency for Three Months 2024 was lower than for the same period in 2023, which is believed to be the result of the Company’s new Select product as well as the Company’s active efforts to manage less profitable segments. Overall non-catastrophe severity for Three Months 2024 was also improved compared to Three Months 2023, primarily driven by water claims and a reduced impact from large losses.</w:t>
      </w:r>
    </w:p>
    <w:p>
      <w:pPr>
        <w:spacing w:after="0" w:line="18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There was favorable prior year development of $430,000 during Three Months 2024, which translates to a 1.4-point decrease to the loss ratio. By comparison, the impact of prior year development for Three Months 2023 was a decrease of 0.1 points.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Commission expense was $8,232,000 in Three Months 2024 or 16.1% of direct earned premiums. Commission expense was $8,471,000 in Three Months 2023 or 16.6% of direct earned premiums. The decrease of $239,000 was primarily due to a reduction in commission rates on our legacy policies in accordance with our Kingstone 3.0 strategy as well as the lower commission rate paid on Select products as compared to legacy products. The decrease was</w:t>
      </w:r>
    </w:p>
    <w:p>
      <w:pPr>
        <w:sectPr>
          <w:pgSz w:w="11900" w:h="16838" w:orient="portrait"/>
          <w:cols w:equalWidth="0" w:num="1">
            <w:col w:w="11240"/>
          </w:cols>
          <w:pgMar w:left="320" w:top="121" w:right="339" w:bottom="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offset by an accrual of $545,000 for an estimated contingent commission to be recalculated quarterly if we continue to be profitable for the remainder of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were $5,901,000, or 11.6% of direct earned premiums, in Three Months 2024 compared to $6,684,000, or 13.1% of direct earned premiums, in Three Months 2023. The decrease of $783,000, or 11.7%, was primarily due to a $365,000 gain on the commutations of prior years’ quota share reinsurance treaties from a group of reinsurers, decreases in salaries and employment costs excluding employee bonuses as described below, policy management system fees as result of the completion of our policy management system conversion, allowing us to eliminate multiple legacy systems, and other IT costs as a result of the completion of these projects. The decreases were partially offset by the impact of high inflation.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excluding employee bonuses of $2,748,000 in Three Months 2024 compared to $2,942,000 in Three Months Ended 2023. The decrease of $194,000, or 6.6%, is favorable when compared to the 12.0% increase in direct written premiums. The decrease in salaries and employment costs was due to a reduction in our staff in June and July of 2023 as we have been reducing our non-Core business. The decrease from the reduction in staff was partially offset in the periods following Three Months 2023, as we began to strengthen our professional team by investing in the hiring of higher-level and higher compensated managers and staff needed to manage the business consistent with our Kingstone 2.0 and Kingstone 3.0 strategies. In addition, the decrease in salaries and employment costs excluding employee bonuses was offset by $388,000 accrued under our employee bonus plan due to the profitable underwriting insurance operations in Three Months 2024 compared to a loss in Three Months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Three Months 2024 was 31.2% compared to 32.5% in Three Months 2023. The following table shows the individual components of our net underwriting expense ratio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1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9"/>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Point Change</w:t>
            </w: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Employment costs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 expenses</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Professional fees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expenses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expense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Provisional</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Contingent</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ind w:left="372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$801,000 for Three Months 2024 compared to $763,000 for Three Months 2023. The following table shows a breakdown of the significant components of other operating expenses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Executive bonus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Professional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14"/>
                <w:szCs w:val="14"/>
                <w:color w:val="auto"/>
              </w:rPr>
              <w:t>5.0</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increase in Three Months 2024 of $38,000, or 5.0%, as compared to Three Months 2023 was primarily due to increases in executive bonus, and equity compensation’ partially offset by a decrease in employment costs. The executive bonus is due to a $117,000 accrual pursuant to the employment agreement of our Chief Executive Officer. The accrual is a result of the profitable operations before taxes in Three Months 2024 compared to a loss in Three Months 2023.The decrease in employment costs was due to fluctuations in deferred compensation liability related to changes in the underlying invested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was $620,000 in Three Months 2024 compared to $779,000 in Three Months 2023. The decrease of $159,000, or 20.4%,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 Three Months 2024 was $990,000 compared to $1,006,000 in Three Months 2023, a decrease of $16,000 or 1.6%. In Three Months 2024 and Three Months 2023, as disclosed in Note 7 to the condensed consolidated financial statements, we incurred interest expense in connection with the 2022 Notes, which provide for interest at the rate of 12% per annum, and the 2022 equipment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 Three Months 2024 was $1,205,000, which resulted in an effective tax rate of 21.1%. Income tax (benefit) in Three Months 2023 was $(41,000), which resulted in an effective tax rate of 7.3%. Income before taxes was $5,720,000 in Three Months 2024 compared to a loss before taxes of $564,000 in Three Months 2023. The difference in effective tax rate is due to the effect of permanent differences in Three Months 2024 compared to Three Months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$4,515,000 in Three Months 2024 compared to a net loss of $523,000 in Three Months 2023. The increase from net loss to net income of $5,038,000 was due to the circumstances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50,136,793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44,011,176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95,877,031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88,182,114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3,337,854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3,609,832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6,900,182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7,015,500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20,676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25,936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42,726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46,776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53,495,323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47,646,944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102,819,939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95,244,390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written: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38,071,361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32,477,417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72,587,811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60,552,250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3,337,854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3,609,832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6,900,182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7,015,500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15,462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32,083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41,424,677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36,105,874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79,520,076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67,597,767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26,664,472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26,075,876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51,756,960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51,094,961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3,620,901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3,409,779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7,329,095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6,621,613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37,459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46,575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30,303,612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29,508,196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59,123,514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11,030,632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17,925,971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25,742,826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40,495,580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1,487,652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894,026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3,168,303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2,279,167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(29,195)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151,643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1,285,896</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828,963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2,462,599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1,720,053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13,788,132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19,648,996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31,344,533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44,646,443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450,176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(68,294)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753,362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14,238,308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19,580,702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32,097,895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44,620,112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5" w:right="33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ratio(3):</w:t>
            </w:r>
          </w:p>
        </w:tc>
        <w:tc>
          <w:tcPr>
            <w:tcW w:w="2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41.4%</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68.7%</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Livery physical damage</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41.1%</w:t>
            </w:r>
          </w:p>
        </w:tc>
        <w:tc>
          <w:tcPr>
            <w:tcW w:w="1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26.2%</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Other(1)</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-88.0%</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without commercial lines</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45.5%</w:t>
            </w:r>
          </w:p>
        </w:tc>
        <w:tc>
          <w:tcPr>
            <w:tcW w:w="1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66.6%</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23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47.0%</w:t>
            </w:r>
          </w:p>
        </w:tc>
        <w:tc>
          <w:tcPr>
            <w:tcW w:w="1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66.4%</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98" w:lineRule="exact"/>
        <w:rPr>
          <w:sz w:val="20"/>
          <w:szCs w:val="20"/>
          <w:color w:val="auto"/>
        </w:rPr>
      </w:pPr>
    </w:p>
    <w:p>
      <w:pPr>
        <w:ind w:left="460" w:right="20" w:hanging="452"/>
        <w:spacing w:after="0" w:line="26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46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above with regard to “Net Loss and LAE”, as to catastrophe losses in the three months and six months ended June 30, 2024 and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30,303,612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29,508,196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59,123,514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4,561,961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5,412,210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9,129,072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10,857,617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1,764,596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1,451,356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3,267,456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2,992,848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gains on investments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(245,351)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146,377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408,468</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1,330,625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104,811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149,245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252,978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308,071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36,489,629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36,667,384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72,181,488</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73,252,310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14,238,308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19,580,702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32,097,895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44,620,112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8,232,480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8,471,182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16,084,292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17,010,944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5,900,525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6,683,638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11,781,130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13,555,257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619,934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778,502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1,216,447</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1,586,632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94,303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110,554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192,759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225,026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29,085,550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35,624,578</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61,372,523</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76,997,971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7,404,079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1,042,806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10,808,965</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(3,745,661)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1,561,579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277,231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2,280,693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(660,992)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5,842,500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765,575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8,528,272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(3,084,669)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underwriting expenses</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14,133,005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15,154,820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27,865,422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30,566,201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(4,561,961)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(5,412,210)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(9,129,072)</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(10,857,617)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(104,811)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(149,245)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(252,978)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(308,071)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1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9,466,233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9,593,365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18,483,372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19,400,513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30,303,612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29,508,196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59,123,514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6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102,819,939</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(23,299,863)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79,520,076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(1,813,141)</w:t>
            </w:r>
          </w:p>
        </w:tc>
        <w:tc>
          <w:tcPr>
            <w:tcW w:w="98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(18,583,421)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(20,396,562)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101,006,798</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(41,883,284)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59,123,514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356" w:right="339" w:bottom="0" w:gutter="0" w:footer="0" w:header="0"/>
        </w:sectPr>
      </w:pPr>
    </w:p>
    <w:bookmarkStart w:id="44" w:name="page45"/>
    <w:bookmarkEnd w:id="4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39,269,168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(9,043,308)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30,225,860</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2,648,810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(776,775)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1,872,035</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41,917,978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(9,820,083)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32,097,895</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95,244,390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(27,646,623)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67,597,767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5,577,883</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(15,412,501)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(9,834,618)</w:t>
            </w: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100,822,273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(43,059,124)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60,255,984</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(20,761,334)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39,494,650</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7,874,884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(2,749,422)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5,125,462</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68,130,868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(23,510,756)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44,620,112</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53,495,323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(12,070,646)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41,424,677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(2,484,903)</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(8,636,162)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(11,121,065)</w:t>
            </w: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51,010,420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(20,706,808)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30,303,612</w:t>
            </w: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18,627,067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(4,775,146)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13,851,921</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569,824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(183,437)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386,387</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19,196,891</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(4,958,583)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14,238,308</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47,646,944</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(11,541,070)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36,105,874</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3,244,999</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(9,842,677)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(6,597,678)</w:t>
            </w: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50,891,943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(21,383,747)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29,508,196</w:t>
            </w: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the effect of catastrophes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28,345,979</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(10,147,791)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18,198,188</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2,489,053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(1,106,539)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1,382,514</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30,835,032</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(11,254,330)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19,580,702</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84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30,303,612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29,508,196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59,123,514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4,561,961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5,412,210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9,129,072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10,857,617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104,811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149,245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252,978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308,071</w:t>
            </w: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14,238,308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19,580,702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32,097,895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44,620,112</w:t>
            </w: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 expense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8,232,480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8,471,182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16,084,292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17,010,944</w:t>
            </w:r>
          </w:p>
        </w:tc>
      </w:tr>
      <w:tr>
        <w:trPr>
          <w:trHeight w:val="157"/>
        </w:trPr>
        <w:tc>
          <w:tcPr>
            <w:tcW w:w="5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369" w:right="339" w:bottom="0" w:gutter="0" w:footer="0" w:header="0"/>
        </w:sectPr>
      </w:pPr>
    </w:p>
    <w:bookmarkStart w:id="45" w:name="page46"/>
    <w:bookmarkEnd w:id="4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5,900,525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6,683,638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11,781,130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13,555,257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acquisition costs and other underwriting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14,133,005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15,154,820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27,865,422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30,566,201</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6,599,071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334,129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8,542,247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(6,257,476)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Key Measures: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loss ratio (1)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catastrophe loss on net combined ratio (1)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14,133,005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15,154,820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27,865,422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30,566,201</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(4,561,961)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(5,412,210)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(9,129,072)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(10,857,617)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Other income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(104,811)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(149,245)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(252,978)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(308,071)</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9,466,233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9,593,365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18,483,372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19,400,513</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earned premium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30,303,612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29,508,196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59,123,514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57,763,149</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46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2024 and 2023, includes the sum of net catastrophe losses and loss adjustment expenses of $386,387 and $1,382,514, respectively. For the six months ended June 30, 2024 and 2023, includes the sum of net catastrophe losses and loss adjustment expenses of $1,872,035 and $5,125,462,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June 30,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23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187"/>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40" w:type="dxa"/>
            <w:vAlign w:val="bottom"/>
            <w:gridSpan w:val="4"/>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40" w:type="dxa"/>
            <w:vAlign w:val="bottom"/>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40,731,889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40,715,110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16,592,419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(3,337,986)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13,254,433</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72,098,163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(5,850,585)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66,247,578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and other asset backed securities (2)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47,507,975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40,730,146</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4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176,930,446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105,320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(16,087,122)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160,947,267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8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8"/>
                <w:szCs w:val="18"/>
                <w:color w:val="auto"/>
              </w:rPr>
            </w:pPr>
          </w:p>
        </w:tc>
      </w:tr>
      <w:tr>
        <w:trPr>
          <w:trHeight w:val="187"/>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4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20" w:type="dxa"/>
            <w:vAlign w:val="bottom"/>
            <w:gridSpan w:val="3"/>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0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6"/>
                <w:szCs w:val="16"/>
                <w:color w:val="auto"/>
              </w:rPr>
            </w:pPr>
          </w:p>
        </w:tc>
        <w:tc>
          <w:tcPr>
            <w:tcW w:w="112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09"/>
        </w:trPr>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 agencies (1)</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$ 20,954,764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96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$ 20,939,190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16,607,713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13,398,552</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30"/>
        </w:trPr>
        <w:tc>
          <w:tcPr>
            <w:tcW w:w="4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40" w:right="3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75,993,042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50,905,423</w:t>
            </w:r>
          </w:p>
        </w:tc>
        <w:tc>
          <w:tcPr>
            <w:tcW w:w="20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113,761</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44,475,309</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164,460,942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115,560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(15,636,188)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148,920,797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60" w:hanging="452"/>
        <w:spacing w:after="0" w:line="25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9 – Debt - “Equipment Financing”). As of June 30, 2024 and December 31, 2023, the amount of required collateral was approximately $6,153,000 and $6,999,000, respectively. As of June 30, 2024 and December 31, 2023, the estimated fair value of the U.S. Treasury securities used as eligible collateral was approximately $11,934,000 and $11,960,000, respectively.</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2024, the estimated fair value of the eligible investments was approximately $10,626,000. KICO will retain all rights regarding all securities if pledged as collateral. As of June 30, 2024 and December 31, 2023 there was no outstanding balance on the FHLBNY credit 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June 30,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(2,225,270)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7,525,052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(775,432)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2,935,800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502,252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399,134</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14,029,806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399,134</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(3,000,702)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11,428,238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13,583,942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(2,870,027)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10,713,915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3,711,232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(669,232)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3,042,000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937,025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FHLBNY common stock</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17,986,783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314,816</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(3,539,259)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14,762,340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4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425"/>
        </w:trPr>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 fund</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$ 1,987,040</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$ 2,205,797</w:t>
            </w:r>
          </w:p>
        </w:tc>
        <w:tc>
          <w:tcPr>
            <w:tcW w:w="10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$ 4,192,837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$ 1,987,040</w:t>
            </w: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1,910,110</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$ 3,897,150</w:t>
            </w:r>
          </w:p>
        </w:tc>
      </w:tr>
      <w:tr>
        <w:trPr>
          <w:trHeight w:val="628"/>
        </w:trPr>
        <w:tc>
          <w:tcPr>
            <w:tcW w:w="4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June 30, 2024 and December 31, 2023:</w:t>
      </w:r>
    </w:p>
    <w:p>
      <w:pPr>
        <w:spacing w:after="0" w:line="158"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19685</wp:posOffset>
            </wp:positionV>
            <wp:extent cx="4140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19" w:lineRule="exact"/>
        <w:rPr>
          <w:sz w:val="20"/>
          <w:szCs w:val="20"/>
          <w:color w:val="auto"/>
        </w:rPr>
      </w:pPr>
    </w:p>
    <w:p>
      <w:pPr>
        <w:ind w:left="4700"/>
        <w:spacing w:after="0"/>
        <w:tabs>
          <w:tab w:leader="none" w:pos="5840" w:val="left"/>
          <w:tab w:leader="none" w:pos="6940" w:val="left"/>
          <w:tab w:leader="none" w:pos="9260" w:val="left"/>
          <w:tab w:leader="none" w:pos="10480" w:val="left"/>
        </w:tabs>
        <w:rPr>
          <w:sz w:val="20"/>
          <w:szCs w:val="20"/>
          <w:color w:val="auto"/>
        </w:rPr>
      </w:pPr>
      <w:r>
        <w:rPr>
          <w:rFonts w:ascii="Times New Roman" w:cs="Times New Roman" w:eastAsia="Times New Roman" w:hAnsi="Times New Roman"/>
          <w:sz w:val="18"/>
          <w:szCs w:val="18"/>
          <w:b w:val="1"/>
          <w:bCs w:val="1"/>
          <w:color w:val="auto"/>
        </w:rPr>
        <w:t>Cost or</w:t>
      </w:r>
      <w:r>
        <w:rPr>
          <w:sz w:val="20"/>
          <w:szCs w:val="20"/>
          <w:color w:val="auto"/>
        </w:rPr>
        <w:tab/>
      </w:r>
      <w:r>
        <w:rPr>
          <w:rFonts w:ascii="Times New Roman" w:cs="Times New Roman" w:eastAsia="Times New Roman" w:hAnsi="Times New Roman"/>
          <w:sz w:val="18"/>
          <w:szCs w:val="18"/>
          <w:b w:val="1"/>
          <w:bCs w:val="1"/>
          <w:color w:val="auto"/>
        </w:rPr>
        <w:t>Gross</w:t>
      </w:r>
      <w:r>
        <w:rPr>
          <w:sz w:val="20"/>
          <w:szCs w:val="20"/>
          <w:color w:val="auto"/>
        </w:rPr>
        <w:tab/>
      </w:r>
      <w:r>
        <w:rPr>
          <w:rFonts w:ascii="Times New Roman" w:cs="Times New Roman" w:eastAsia="Times New Roman" w:hAnsi="Times New Roman"/>
          <w:sz w:val="18"/>
          <w:szCs w:val="18"/>
          <w:b w:val="1"/>
          <w:bCs w:val="1"/>
          <w:color w:val="auto"/>
        </w:rPr>
        <w:t>Gross Unrealized Losses</w:t>
      </w:r>
      <w:r>
        <w:rPr>
          <w:sz w:val="20"/>
          <w:szCs w:val="20"/>
          <w:color w:val="auto"/>
        </w:rPr>
        <w:tab/>
      </w:r>
      <w:r>
        <w:rPr>
          <w:rFonts w:ascii="Times New Roman" w:cs="Times New Roman" w:eastAsia="Times New Roman" w:hAnsi="Times New Roman"/>
          <w:sz w:val="18"/>
          <w:szCs w:val="18"/>
          <w:b w:val="1"/>
          <w:bCs w:val="1"/>
          <w:color w:val="auto"/>
        </w:rPr>
        <w:t>Estimated</w:t>
      </w:r>
      <w:r>
        <w:rPr>
          <w:sz w:val="20"/>
          <w:szCs w:val="20"/>
          <w:color w:val="auto"/>
        </w:rPr>
        <w:tab/>
      </w:r>
      <w:r>
        <w:rPr>
          <w:rFonts w:ascii="Times New Roman" w:cs="Times New Roman" w:eastAsia="Times New Roman" w:hAnsi="Times New Roman"/>
          <w:sz w:val="17"/>
          <w:szCs w:val="17"/>
          <w:b w:val="1"/>
          <w:bCs w:val="1"/>
          <w:color w:val="auto"/>
        </w:rPr>
        <w: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19685</wp:posOffset>
            </wp:positionV>
            <wp:extent cx="1457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More than 12</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26"/>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$ 1,229,013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(22,880)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$ 1,182,249</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499,443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496,655</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237,750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5,017,411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(968,811)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4,048,600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09"/>
        </w:trPr>
        <w:tc>
          <w:tcPr>
            <w:tcW w:w="4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$ 7,049,978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(1,058,052)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$ 5,965,254</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6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187"/>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0" w:type="dxa"/>
            <w:vAlign w:val="bottom"/>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6"/>
                <w:szCs w:val="16"/>
                <w:color w:val="auto"/>
              </w:rPr>
            </w:pPr>
          </w:p>
        </w:tc>
        <w:tc>
          <w:tcPr>
            <w:tcW w:w="960" w:type="dxa"/>
            <w:vAlign w:val="bottom"/>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26"/>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$ 1,228,860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(18,163)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$ 1,218,828</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44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499,170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500,060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44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debt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304,111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(70,111)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234,000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4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5,020,400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(867,140)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4,153,260</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10"/>
        </w:trPr>
        <w:tc>
          <w:tcPr>
            <w:tcW w:w="4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$ 7,052,541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(955,414)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$ 6,106,148</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of our investments in held-to-maturity securities by contractual maturity as of June 30, 2024 and December 31, 2023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1,121,688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1,087,962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1,097,101</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1,287,630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1,414,911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1,270,770</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4,507,117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3,589,662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4,516,342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3,738,277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7,049,978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5,965,254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7,052,541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6,106,148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Rating of Fixed-Maturity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June 30, 2024 and December 31, 2023 as rated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&amp; Poor’s (or, if unavailable from Standard &amp; Poor’s, then Moody’s, Fitch, or Kroll):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70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94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59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2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40,715,110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20,939,190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09"/>
        </w:trPr>
        <w:tc>
          <w:tcPr>
            <w:tcW w:w="59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1,817,519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1,836,736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10,219,756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9,872,346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31,199,800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33,228,327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14,024,513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15,042,200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15,753,077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21,826,125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3,803,363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978,500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77,796,528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81,805,734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backed, asset backed, and other collateralized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48" w:name="page49"/>
    <w:bookmarkEnd w:id="4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14,601,524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12,766,471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20,064,434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22,102,169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6,941,754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6,390,752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CCC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387,888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413,601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 rated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4,396,322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40" w:type="dxa"/>
            <w:vAlign w:val="bottom"/>
            <w:gridSpan w:val="2"/>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residential mortgage backed, asset backed, and other collateralized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42,435,629</w:t>
            </w:r>
          </w:p>
        </w:tc>
        <w:tc>
          <w:tcPr>
            <w:tcW w:w="220" w:type="dxa"/>
            <w:vAlign w:val="bottom"/>
            <w:vMerge w:val="restart"/>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46,175,873</w:t>
            </w:r>
          </w:p>
        </w:tc>
        <w:tc>
          <w:tcPr>
            <w:tcW w:w="1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160,947,267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148,920,797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28"/>
        </w:trPr>
        <w:tc>
          <w:tcPr>
            <w:tcW w:w="5940" w:type="dxa"/>
            <w:vAlign w:val="bottom"/>
            <w:tcBorders>
              <w:top w:val="single" w:sz="8" w:color="CCEEFF"/>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average yield by type of fixed-maturity security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corporations and agencies</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effective maturity</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duration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2024 and December 31, 2023, 69% and 65%, respectively, of the investment portfolio recorded at fair value was priced based upon quoted market prices.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June 30,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w w:val="99"/>
              </w:rPr>
              <w:t>Less than 12 months</w:t>
            </w:r>
          </w:p>
        </w:tc>
        <w:tc>
          <w:tcPr>
            <w:tcW w:w="100" w:type="dxa"/>
            <w:vAlign w:val="bottom"/>
          </w:tcPr>
          <w:p>
            <w:pPr>
              <w:spacing w:after="0"/>
              <w:rPr>
                <w:sz w:val="18"/>
                <w:szCs w:val="18"/>
                <w:color w:val="auto"/>
              </w:rPr>
            </w:pPr>
          </w:p>
        </w:tc>
        <w:tc>
          <w:tcPr>
            <w:tcW w:w="24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No. of</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2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r>
      <w:tr>
        <w:trPr>
          <w:trHeight w:val="42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corporations and agencies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5,979,360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(17,340)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5,979,360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(17,340)</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 States,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6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13,169,433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(3,337,986)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13,169,433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(3,337,986)</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bonds</w:t>
            </w:r>
          </w:p>
        </w:tc>
        <w:tc>
          <w:tcPr>
            <w:tcW w:w="6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66,247,579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(5,850,585)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66,247,579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(5,850,585)</w:t>
            </w:r>
          </w:p>
        </w:tc>
      </w:tr>
    </w:tbl>
    <w:p>
      <w:pPr>
        <w:sectPr>
          <w:pgSz w:w="11900" w:h="16900" w:orient="portrait"/>
          <w:cols w:equalWidth="0" w:num="1">
            <w:col w:w="11240"/>
          </w:cols>
          <w:pgMar w:left="320" w:top="121" w:right="339" w:bottom="0" w:gutter="0" w:footer="0" w:header="0"/>
        </w:sectPr>
      </w:pPr>
    </w:p>
    <w:bookmarkStart w:id="49" w:name="page50"/>
    <w:bookmarkEnd w:id="49"/>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Residential mortgage and other</w:t>
            </w: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37,025,197</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(6,881,211)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37,139,214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(6,882,588)</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06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114,017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122,421,569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(16,087,122)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122,535,586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(16,088,499)</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No. of</w:t>
            </w: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Held</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425"/>
        </w:trPr>
        <w:tc>
          <w:tcPr>
            <w:tcW w:w="2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Available-for-Sale Securities:</w:t>
            </w: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corporations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$ 5,974,440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(17,373)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5,974,440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Political subdivisions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Territories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Possessions</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13,398,552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(3,209,161)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13,398,552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(3,209,161)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and other bonds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70,107,746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(5,885,296)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70,107,746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(5,885,296)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Residential mortgage and other</w:t>
            </w:r>
          </w:p>
        </w:tc>
        <w:tc>
          <w:tcPr>
            <w:tcW w:w="120" w:type="dxa"/>
            <w:vAlign w:val="bottom"/>
            <w:vMerge w:val="restart"/>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(2,144)</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38,675,604</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(6,541,731)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38,764,592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(6,543,875)</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$ 6,063,428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122,181,902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(15,636,188)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128,245,330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(15,655,705)</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There were 138 securities at June 30, 2024 that accounted for the gross unrealized loss of our fixed-maturity securities available-for-sale, none of which were deemed to be credit losses by us. There were 140 securities at December 31, 2023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six months ended June 30, 2024, KICO did not pay any dividends to us. As of June 30, 2024, KICO had a negative adjusted unassigned surplus. Based on that, KICO currently will not be able to pay any distributions to us without prior regulatory approval. In December 2023, KICO received regulatory approval to pay us a $2,300,000 distribution from paid in capital. KICO paid us the $2,300,000 distribution in the second quarter of 2024.</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March 31, 2024. On July 6, 2023, A.M. Best withdrew KICO’s ratings as KICO requested to no longer participate in A.M. Best’s interactive rating process. As a result of the withdrawal of A.M. Best ratings, KICO is currently only able to borrow on an overnight basis. The maximum allowable advance as of June 30, 2024, based on the net admitted assets as of March 31, 2024, was approximately $12,692,000. Available collateral as of June 30, 2024 was approximately $10,626,000. Advances are limited to 85% of the amount of available collateral. There were no borrowings under this facility during Six Months 2024.</w:t>
      </w:r>
    </w:p>
    <w:p>
      <w:pPr>
        <w:spacing w:after="0" w:line="188" w:lineRule="exact"/>
        <w:rPr>
          <w:sz w:val="20"/>
          <w:szCs w:val="20"/>
          <w:color w:val="auto"/>
        </w:rPr>
      </w:pPr>
    </w:p>
    <w:p>
      <w:pPr>
        <w:jc w:val="both"/>
        <w:ind w:firstLine="738"/>
        <w:spacing w:after="0" w:line="266" w:lineRule="auto"/>
        <w:rPr>
          <w:sz w:val="20"/>
          <w:szCs w:val="20"/>
          <w:color w:val="auto"/>
        </w:rPr>
      </w:pPr>
      <w:r>
        <w:rPr>
          <w:rFonts w:ascii="Times New Roman" w:cs="Times New Roman" w:eastAsia="Times New Roman" w:hAnsi="Times New Roman"/>
          <w:sz w:val="18"/>
          <w:szCs w:val="18"/>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Pursuant to the requirements of Form S-3, we currently may sell pursuant to the Shelf</w:t>
      </w:r>
    </w:p>
    <w:p>
      <w:pPr>
        <w:sectPr>
          <w:pgSz w:w="11900" w:h="16899" w:orient="portrait"/>
          <w:cols w:equalWidth="0" w:num="1">
            <w:col w:w="11240"/>
          </w:cols>
          <w:pgMar w:left="320" w:top="140" w:right="339" w:bottom="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Registration Statement, during any 12 month period, equity securities having an aggregate market value of no more than one-third of the aggregate market value of the shares of our Common Stock held by non-affiliates. Any offering made pursuant to the Shelf Registration Statement may only be made by means of a prospectus, including a prospectus supplement, forming a part of the effective Shelf Registration Statement, relating to the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entered into a Sales Agreement with Janney Montgomery Scott LLC (the “Sales Agent”) under which we currently have the ability to issue and sell shares of our Common Stock, from time to time, through the Sales Agent, pursuant to the Shelf Registration Statement, up to an aggregate offering price of approximately $16,400,000 in what is commonly referred to as an “at-the-market” (“ATM”) program. During the three months ended June 30, 2024, we sold 56,109 shares of our Common Stock at a weighted average price of $4.84 per share and raised $167,629 in net proceeds under the ATM program. As of June 30, 2024, we had remaining capacity to sell up to an additional $16,128,423 of our Common Stock under the ATM program.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15, 2022, we issued 2022 Notes in the aggregate principal amount of $19,950,000 pursuant to the Exchange Agreement. We are required to make semi-annual interest payments in arrears on June 30 and December 30 of each year. The maturity date of the 2022 Notes is December 30,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debt service and other cash requirements, we will seek to obtain additional financing. See Notes 2 and 7 to our condensed consolidated financial statements included in this Quarterly Report for a discussion of our plans in this regard.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Six Months ended June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13,214,888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(17,009,995)</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(9,612,199)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17,890,127</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(551,936)</w:t>
            </w:r>
          </w:p>
        </w:tc>
      </w:tr>
      <w:tr>
        <w:trPr>
          <w:trHeight w:val="210"/>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3,193,995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328,196</w:t>
            </w: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11,958,228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12,170,993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12,286,424</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$13,215,000 in Six Months 2024 as compared to $17,010,000 used in operating activities in Six Months 2023. The $30,225,000 increase in cash flows provided by operating activities in Six Months 2024 as compared to Six Months 2023 was primarily the result of an increase in net income from net loss (adjusted for non-cash items) of $14,768,000 and in cash provided arising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$9,612,000 in Six Months 2024 compared to $17,890,000 provided by investing activities in Six Months 2023 resulting in a $27,502,000 increase in net cash used by investing activities. In Six Months 2024, we had net cash used by our investment portfolio of $8,574,000, compared to $18,789,000 provided in Six Months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$409,000 in Six Months 2024 compared to $552,000 used in Six Months 2023. Net cash used in financing activities are primarily principal payments on equipment financing debt in connection with KICO’s sale-leaseback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Upon the expiration of the 2023/2024 Treaty on January 1, 2024, we entered into a new 27% quota share reinsurance treaty for our personal lines business, covering the period from January 1, 2024 through January 1, 2025 (“2024/2025 Treaty”).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excess of loss and catastrophe reinsurance treaties expired on June 30, 2024 and we entered into new excess of loss and catastrophe reinsurance treaties effective July 1, 2024 (as discussed below). Effective January 1, 2022, we entered into an underlying excess of loss reinsurance treaty (“Underlying XOL Treaty”) covering the period from January 1, 2022 through January 1, 2023. The Underlying XOL Treaty provided 50% reinsurance coverage for losses of $400,000 in excess of $600,000. Losses from named storms are excluded from the Underlying XOL Treaty. Effective January 1, 2023, the Underlying XOL Treaty was renewed covering the period from January 1, 2023 through January 1, 2024. Effective January 1, 2024, the Underlying XOL Treaty was renewed covering the period from January 1, 2024 through January 1, 2025. Effective July 1, 2024, we purchased $275,000,000 of catastrophe reinsurance in excess of $5,000,000, compared to $315,000,000 of catastrophe reinsurance in excess of $10,000,000 in the expiring treaty. Our ability to be able to reduce our catastrophe reinsurance was due to our tightened underwriting as discussed above and curtailing new business growth through June 30, 2024, which reduced our probable maximum loss. Effective July 1, 2024, we renewed our excess of loss treaty with the same terms as the expiring treaty. Material terms for our reinsurance treaties in effect for the treaty years shown below are as follows:</w:t>
      </w:r>
    </w:p>
    <w:p>
      <w:pPr>
        <w:sectPr>
          <w:pgSz w:w="11900" w:h="16838" w:orient="portrait"/>
          <w:cols w:equalWidth="0" w:num="1">
            <w:col w:w="11240"/>
          </w:cols>
          <w:pgMar w:left="320" w:top="121" w:right="339" w:bottom="65"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8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12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10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2023/2024 Treaty</w:t>
            </w:r>
          </w:p>
        </w:tc>
        <w:tc>
          <w:tcPr>
            <w:tcW w:w="100" w:type="dxa"/>
            <w:vAlign w:val="bottom"/>
          </w:tcPr>
          <w:p>
            <w:pPr>
              <w:spacing w:after="0"/>
              <w:rPr>
                <w:sz w:val="18"/>
                <w:szCs w:val="18"/>
                <w:color w:val="auto"/>
              </w:rPr>
            </w:pPr>
          </w:p>
        </w:tc>
        <w:tc>
          <w:tcPr>
            <w:tcW w:w="24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July 1,</w:t>
            </w:r>
          </w:p>
        </w:tc>
        <w:tc>
          <w:tcPr>
            <w:tcW w:w="11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15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Homeowners,</w:t>
            </w: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dwelling  fire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canine legal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Percent ceded (7)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6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Risk retained 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 $1,000,000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losses (5) (6)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8"/>
              </w:rPr>
              <w:t>occurrence subject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 quota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reinsurance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coverage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Excess of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coverage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facultative facility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coverage (1) (5)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8,400,000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in excess of</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in excess of</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excess of</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excess of</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excess of</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in excess of</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in excess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198"/>
        </w:trPr>
        <w:tc>
          <w:tcPr>
            <w:tcW w:w="156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reinsurance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coverage per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occurrence (5) (6)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8,470,000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8,500,000</w:t>
            </w:r>
          </w:p>
        </w:tc>
        <w:tc>
          <w:tcPr>
            <w:tcW w:w="0" w:type="dxa"/>
            <w:vAlign w:val="bottom"/>
          </w:tcPr>
          <w:p>
            <w:pPr>
              <w:spacing w:after="0"/>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Losses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8"/>
              </w:rPr>
              <w:t>occurrence subject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 reinsurance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coverage (6)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9,000,000</w:t>
            </w:r>
          </w:p>
        </w:tc>
        <w:tc>
          <w:tcPr>
            <w:tcW w:w="0" w:type="dxa"/>
            <w:vAlign w:val="bottom"/>
          </w:tcPr>
          <w:p>
            <w:pPr>
              <w:spacing w:after="0"/>
              <w:rPr>
                <w:sz w:val="1"/>
                <w:szCs w:val="1"/>
                <w:color w:val="auto"/>
              </w:rPr>
            </w:pPr>
          </w:p>
        </w:tc>
      </w:tr>
      <w:tr>
        <w:trPr>
          <w:trHeight w:val="198"/>
        </w:trPr>
        <w:tc>
          <w:tcPr>
            <w:tcW w:w="156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shd w:val="clear" w:color="auto" w:fill="CCEEFF"/>
          </w:tcPr>
          <w:p>
            <w:pPr>
              <w:spacing w:after="0"/>
              <w:rPr>
                <w:sz w:val="17"/>
                <w:szCs w:val="17"/>
                <w:color w:val="auto"/>
              </w:rPr>
            </w:pPr>
          </w:p>
        </w:tc>
        <w:tc>
          <w:tcPr>
            <w:tcW w:w="1260" w:type="dxa"/>
            <w:vAlign w:val="bottom"/>
            <w:gridSpan w:val="3"/>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June 30, 2022</w:t>
            </w:r>
          </w:p>
        </w:tc>
        <w:tc>
          <w:tcPr>
            <w:tcW w:w="0" w:type="dxa"/>
            <w:vAlign w:val="bottom"/>
          </w:tcPr>
          <w:p>
            <w:pPr>
              <w:spacing w:after="0"/>
              <w:rPr>
                <w:sz w:val="1"/>
                <w:szCs w:val="1"/>
                <w:color w:val="auto"/>
              </w:rPr>
            </w:pPr>
          </w:p>
        </w:tc>
      </w:tr>
      <w:tr>
        <w:trPr>
          <w:trHeight w:val="126"/>
        </w:trPr>
        <w:tc>
          <w:tcPr>
            <w:tcW w:w="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gridSpan w:val="3"/>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Catastrophe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3"/>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Reinsurance: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Initial loss subject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to personal lines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quota share treaty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198"/>
        </w:trPr>
        <w:tc>
          <w:tcPr>
            <w:tcW w:w="156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Risk retained per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catastrophe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occurrence (6) (7)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7,400,000</w:t>
            </w:r>
          </w:p>
        </w:tc>
        <w:tc>
          <w:tcPr>
            <w:tcW w:w="0" w:type="dxa"/>
            <w:vAlign w:val="bottom"/>
          </w:tcPr>
          <w:p>
            <w:pPr>
              <w:spacing w:after="0"/>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Catastrophe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7"/>
              </w:rPr>
              <w:t>coverage in excess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of quota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coverage (2) (6)</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$ 275,000,000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335,000,000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490,000,000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6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Reinstatement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premium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15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protection (3) (4)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2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ind w:left="46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Duration of 168 consecutive hours for a catastrophe occurrence from windstorm, hail, tornado, hurricane and cyclone.</w:t>
      </w:r>
    </w:p>
    <w:p>
      <w:pPr>
        <w:jc w:val="both"/>
        <w:ind w:left="460" w:right="2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2022 through June 30, 2023, reinstatement premium protection for $12,500,000 of catastrophe coverage in excess of $10,000,000. For the period July 1, 2023 through June 30, 2024, reinstatement premium protection for $50,000,000 of catastrophe coverage in excess of $10,000,000.</w:t>
      </w:r>
    </w:p>
    <w:p>
      <w:pPr>
        <w:spacing w:after="0" w:line="1"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$10,500,000 of catastrophe coverage in excess of $10,000,000.</w:t>
      </w:r>
    </w:p>
    <w:p>
      <w:pPr>
        <w:sectPr>
          <w:pgSz w:w="11900" w:h="16838" w:orient="portrait"/>
          <w:cols w:equalWidth="0" w:num="1">
            <w:col w:w="11240"/>
          </w:cols>
          <w:pgMar w:left="320" w:top="121" w:right="339" w:bottom="0" w:gutter="0" w:footer="0" w:header="0"/>
        </w:sectPr>
      </w:pPr>
    </w:p>
    <w:bookmarkStart w:id="52" w:name="page53"/>
    <w:bookmarkEnd w:id="52"/>
    <w:p>
      <w:pPr>
        <w:jc w:val="both"/>
        <w:ind w:left="460" w:hanging="452"/>
        <w:spacing w:after="0" w:line="25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2022 through January 1, 2025, Underlying XOL Treaty provides 50% reinsurance coverage for losses of $400,000 in excess of $600,000. Excludes losses from named storms. Reduces retention to $500,000 from $700,000 under the 2021/2023 Treaty and 2023/2024 Treaty. Reduces retention to $530,000 from $730,000 under the 2024/2025 Treaty. After the expiration of the Underlying XOL Treaty and 2024/2025 Treaty on January 1, 2025, retention will be $1,000,000.</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lines quota share (homeowners, dwelling fire and canine liability) and underlying excess of loss reinsurance will expire on January 1, 2025, with none of these coverages to be in effect during the period from January 2, 2025 through June 30, 2025. Reinsurance coverage in effect from January 2, 2025 through June 30, 2025 is only for excess of loss and catastrophe reinsurance treaties.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460" w:hanging="452"/>
        <w:spacing w:after="0" w:line="25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 For the 2024/2025 Treaty, 22% of the 27% total of losses ceded under this treaty are excluded from a named catastrophe event.</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Treaty Year</w:t>
            </w:r>
          </w:p>
        </w:tc>
      </w:tr>
      <w:tr>
        <w:trPr>
          <w:trHeight w:val="187"/>
        </w:trPr>
        <w:tc>
          <w:tcPr>
            <w:tcW w:w="11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July 1, 2023</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July 1, 2022</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8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20"/>
                <w:szCs w:val="20"/>
                <w:color w:val="auto"/>
              </w:rPr>
            </w:pPr>
          </w:p>
        </w:tc>
      </w:tr>
      <w:tr>
        <w:trPr>
          <w:trHeight w:val="385"/>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4,700,000</w:t>
            </w:r>
          </w:p>
        </w:tc>
      </w:tr>
      <w:tr>
        <w:trPr>
          <w:trHeight w:val="216"/>
        </w:trPr>
        <w:tc>
          <w:tcPr>
            <w:tcW w:w="86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8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r>
      <w:tr>
        <w:trPr>
          <w:trHeight w:val="216"/>
        </w:trPr>
        <w:tc>
          <w:tcPr>
            <w:tcW w:w="112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07" w:lineRule="exact"/>
        <w:rPr>
          <w:sz w:val="20"/>
          <w:szCs w:val="20"/>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rate of inflation has moderated in 2024, Three Months 2024 and Six Months 2024 still include the continuing effects of prior years’ economic inflation, which resulted in a sustained increase in interest rates, a widening of credit spreads, lower public equity valuations, and significant financial market volatility. The higher interest rates and widening of credit spreads reduced the value of our fixed income securities in Three Months 2024 and Six Months 2024, which lowered our stockholders’ equity. For Three Months 2024 and Six Months 2024, the continuing effects of prior economic inflation impacted our loss and loss adjustment expenses as well; should these trends continue in the near-term, it would in all likelihood negatively impact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95"/>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702"/>
        <w:spacing w:after="0" w:line="261"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8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before year end 2024. The policyholders of such competitors will need to find alternative coverage. It is anticipated that our producers will want KICO to provide coverage to many of these policyholders. As such, we anticipate a sizeable increase in our policies in force and direct written premium for the remainder of the year. See “Forward-Looking Statements” before Part I, Item 1.</w:t>
      </w:r>
    </w:p>
    <w:p>
      <w:pPr>
        <w:sectPr>
          <w:pgSz w:w="11900" w:h="16838" w:orient="portrait"/>
          <w:cols w:equalWidth="0" w:num="1">
            <w:col w:w="11240"/>
          </w:cols>
          <w:pgMar w:left="320" w:top="121" w:right="339" w:bottom="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June 30, 2024,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1" w:lineRule="exact"/>
        <w:rPr>
          <w:sz w:val="20"/>
          <w:szCs w:val="20"/>
          <w:color w:val="auto"/>
        </w:rPr>
      </w:pPr>
    </w:p>
    <w:p>
      <w:pPr>
        <w:jc w:val="both"/>
        <w:ind w:firstLine="8"/>
        <w:spacing w:after="0" w:line="253" w:lineRule="auto"/>
        <w:tabs>
          <w:tab w:leader="none" w:pos="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74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Part I, Item 1A— “Risk Factors” and Part II, Item 7— “Management’s Discussion and Analysis of Financial Condition and Results of Operations” in the Company’s 2023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2023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20" w:hanging="467"/>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3(a) Restated Certificate of Incorporation, as amended (incorporated by reference to Exhibit 3(a)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10-Q for the period ended March 31, 2014 filed on May 15, 2014).</w:t>
        </w:r>
      </w:hyperlink>
    </w:p>
    <w:p>
      <w:pPr>
        <w:spacing w:after="0" w:line="207" w:lineRule="exact"/>
        <w:rPr>
          <w:sz w:val="20"/>
          <w:szCs w:val="20"/>
          <w:color w:val="auto"/>
        </w:rPr>
      </w:pPr>
    </w:p>
    <w:p>
      <w:pPr>
        <w:ind w:left="70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3(b) By-laws, as amended (incorporated by reference to Exhibit 3.1 to the Company’s Current Report on Form 8-K filed on November 9,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EE"/>
        </w:rPr>
        <w:t>31(a) Rule 13a-14(a)/15d-14(a) Certification of Chief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EE"/>
        </w:rPr>
        <w:t>31(b) Rule 13a-14(a)/15d-14(a) Certification of Chief Financial Officer as adopted pursuant to Section 302 of the Sarbanes-Oxley Act of 2002</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0000EE"/>
        </w:rPr>
        <w:t>32+ Certification of Chief Executive Officer and Chief Financial Officer Pursuant to 18 U.S.C. Section 1350, as Adopted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101.SCH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101.CAL 101.CAL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101.DEF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101.LAB 101.LAB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101.PRE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1120" w:hanging="214"/>
        <w:spacing w:after="0" w:line="266" w:lineRule="auto"/>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62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Meryl Golden</w:t>
            </w:r>
          </w:p>
        </w:tc>
        <w:tc>
          <w:tcPr>
            <w:tcW w:w="134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Meryl Golden</w:t>
            </w:r>
          </w:p>
        </w:tc>
        <w:tc>
          <w:tcPr>
            <w:tcW w:w="13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62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Jennifer Gravelle</w:t>
            </w:r>
          </w:p>
        </w:tc>
        <w:tc>
          <w:tcPr>
            <w:tcW w:w="134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Gravelle</w:t>
            </w:r>
          </w:p>
        </w:tc>
        <w:tc>
          <w:tcPr>
            <w:tcW w:w="13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tcPr>
          <w:p>
            <w:pPr>
              <w:spacing w:after="0"/>
              <w:rPr>
                <w:sz w:val="20"/>
                <w:szCs w:val="20"/>
                <w:color w:val="auto"/>
              </w:rPr>
            </w:pPr>
          </w:p>
        </w:tc>
      </w:tr>
      <w:tr>
        <w:trPr>
          <w:trHeight w:val="648"/>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Meryl Golden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Gravelle,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Jennifer Gravelle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Meryl Golden</w:t>
            </w: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Meryl Golden</w:t>
            </w: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9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Gravelle</w:t>
            </w: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Gravelle</w:t>
            </w: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upperLetter"/>
      <w:start w:val="1"/>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7"/>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6"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05" Type="http://schemas.openxmlformats.org/officeDocument/2006/relationships/hyperlink" Target="http://www.sec.gov/Archives/edgar/data/33992/000135448814002619/kins_ex3a.htm" TargetMode="External"/><Relationship Id="rId107"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2024-08-14T12:55:07Z</dcterms:created>
  <dcterms:modified xsi:type="dcterms:W3CDTF">2024-08-14T12:55:07Z</dcterms:modified>
</cp:coreProperties>
</file>